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D6" w:rsidRPr="00DE2AD6" w:rsidRDefault="00DE2AD6" w:rsidP="00DE2AD6">
      <w:pPr>
        <w:ind w:left="426" w:right="86" w:hanging="218"/>
        <w:jc w:val="center"/>
        <w:rPr>
          <w:rFonts w:eastAsia="Century"/>
          <w:b/>
          <w:sz w:val="24"/>
          <w:szCs w:val="24"/>
        </w:rPr>
      </w:pPr>
      <w:bookmarkStart w:id="0" w:name="_GoBack"/>
      <w:bookmarkEnd w:id="0"/>
      <w:r w:rsidRPr="00DE2AD6">
        <w:rPr>
          <w:rFonts w:eastAsia="Century"/>
          <w:b/>
          <w:sz w:val="24"/>
          <w:szCs w:val="24"/>
        </w:rPr>
        <w:t xml:space="preserve">PENGARUH STUKTUR MODAL, PROFITABILITAS, PERTUMBUHAN LABA, LIKUDITAS, UKURAN PERUSAHAAN TERHADAP KUALITAS LABA </w:t>
      </w:r>
    </w:p>
    <w:p w:rsidR="003D6DDB" w:rsidRPr="003D6DDB" w:rsidRDefault="00DE2AD6" w:rsidP="00DE2AD6">
      <w:pPr>
        <w:ind w:left="426" w:right="86" w:hanging="218"/>
        <w:jc w:val="center"/>
        <w:rPr>
          <w:rFonts w:eastAsia="Century"/>
          <w:b/>
          <w:sz w:val="24"/>
          <w:szCs w:val="24"/>
        </w:rPr>
      </w:pPr>
      <w:r w:rsidRPr="00DE2AD6">
        <w:rPr>
          <w:rFonts w:eastAsia="Century"/>
          <w:b/>
          <w:sz w:val="24"/>
          <w:szCs w:val="24"/>
        </w:rPr>
        <w:t>(Pada Perusahaan Sektor Consumer Goods Industry yang terdaftar di Bursa Efek Indonesia tahun 2016-2019)</w:t>
      </w:r>
    </w:p>
    <w:p w:rsidR="003D6DDB" w:rsidRDefault="003D6DDB" w:rsidP="00FC643B">
      <w:pPr>
        <w:ind w:left="426" w:right="86" w:hanging="218"/>
        <w:jc w:val="center"/>
        <w:rPr>
          <w:rFonts w:ascii="Calisto MT" w:eastAsia="Calibri" w:hAnsi="Calisto MT"/>
          <w:b/>
        </w:rPr>
      </w:pPr>
    </w:p>
    <w:p w:rsidR="00FC643B" w:rsidRPr="00A435EA" w:rsidRDefault="00DE2AD6" w:rsidP="00FC643B">
      <w:pPr>
        <w:ind w:left="426" w:right="86" w:hanging="218"/>
        <w:jc w:val="center"/>
        <w:rPr>
          <w:rFonts w:ascii="Calisto MT" w:eastAsia="Calibri" w:hAnsi="Calisto MT"/>
          <w:b/>
        </w:rPr>
      </w:pPr>
      <w:r w:rsidRPr="009F3FC0">
        <w:rPr>
          <w:rFonts w:ascii="Calisto MT" w:hAnsi="Calisto MT"/>
          <w:b/>
          <w:lang w:val="id-ID"/>
        </w:rPr>
        <w:t>Ogi Nur Saputra</w:t>
      </w:r>
      <w:r w:rsidRPr="00A435EA">
        <w:rPr>
          <w:rFonts w:ascii="Calisto MT" w:eastAsia="Calibri" w:hAnsi="Calisto MT"/>
          <w:b/>
          <w:vertAlign w:val="superscript"/>
        </w:rPr>
        <w:t xml:space="preserve"> </w:t>
      </w:r>
      <w:r w:rsidR="00FC643B" w:rsidRPr="00A435EA">
        <w:rPr>
          <w:rFonts w:ascii="Calisto MT" w:eastAsia="Calibri" w:hAnsi="Calisto MT"/>
          <w:b/>
          <w:vertAlign w:val="superscript"/>
        </w:rPr>
        <w:t>1</w:t>
      </w:r>
      <w:r w:rsidR="00FC643B">
        <w:rPr>
          <w:rFonts w:ascii="Calisto MT" w:eastAsia="Calibri" w:hAnsi="Calisto MT"/>
          <w:b/>
          <w:vertAlign w:val="superscript"/>
        </w:rPr>
        <w:t>)</w:t>
      </w:r>
      <w:r w:rsidR="00FC643B">
        <w:rPr>
          <w:rFonts w:ascii="Calisto MT" w:eastAsia="Calibri" w:hAnsi="Calisto MT"/>
          <w:b/>
        </w:rPr>
        <w:t>,</w:t>
      </w:r>
      <w:r w:rsidR="003D6DDB" w:rsidRPr="003D6DDB">
        <w:t xml:space="preserve"> </w:t>
      </w:r>
      <w:r w:rsidR="003D6DDB" w:rsidRPr="003D6DDB">
        <w:rPr>
          <w:rFonts w:ascii="Calisto MT" w:eastAsia="Calibri" w:hAnsi="Calisto MT"/>
          <w:b/>
        </w:rPr>
        <w:t xml:space="preserve">Mohamad Zulman Hakim </w:t>
      </w:r>
      <w:r w:rsidR="00FC643B" w:rsidRPr="00A435EA">
        <w:rPr>
          <w:rFonts w:ascii="Calisto MT" w:eastAsia="Calibri" w:hAnsi="Calisto MT"/>
          <w:b/>
          <w:vertAlign w:val="superscript"/>
        </w:rPr>
        <w:t>2</w:t>
      </w:r>
      <w:r w:rsidR="00FC643B">
        <w:rPr>
          <w:rFonts w:ascii="Calisto MT" w:eastAsia="Calibri" w:hAnsi="Calisto MT"/>
          <w:b/>
          <w:vertAlign w:val="superscript"/>
        </w:rPr>
        <w:t>)</w:t>
      </w:r>
      <w:r w:rsidRPr="00DE2AD6">
        <w:rPr>
          <w:rFonts w:ascii="Calisto MT" w:eastAsia="Calibri" w:hAnsi="Calisto MT"/>
          <w:b/>
        </w:rPr>
        <w:t xml:space="preserve"> </w:t>
      </w:r>
      <w:r>
        <w:rPr>
          <w:rFonts w:ascii="Calisto MT" w:hAnsi="Calisto MT"/>
          <w:b/>
          <w:lang w:val="id-ID"/>
        </w:rPr>
        <w:t>Dirvi Surya Abbas</w:t>
      </w:r>
      <w:r w:rsidRPr="00A435EA">
        <w:rPr>
          <w:rFonts w:ascii="Calisto MT" w:eastAsia="Calibri" w:hAnsi="Calisto MT"/>
          <w:b/>
          <w:vertAlign w:val="superscript"/>
        </w:rPr>
        <w:t xml:space="preserve"> </w:t>
      </w:r>
      <w:r>
        <w:rPr>
          <w:rFonts w:ascii="Calisto MT" w:eastAsia="Calibri" w:hAnsi="Calisto MT"/>
          <w:b/>
          <w:vertAlign w:val="superscript"/>
        </w:rPr>
        <w:t>3)</w:t>
      </w:r>
      <w:r>
        <w:rPr>
          <w:rFonts w:ascii="Calisto MT" w:eastAsia="Calibri" w:hAnsi="Calisto MT"/>
          <w:b/>
        </w:rPr>
        <w:t>,</w:t>
      </w:r>
      <w:r w:rsidRPr="003D6DDB">
        <w:t xml:space="preserve"> </w:t>
      </w:r>
      <w:r>
        <w:rPr>
          <w:rFonts w:ascii="Calisto MT" w:hAnsi="Calisto MT"/>
          <w:b/>
          <w:lang w:val="id-ID"/>
        </w:rPr>
        <w:t>Imam Hidayat</w:t>
      </w:r>
      <w:r w:rsidRPr="003D6DDB">
        <w:rPr>
          <w:rFonts w:ascii="Calisto MT" w:eastAsia="Calibri" w:hAnsi="Calisto MT"/>
          <w:b/>
        </w:rPr>
        <w:t xml:space="preserve"> </w:t>
      </w:r>
      <w:r>
        <w:rPr>
          <w:rFonts w:ascii="Calisto MT" w:eastAsia="Calibri" w:hAnsi="Calisto MT"/>
          <w:b/>
          <w:vertAlign w:val="superscript"/>
        </w:rPr>
        <w:t>4)</w:t>
      </w:r>
      <w:r>
        <w:rPr>
          <w:rFonts w:ascii="Calisto MT" w:eastAsia="Calibri" w:hAnsi="Calisto MT"/>
          <w:b/>
        </w:rPr>
        <w:t>,</w:t>
      </w:r>
      <w:r w:rsidRPr="003D6DDB">
        <w:t xml:space="preserve"> </w:t>
      </w:r>
      <w:r>
        <w:rPr>
          <w:rFonts w:ascii="Calisto MT" w:hAnsi="Calisto MT"/>
          <w:b/>
          <w:lang w:val="id-ID"/>
        </w:rPr>
        <w:t>January Eky Pambudi</w:t>
      </w:r>
      <w:r w:rsidRPr="003D6DDB">
        <w:rPr>
          <w:rFonts w:ascii="Calisto MT" w:eastAsia="Calibri" w:hAnsi="Calisto MT"/>
          <w:b/>
        </w:rPr>
        <w:t xml:space="preserve"> </w:t>
      </w:r>
      <w:r>
        <w:rPr>
          <w:rFonts w:ascii="Calisto MT" w:eastAsia="Calibri" w:hAnsi="Calisto MT"/>
          <w:b/>
          <w:vertAlign w:val="superscript"/>
        </w:rPr>
        <w:t>5)</w:t>
      </w:r>
    </w:p>
    <w:p w:rsidR="00FC643B" w:rsidRPr="00A435EA" w:rsidRDefault="003D6DDB" w:rsidP="00FC643B">
      <w:pPr>
        <w:ind w:left="426" w:right="86" w:hanging="218"/>
        <w:jc w:val="center"/>
        <w:rPr>
          <w:rFonts w:ascii="Calisto MT" w:eastAsia="Calibri" w:hAnsi="Calisto MT"/>
          <w:sz w:val="18"/>
          <w:szCs w:val="18"/>
        </w:rPr>
      </w:pPr>
      <w:r>
        <w:t>Program Studi Akuntansi</w:t>
      </w:r>
      <w:r w:rsidR="00FC643B">
        <w:rPr>
          <w:sz w:val="20"/>
        </w:rPr>
        <w:t xml:space="preserve">, Fakultas </w:t>
      </w:r>
      <w:r w:rsidR="00FC643B">
        <w:t>Ekonomi dan Bisnis</w:t>
      </w:r>
      <w:r w:rsidR="00FC643B">
        <w:rPr>
          <w:sz w:val="20"/>
        </w:rPr>
        <w:t>, Universitas Muhammadiyah Tangerang</w:t>
      </w:r>
    </w:p>
    <w:p w:rsidR="00FC643B" w:rsidRPr="00283702" w:rsidRDefault="00FC643B" w:rsidP="00FC643B">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Co Responding Email: </w:t>
      </w:r>
      <w:r w:rsidR="003D6DDB" w:rsidRPr="003D6DDB">
        <w:rPr>
          <w:rFonts w:ascii="Calisto MT" w:eastAsia="Calibri" w:hAnsi="Calisto MT"/>
          <w:sz w:val="18"/>
          <w:szCs w:val="18"/>
        </w:rPr>
        <w:t>Zulman.hakim@umt.ac.id</w:t>
      </w:r>
      <w:r w:rsidRPr="00283702">
        <w:rPr>
          <w:rFonts w:ascii="Calisto MT" w:eastAsia="Calibri" w:hAnsi="Calisto MT"/>
          <w:sz w:val="18"/>
          <w:szCs w:val="18"/>
        </w:rPr>
        <w:t xml:space="preserve"> </w:t>
      </w:r>
    </w:p>
    <w:p w:rsidR="00FC643B" w:rsidRPr="00A435EA" w:rsidRDefault="00FC643B" w:rsidP="00FC643B">
      <w:pPr>
        <w:ind w:left="426" w:right="86" w:hanging="218"/>
        <w:rPr>
          <w:rFonts w:ascii="Calisto MT" w:eastAsia="Calibri" w:hAnsi="Calisto MT"/>
          <w:b/>
          <w:sz w:val="24"/>
          <w:szCs w:val="24"/>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DE2AD6" w:rsidRPr="00DE2AD6" w:rsidRDefault="00DE2AD6" w:rsidP="00DE2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DE2AD6">
        <w:rPr>
          <w:rFonts w:ascii="Calisto MT" w:eastAsia="Calibri" w:hAnsi="Calisto MT"/>
          <w:i/>
        </w:rPr>
        <w:t>This study aims to examine and find empirical evidence regarding the effect of Capital Structure, Profitability, Profit Growth, Liquidity, Company Size in Consumer Goods Industry Sector Companies on Profit Quality. The total sample is 11 companies. Data were collected using purposive sampling method. The analysis of this study uses multiple regression with the EViews 9.0 program. The results of this study indicate that profitability and liquidity affect earnings quality while capital structure, earnings growth, company size do not affect earnings quality.</w:t>
      </w:r>
    </w:p>
    <w:p w:rsidR="00FC643B" w:rsidRPr="00DE2AD6" w:rsidRDefault="00DE2AD6" w:rsidP="00DE2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hAnsi="Calisto MT" w:cs="Courier New"/>
          <w:b/>
          <w:color w:val="202124"/>
          <w:lang w:val="id-ID" w:eastAsia="en-ID"/>
        </w:rPr>
      </w:pPr>
      <w:r w:rsidRPr="00DE2AD6">
        <w:rPr>
          <w:rFonts w:ascii="Calisto MT" w:eastAsia="Calibri" w:hAnsi="Calisto MT"/>
          <w:b/>
          <w:i/>
        </w:rPr>
        <w:t>Keywords: Profit Quality, Capital Structure, Profitability, Profit Growth, Liquidity, Company Size.</w:t>
      </w:r>
    </w:p>
    <w:p w:rsidR="00DE2AD6" w:rsidRDefault="00DE2AD6"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DE2AD6" w:rsidRPr="009F3FC0" w:rsidRDefault="00DE2AD6" w:rsidP="00DE2AD6">
      <w:pPr>
        <w:spacing w:after="0" w:line="240" w:lineRule="auto"/>
        <w:ind w:left="0"/>
        <w:rPr>
          <w:rFonts w:ascii="Calisto MT" w:hAnsi="Calisto MT"/>
          <w:sz w:val="20"/>
          <w:szCs w:val="20"/>
          <w:lang w:val="id-ID"/>
        </w:rPr>
      </w:pPr>
      <w:r w:rsidRPr="009F3FC0">
        <w:rPr>
          <w:rFonts w:ascii="Calisto MT" w:hAnsi="Calisto MT"/>
          <w:sz w:val="20"/>
          <w:szCs w:val="20"/>
          <w:lang w:val="id-ID"/>
        </w:rPr>
        <w:t xml:space="preserve">Penelitian ini bertujuan untuk menguji dan menemukan bukti empiris mengenai pengaruh Struktur Modal, Profitabilitas, Pertumbuhan Laba, Likuiditas, Ukuran Perusahaan </w:t>
      </w:r>
      <w:r w:rsidRPr="009F3FC0">
        <w:rPr>
          <w:rFonts w:ascii="Calisto MT" w:hAnsi="Calisto MT"/>
          <w:i/>
          <w:sz w:val="20"/>
          <w:szCs w:val="20"/>
          <w:lang w:val="id-ID"/>
        </w:rPr>
        <w:t xml:space="preserve">Pada Perusahaan Sektor Consumer Goods Industry </w:t>
      </w:r>
      <w:r w:rsidRPr="009F3FC0">
        <w:rPr>
          <w:rFonts w:ascii="Calisto MT" w:hAnsi="Calisto MT"/>
          <w:sz w:val="20"/>
          <w:szCs w:val="20"/>
          <w:lang w:val="id-ID"/>
        </w:rPr>
        <w:t xml:space="preserve">terhadap Kualitas Laba . Total sampel adalah 11 perusahaan. Data dikumpulkan dengan menggunakan metode </w:t>
      </w:r>
      <w:r w:rsidRPr="009F3FC0">
        <w:rPr>
          <w:rFonts w:ascii="Calisto MT" w:hAnsi="Calisto MT"/>
          <w:iCs/>
          <w:sz w:val="20"/>
          <w:szCs w:val="20"/>
          <w:lang w:val="id-ID"/>
        </w:rPr>
        <w:t>purposive sampling</w:t>
      </w:r>
      <w:r w:rsidRPr="009F3FC0">
        <w:rPr>
          <w:rFonts w:ascii="Calisto MT" w:hAnsi="Calisto MT"/>
          <w:sz w:val="20"/>
          <w:szCs w:val="20"/>
          <w:lang w:val="id-ID"/>
        </w:rPr>
        <w:t xml:space="preserve">. Analisis penelitian ini menggunakan regresi berganda dengan program EViews 9.0. Hasil penelitian ini menunjukkan bahwa Profitabilitas dan Likuiditas mempengaruhi Kualitas Laba sedangkan Struktur Modal, Pertumbuhan Laba, Ukuran Perusahaan tidak mempengaruhi Kualitas Laba. </w:t>
      </w:r>
    </w:p>
    <w:p w:rsidR="00FC643B" w:rsidRPr="00DE2AD6" w:rsidRDefault="00DE2AD6" w:rsidP="00DE2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hAnsi="Calisto MT" w:cs="Courier New"/>
          <w:b/>
          <w:color w:val="202124"/>
          <w:lang w:val="en-ID" w:eastAsia="en-ID"/>
        </w:rPr>
      </w:pPr>
      <w:r w:rsidRPr="00DE2AD6">
        <w:rPr>
          <w:rFonts w:ascii="Calisto MT" w:eastAsia="Calibri" w:hAnsi="Calisto MT"/>
          <w:b/>
          <w:i/>
        </w:rPr>
        <w:t>Kata</w:t>
      </w:r>
      <w:r w:rsidRPr="00DE2AD6">
        <w:rPr>
          <w:rFonts w:ascii="Calisto MT" w:hAnsi="Calisto MT"/>
          <w:b/>
          <w:sz w:val="20"/>
          <w:szCs w:val="20"/>
          <w:lang w:val="id-ID"/>
        </w:rPr>
        <w:t xml:space="preserve"> Kunci: Kualitas Laba, Struktur Modal, Profitabilitas, Pertumbuhan Laba, Likuiditas, Ukuran Perusahaan.</w:t>
      </w:r>
    </w:p>
    <w:p w:rsidR="00D16319" w:rsidRDefault="00E61BFA">
      <w:pPr>
        <w:spacing w:after="345" w:line="259" w:lineRule="auto"/>
        <w:ind w:left="216" w:right="0" w:firstLine="0"/>
        <w:jc w:val="left"/>
      </w:pPr>
      <w:r>
        <w:rPr>
          <w:i/>
          <w:sz w:val="16"/>
        </w:rPr>
        <w:t xml:space="preserve"> </w:t>
      </w:r>
      <w:r>
        <w:rPr>
          <w:i/>
          <w:sz w:val="16"/>
        </w:rPr>
        <w:tab/>
      </w:r>
      <w:r>
        <w:rPr>
          <w:b/>
          <w:sz w:val="20"/>
        </w:rPr>
        <w:t xml:space="preserve"> </w:t>
      </w:r>
    </w:p>
    <w:p w:rsidR="00D16319" w:rsidRDefault="00E61BFA">
      <w:pPr>
        <w:pStyle w:val="Heading1"/>
        <w:ind w:left="715" w:right="0"/>
      </w:pPr>
      <w:r>
        <w:t xml:space="preserve">PENDAHULUAN  </w:t>
      </w:r>
    </w:p>
    <w:p w:rsidR="00DE2AD6" w:rsidRDefault="00DE2AD6" w:rsidP="00DE2AD6">
      <w:pPr>
        <w:spacing w:line="259" w:lineRule="auto"/>
        <w:ind w:left="0" w:right="0" w:firstLine="0"/>
      </w:pPr>
      <w:r>
        <w:t>Krisis ekonomi yang disebabkan oleh kenaikan dolar terhadap rupiah mengakibatkan banyak perusahaan besar yang bangkrut. Fenomena ini menjadikan perusahaan harus mempertahankan kelangsungan hidup dan bersaing dengan perusahaan lain. Untuk kelangsungan hidupnya, suatu perusahaan membutuhkan dana yang berasal dari investor maupun kreditur. Perusahaan harus mampu memberikan kepercayaan bagi investor dan kreditur dengan menyajikan kinerja keuangan yang baik yang diukur dari laba yang dihasilkan oleh perusahaan. Dengan demikian perusahaan akan mendapatkan dana untuk kelangsungan hidupnya.</w:t>
      </w:r>
    </w:p>
    <w:p w:rsidR="00DE2AD6" w:rsidRDefault="00DE2AD6" w:rsidP="00DE2AD6">
      <w:pPr>
        <w:spacing w:line="259" w:lineRule="auto"/>
        <w:ind w:left="0" w:right="0" w:firstLine="0"/>
      </w:pPr>
      <w:r>
        <w:t>Fokus utama laporan keuangan adalah menyediakan informasi laba. Laporan keuangan merupakan sumber informasi bagi investor yang digunakan untuk menilai kinerja perusahaan. Informasi laba perusahaan adalah informasi yang paling diminati oleh investor. Informasi laba yang disajikan suatu perusahaan belum menjamin bahwa laba yang dilaporkan tersebut berkualitas. Pentingya informasi laba menyebabkan pengelola perusahaan seringkali menyajikan laporan keuangan tidak sesuai dengan kenyataan.</w:t>
      </w:r>
    </w:p>
    <w:p w:rsidR="00DE2AD6" w:rsidRDefault="00DE2AD6" w:rsidP="00DE2AD6">
      <w:pPr>
        <w:spacing w:line="259" w:lineRule="auto"/>
        <w:ind w:left="0" w:right="0" w:firstLine="0"/>
      </w:pPr>
      <w:r>
        <w:t>Ketua Badan Pemeriksa Keuangan Agung Firman Sampurna mengatakan permasalahan di tubuh perusahaan PT Asuransi Jiwasraya terjadi sejak lama. Bahkan Agung menyebut meski perseroan sejak 2006 masih membukukan laba, namun keuntungan tersebut diduga laba semu.</w:t>
      </w:r>
    </w:p>
    <w:p w:rsidR="00DE2AD6" w:rsidRDefault="00DE2AD6" w:rsidP="00DE2AD6">
      <w:pPr>
        <w:spacing w:line="259" w:lineRule="auto"/>
        <w:ind w:left="0" w:right="0" w:firstLine="0"/>
      </w:pPr>
      <w:r>
        <w:lastRenderedPageBreak/>
        <w:t>"Sebagai akibat dari rekayasa akuntansi atau window dressing, di mana perusahaan sebenarnya sudah alami kerugian," ujar Agung di Kantor Badan Pemeriksa Keuangan, Jakarta, Rabu, 8 Januari 2020. Kesimpulan itu adalah salah satu resume hasil pemeriksaan investigasi pendahuluan pada 2018.</w:t>
      </w:r>
    </w:p>
    <w:p w:rsidR="00DE2AD6" w:rsidRDefault="00DE2AD6" w:rsidP="00DE2AD6">
      <w:pPr>
        <w:spacing w:line="259" w:lineRule="auto"/>
        <w:ind w:left="0" w:right="0" w:firstLine="0"/>
      </w:pPr>
      <w:r>
        <w:t>Dalam laporan itu pun disebutkan bahwa pada 2017 Jiwasraya juga mengalami laba sebesar Rp 360,3 miliar namun memperoleh opini adverse atau tidak wajar. Opini itu diberikan lantaran adanya kekurangan pencadangan sebesar Rp 7,7 triliun. "Jika pencadangannya dilakukan sesuai ketentuan seharusnya, perusahaan menderita rugi," tutur Agung. (https://bisnis.tempo.co)</w:t>
      </w:r>
    </w:p>
    <w:p w:rsidR="00DE2AD6" w:rsidRDefault="00DE2AD6" w:rsidP="00DE2AD6">
      <w:pPr>
        <w:spacing w:line="259" w:lineRule="auto"/>
        <w:ind w:left="0" w:right="0" w:firstLine="0"/>
      </w:pPr>
      <w:r>
        <w:t xml:space="preserve">Kualitas laba merupakan laba yang ada dalam laporan keuangan yang mencerminkan kinerja keuangan perusahaan yang sesungguhnya (Dhian, 2012). Kualitas laba merupakan informasi yang mempengaruhi investor dalam mengambil keputusan investasi pada suatu perusahaan. Laba yang berkualitas adalah laba yang disajikan sesuai kenyataan, jika informasi laba yang disajikan tidak sesuai dengan kenyataan mengakibatkan kualitas laba perusahaan rendah. sehingga dapat menyesatkan investor dalam pengambilan keputusan investasi. </w:t>
      </w:r>
    </w:p>
    <w:p w:rsidR="00DE2AD6" w:rsidRDefault="00DE2AD6" w:rsidP="00DE2AD6">
      <w:pPr>
        <w:spacing w:line="259" w:lineRule="auto"/>
        <w:ind w:left="0" w:right="0" w:firstLine="0"/>
      </w:pPr>
      <w:r>
        <w:t>Struktur modal yang diukur dengan leverage merupakan suatu variabel untuk mengetahui seberapa besar aset perusahaan dibiayai oleh hutang perusahaan. Struktur modal yang diukur dengan leverage mempunyai pengaruh negatif pada kualitas laba Perusahaan dinilai tidak dapat menjaga keseimbangan finansial dalam penggunaan dana antara jumlah modal yang tersedia dengan modal yang dibutuhkan. Oleh karena itu, jika tingkat leverage suatu perusahaan semakin tinggi maka kualitas laba akan semakin rendah diteliti oleh (Dian Ekarawati Tahun 2014) sedangkan menurut (Ida Agus Prastika Tahun 2012) memiliki pengaruh positif Semakin tinggi hutang perusahaan, maka perusahaan tersebut akan semakin dinamis. Investasi yang meningkat menunjukkan adanya prospek keuntungan di masa yang akan datang. Pihak manajemen akan lebih terpacu untuk meningkatkan kinerjanya agar hutang-hutang perusahaan dapat terpenuhi sehingga dampak positifnya adalah perusahaan akan lebih berkembang. Keputusan untuk menentukan struktur modal dapat dilihat dari harga sahamnya (Chowdhury and Chowdhury, 2010).</w:t>
      </w:r>
    </w:p>
    <w:p w:rsidR="00DE2AD6" w:rsidRDefault="00DE2AD6" w:rsidP="00DE2AD6">
      <w:pPr>
        <w:spacing w:line="259" w:lineRule="auto"/>
        <w:ind w:left="0" w:right="0" w:firstLine="0"/>
      </w:pPr>
      <w:r>
        <w:t>Profitabilitas menggambarkan kemampuan perusahaan dalam menghasilkan laba melalui sumberdaya. Profitabilitas suatu perusahaan dapat diukur dengan melihat perbandingan antara laba dengan asset . Profitabilitas merupakan rasio untuk menilai kemampuan perusahaan dalam memperoleh laba (profit). Rasio ini juga memberi informasi tentang ukuran tingkat efektivitas manajemen suatu perusahaan. Rasio profitabilitas digunakan untuk mengukur perbandingan antara komponen yang ada di laporan keuangan, terutama laporan keuangan neraca dan laporan laba rugi. Dalam penelitian ini profitabilitas diproksikan dengan Return on Asset (ROA). ROA merupakan kemampuan perusahaan dalam menghasilkan laba yang berasal dari total aset yang dimiliki perusahaan.</w:t>
      </w:r>
    </w:p>
    <w:p w:rsidR="00DE2AD6" w:rsidRDefault="00DE2AD6" w:rsidP="00DE2AD6">
      <w:pPr>
        <w:spacing w:line="259" w:lineRule="auto"/>
        <w:ind w:left="0" w:right="0" w:firstLine="0"/>
      </w:pPr>
      <w:r>
        <w:t>Pertumbuhan laba adalah suatu kenaikan laba atau penurunan laba pertahun yang dinyatakan dalam prosentase (Irmayanti 2011). Pertumbuhan laba dimungkinkan ada pengaruh dengan kualitas laba perusahaan karena jika perusahaan yang memiliki kesempatan bertumbuh terhadap labanya berarti kinerja keuangan perusahaan tersebut baik dan dimungkinkan juga memiliki kesempatan bertumbuh terhadap kualitas labanya. Maka pertumbuhan laba berpengaruh positif terhadap kualitas laba. Sedangkan menurut (Suriani Ginting, 2017) Profitabilitas secara signifikan tidak berpengaruh terhadap kualitas laba. Profitabilitas merupakan rasio yang dapat digunakan untuk mengukur kemampuan perusahaan menghasilkan laba. Profitabilitas tidak dapat memicu respon pasar tehadap informasi laba, hal ini menunjukkan bahwa profitabilitas tidak memberikan kontribusi bagi investor dalam menilai kondisi pasar.</w:t>
      </w:r>
    </w:p>
    <w:p w:rsidR="00DE2AD6" w:rsidRDefault="00DE2AD6" w:rsidP="00DE2AD6">
      <w:pPr>
        <w:spacing w:line="259" w:lineRule="auto"/>
        <w:ind w:left="0" w:right="0" w:firstLine="0"/>
      </w:pPr>
      <w:r>
        <w:t>Likuiditas merupakan kemampuan perusahaan dalam memenuhi kewajiban jangka pendek menggunakan aktiva lancar. Kondisi perusahaan yang semakin likuid menunjukkan bahwa kinerja keuangan perusahaan tersebut baik. Semakin tinggi likuiditas maka semakin baik kualitas laba suatu perusahaan. Penelitian yang dilakukan oleh Shanie dkk (2014), berhasil membuktikan bahwa likuiditas mempengaruhi kualitas laba perusahaan. Sedangkan penelitian oleh Kadek dan Ida (2014), menunjukkan hasil penelitian bahwa likuiditas tidak berpengaruh kualitas laba.</w:t>
      </w:r>
    </w:p>
    <w:p w:rsidR="00D16319" w:rsidRPr="003D6DDB" w:rsidRDefault="00DE2AD6" w:rsidP="00DE2AD6">
      <w:pPr>
        <w:spacing w:line="259" w:lineRule="auto"/>
        <w:ind w:left="0" w:right="0" w:firstLine="0"/>
      </w:pPr>
      <w:r>
        <w:lastRenderedPageBreak/>
        <w:t>Ukuran perusahaan adalah suatu ukuran perusahaan yang dapat diklasifikasikan besar kecilnya perusahaan menurut log size. Ukuran perusahaan berhubungan dengan kualitas laba karena semakin besar perusahaan maka semakin tinggi pula kelangsungan usaha suatu perusahaan dalam meningkatkan kinerja keuangan sehingga perusahaan tidak perlu melakukan praktek manipulasi laba. Jadi, dapat ditarik kesimpulan bahwa ukuran perusahaan berhubungan positif dengan kualitas laba menurut (Dian Ekarawati Tahun 2014). Variabel ukuran perusahaan tidak berpengaruh terhadap kualitas laba dicocokkan dengan kriteria distribusi rata-rata ukuran perusahaan masuk dalam kriteria sedang. Artinya rata-rata perusahaan manufaktur dalam penelitian ini merupakan perusahaan menengah. Perusahaan besar ataupun perusahaan kecil selalu berkembang untuk mencapai tujuannya yaitu selalu meningkatkan keuntungan perusahaan dan kualitas labanya. Perusahaan besar memiliki informasi keuangan yang lebih besar untuk meningkatkan keuntungan namun resiko keuangan yang akan ditanggung juga lebih besar. Sedangkan perusahaan kecil meskipun mempunyai informasi keuangan yang lebih sedikit dibanding perusahaan besar untuk meningkatkan keuntungannya, namun resiko keuangan yang ditanggung juga lebih ringan. Hasil penelitian ini sesuai dengan Palupi (2006), Yuli (2010), Retnoningrum (2010), dan Ellisi (2010) yang menyatakan bahwa ukuran perusahaan tidak berpengaruh signifikan terhadap kualitas laba.</w:t>
      </w:r>
    </w:p>
    <w:p w:rsidR="00D16319" w:rsidRDefault="00E61BFA" w:rsidP="0040467C">
      <w:pPr>
        <w:pStyle w:val="Heading1"/>
        <w:spacing w:before="240"/>
        <w:ind w:left="715" w:right="0"/>
      </w:pPr>
      <w:r>
        <w:t xml:space="preserve">METODE PENELITIAN </w:t>
      </w:r>
    </w:p>
    <w:p w:rsidR="00D05C5D" w:rsidRDefault="00E95D09" w:rsidP="00CC18D3">
      <w:pPr>
        <w:spacing w:after="0" w:line="259" w:lineRule="auto"/>
        <w:ind w:left="0" w:right="0" w:firstLine="0"/>
        <w:jc w:val="left"/>
      </w:pPr>
      <w:r w:rsidRPr="00E95D09">
        <w:t>Penelitian ini menggunakan data kuantitatif yang dapat diolah atau di analisis menggunakan teknik perhitungan statistika. Data yang digunakan pada penelitian ini adalah bahan sekunder. Data sekunder adalah data yang sudah diperoleh dalam bentuk sudah jadi, dikumpulkan dan diolah oleh pihak lain biasanya dalam bentuk publikasi. Data dalam penelitian ini berupa laporan keuangan tahunan Pada Sektor Consumer Good Industry yang terdaftar di Bursa Efek Indonesia (BEI).</w:t>
      </w:r>
    </w:p>
    <w:p w:rsidR="00E95D09" w:rsidRPr="00BF094B" w:rsidRDefault="00E95D09" w:rsidP="00E95D09">
      <w:pPr>
        <w:spacing w:line="276" w:lineRule="auto"/>
        <w:ind w:left="0" w:firstLine="0"/>
        <w:rPr>
          <w:rFonts w:ascii="Calisto MT" w:eastAsia="Calibri" w:hAnsi="Calisto MT"/>
          <w:b/>
        </w:rPr>
      </w:pPr>
      <w:r w:rsidRPr="00BF094B">
        <w:rPr>
          <w:rFonts w:ascii="Calisto MT" w:eastAsia="Calibri" w:hAnsi="Calisto MT"/>
          <w:b/>
        </w:rPr>
        <w:t>Variabel Independen</w:t>
      </w:r>
    </w:p>
    <w:p w:rsidR="00E95D09" w:rsidRPr="00BF094B" w:rsidRDefault="00E95D09" w:rsidP="00E95D09">
      <w:pPr>
        <w:spacing w:line="276" w:lineRule="auto"/>
        <w:ind w:left="0" w:firstLine="0"/>
        <w:rPr>
          <w:rFonts w:ascii="Calisto MT" w:eastAsia="Calibri" w:hAnsi="Calisto MT"/>
        </w:rPr>
      </w:pPr>
      <w:r w:rsidRPr="00BF094B">
        <w:rPr>
          <w:rFonts w:ascii="Calisto MT" w:eastAsia="Calibri" w:hAnsi="Calisto MT"/>
        </w:rPr>
        <w:t xml:space="preserve">Variabel independen dalam penelitian ini adalah </w:t>
      </w:r>
    </w:p>
    <w:p w:rsidR="00E95D09" w:rsidRPr="00BF094B" w:rsidRDefault="00E95D09" w:rsidP="00E95D09">
      <w:pPr>
        <w:pStyle w:val="ListParagraph"/>
        <w:numPr>
          <w:ilvl w:val="0"/>
          <w:numId w:val="13"/>
        </w:numPr>
        <w:spacing w:after="160" w:line="276" w:lineRule="auto"/>
        <w:ind w:right="0"/>
        <w:rPr>
          <w:rFonts w:ascii="Calisto MT" w:eastAsia="Calibri" w:hAnsi="Calisto MT"/>
        </w:rPr>
      </w:pPr>
      <w:r w:rsidRPr="00BF094B">
        <w:rPr>
          <w:rFonts w:ascii="Calisto MT" w:eastAsia="Calibri" w:hAnsi="Calisto MT"/>
          <w:lang w:val="id-ID"/>
        </w:rPr>
        <w:t>Struktur Modal</w:t>
      </w:r>
      <w:r w:rsidRPr="00BF094B">
        <w:rPr>
          <w:rFonts w:ascii="Calisto MT" w:eastAsia="Calibri" w:hAnsi="Calisto MT"/>
        </w:rPr>
        <w:t xml:space="preserve"> (X1)</w:t>
      </w:r>
    </w:p>
    <w:p w:rsidR="00E95D09" w:rsidRPr="00BF094B" w:rsidRDefault="00E95D09" w:rsidP="00E95D09">
      <w:pPr>
        <w:pStyle w:val="ListParagraph"/>
        <w:numPr>
          <w:ilvl w:val="0"/>
          <w:numId w:val="13"/>
        </w:numPr>
        <w:spacing w:after="160" w:line="276" w:lineRule="auto"/>
        <w:ind w:right="0"/>
        <w:rPr>
          <w:rFonts w:ascii="Calisto MT" w:eastAsia="Calibri" w:hAnsi="Calisto MT"/>
        </w:rPr>
      </w:pPr>
      <w:r w:rsidRPr="00BF094B">
        <w:rPr>
          <w:rFonts w:ascii="Calisto MT" w:eastAsia="Calibri" w:hAnsi="Calisto MT"/>
        </w:rPr>
        <w:t>Profitabilitas (X2)</w:t>
      </w:r>
    </w:p>
    <w:p w:rsidR="00E95D09" w:rsidRPr="00BF094B" w:rsidRDefault="00E95D09" w:rsidP="00E95D09">
      <w:pPr>
        <w:pStyle w:val="ListParagraph"/>
        <w:numPr>
          <w:ilvl w:val="0"/>
          <w:numId w:val="13"/>
        </w:numPr>
        <w:spacing w:after="160" w:line="276" w:lineRule="auto"/>
        <w:ind w:right="0"/>
        <w:rPr>
          <w:rFonts w:ascii="Calisto MT" w:eastAsia="Calibri" w:hAnsi="Calisto MT"/>
        </w:rPr>
      </w:pPr>
      <w:r w:rsidRPr="00BF094B">
        <w:rPr>
          <w:rFonts w:ascii="Calisto MT" w:eastAsia="Calibri" w:hAnsi="Calisto MT"/>
        </w:rPr>
        <w:t xml:space="preserve"> Pertumbuhan Laba (X3)</w:t>
      </w:r>
    </w:p>
    <w:p w:rsidR="00E95D09" w:rsidRPr="00BF094B" w:rsidRDefault="00E95D09" w:rsidP="00E95D09">
      <w:pPr>
        <w:pStyle w:val="ListParagraph"/>
        <w:numPr>
          <w:ilvl w:val="0"/>
          <w:numId w:val="13"/>
        </w:numPr>
        <w:spacing w:after="160" w:line="276" w:lineRule="auto"/>
        <w:ind w:right="0"/>
        <w:rPr>
          <w:rFonts w:ascii="Calisto MT" w:eastAsia="Calibri" w:hAnsi="Calisto MT"/>
        </w:rPr>
      </w:pPr>
      <w:r w:rsidRPr="00BF094B">
        <w:rPr>
          <w:rFonts w:ascii="Calisto MT" w:eastAsia="Calibri" w:hAnsi="Calisto MT"/>
          <w:lang w:val="id-ID"/>
        </w:rPr>
        <w:t xml:space="preserve">Likuiditas </w:t>
      </w:r>
      <w:r w:rsidRPr="00BF094B">
        <w:rPr>
          <w:rFonts w:ascii="Calisto MT" w:eastAsia="Calibri" w:hAnsi="Calisto MT"/>
        </w:rPr>
        <w:t>(X</w:t>
      </w:r>
      <w:r w:rsidRPr="00BF094B">
        <w:rPr>
          <w:rFonts w:ascii="Calisto MT" w:eastAsia="Calibri" w:hAnsi="Calisto MT"/>
          <w:lang w:val="id-ID"/>
        </w:rPr>
        <w:t>4</w:t>
      </w:r>
      <w:r w:rsidRPr="00BF094B">
        <w:rPr>
          <w:rFonts w:ascii="Calisto MT" w:eastAsia="Calibri" w:hAnsi="Calisto MT"/>
        </w:rPr>
        <w:t>)</w:t>
      </w:r>
    </w:p>
    <w:p w:rsidR="00E95D09" w:rsidRPr="00BF094B" w:rsidRDefault="00E95D09" w:rsidP="00E95D09">
      <w:pPr>
        <w:pStyle w:val="ListParagraph"/>
        <w:numPr>
          <w:ilvl w:val="0"/>
          <w:numId w:val="13"/>
        </w:numPr>
        <w:spacing w:after="160" w:line="276" w:lineRule="auto"/>
        <w:ind w:right="0"/>
        <w:rPr>
          <w:rFonts w:ascii="Calisto MT" w:eastAsia="Calibri" w:hAnsi="Calisto MT"/>
        </w:rPr>
      </w:pPr>
      <w:r w:rsidRPr="00BF094B">
        <w:rPr>
          <w:rFonts w:ascii="Calisto MT" w:eastAsia="Calibri" w:hAnsi="Calisto MT"/>
        </w:rPr>
        <w:t>Ukuran Perusahaan (X5)</w:t>
      </w:r>
    </w:p>
    <w:p w:rsidR="00E95D09" w:rsidRPr="00BF094B" w:rsidRDefault="00E95D09" w:rsidP="00E95D09">
      <w:pPr>
        <w:pStyle w:val="ListParagraph"/>
        <w:spacing w:line="276" w:lineRule="auto"/>
        <w:jc w:val="left"/>
        <w:rPr>
          <w:rFonts w:ascii="Calisto MT" w:eastAsia="Calibri" w:hAnsi="Calisto MT"/>
          <w:lang w:val="id-ID"/>
        </w:rPr>
      </w:pPr>
    </w:p>
    <w:p w:rsidR="00E95D09" w:rsidRPr="00BF094B" w:rsidRDefault="00E95D09" w:rsidP="00E95D09">
      <w:pPr>
        <w:spacing w:line="276" w:lineRule="auto"/>
        <w:jc w:val="left"/>
        <w:rPr>
          <w:rFonts w:ascii="Calisto MT" w:hAnsi="Calisto MT" w:cs="Book Antiqua"/>
          <w:b/>
          <w:lang w:val="id-ID"/>
        </w:rPr>
      </w:pPr>
      <w:r w:rsidRPr="00BF094B">
        <w:rPr>
          <w:rFonts w:ascii="Calisto MT" w:hAnsi="Calisto MT" w:cs="Book Antiqua"/>
          <w:b/>
          <w:lang w:val="id-ID"/>
        </w:rPr>
        <w:t>Estimasi Model Regresi Data Panel</w:t>
      </w:r>
    </w:p>
    <w:p w:rsidR="00E95D09" w:rsidRPr="00BF094B" w:rsidRDefault="00E95D09" w:rsidP="00E95D09">
      <w:pPr>
        <w:pStyle w:val="ListParagraph"/>
        <w:numPr>
          <w:ilvl w:val="0"/>
          <w:numId w:val="15"/>
        </w:numPr>
        <w:autoSpaceDE w:val="0"/>
        <w:autoSpaceDN w:val="0"/>
        <w:adjustRightInd w:val="0"/>
        <w:spacing w:after="0" w:line="240" w:lineRule="auto"/>
        <w:ind w:left="1080" w:right="0"/>
        <w:jc w:val="left"/>
        <w:rPr>
          <w:rFonts w:ascii="Calisto MT" w:hAnsi="Calisto MT" w:cs="Book Antiqua"/>
          <w:lang w:val="id-ID"/>
        </w:rPr>
      </w:pPr>
      <w:r w:rsidRPr="00BF094B">
        <w:rPr>
          <w:rFonts w:ascii="Calisto MT" w:hAnsi="Calisto MT" w:cs="Book Antiqua"/>
          <w:b/>
          <w:bCs/>
          <w:lang w:val="id-ID"/>
        </w:rPr>
        <w:t xml:space="preserve">Common Effect Model (CEM) </w:t>
      </w:r>
    </w:p>
    <w:p w:rsidR="00E95D09" w:rsidRPr="00BF094B" w:rsidRDefault="00E95D09" w:rsidP="00E95D09">
      <w:pPr>
        <w:pStyle w:val="ListParagraph"/>
        <w:autoSpaceDE w:val="0"/>
        <w:autoSpaceDN w:val="0"/>
        <w:adjustRightInd w:val="0"/>
        <w:jc w:val="left"/>
        <w:rPr>
          <w:rFonts w:ascii="Calisto MT" w:hAnsi="Calisto MT" w:cs="Book Antiqua"/>
          <w:lang w:val="id-ID"/>
        </w:rPr>
      </w:pPr>
      <w:r w:rsidRPr="00BF094B">
        <w:rPr>
          <w:rFonts w:ascii="Calisto MT" w:hAnsi="Calisto MT"/>
          <w:noProof/>
        </w:rPr>
        <w:drawing>
          <wp:inline distT="0" distB="0" distL="0" distR="0" wp14:anchorId="4157014B" wp14:editId="41D96FD0">
            <wp:extent cx="2306472" cy="1644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35063" r="66186" b="15621"/>
                    <a:stretch/>
                  </pic:blipFill>
                  <pic:spPr bwMode="auto">
                    <a:xfrm>
                      <a:off x="0" y="0"/>
                      <a:ext cx="2311058" cy="1647825"/>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pStyle w:val="ListParagraph"/>
        <w:autoSpaceDE w:val="0"/>
        <w:autoSpaceDN w:val="0"/>
        <w:adjustRightInd w:val="0"/>
        <w:ind w:left="1080"/>
        <w:jc w:val="left"/>
        <w:rPr>
          <w:rFonts w:ascii="Calisto MT" w:hAnsi="Calisto MT"/>
          <w:b/>
          <w:lang w:val="id-ID"/>
        </w:rPr>
      </w:pPr>
      <w:r w:rsidRPr="00BF094B">
        <w:rPr>
          <w:rFonts w:ascii="Calisto MT" w:hAnsi="Calisto MT"/>
          <w:b/>
        </w:rPr>
        <w:t>Gambar 1. Hasil CEM Olahan Eviews 9.0, 2020</w:t>
      </w:r>
    </w:p>
    <w:p w:rsidR="00E95D09" w:rsidRPr="00BF094B" w:rsidRDefault="00E95D09" w:rsidP="00E95D09">
      <w:pPr>
        <w:pStyle w:val="ListParagraph"/>
        <w:autoSpaceDE w:val="0"/>
        <w:autoSpaceDN w:val="0"/>
        <w:adjustRightInd w:val="0"/>
        <w:ind w:left="1080"/>
        <w:jc w:val="left"/>
        <w:rPr>
          <w:rFonts w:ascii="Calisto MT" w:hAnsi="Calisto MT" w:cs="Book Antiqua"/>
          <w:lang w:val="id-ID"/>
        </w:rPr>
      </w:pPr>
      <w:r w:rsidRPr="00BF094B">
        <w:rPr>
          <w:rFonts w:ascii="Calisto MT" w:hAnsi="Calisto MT" w:cs="Book Antiqua"/>
          <w:lang w:val="id-ID"/>
        </w:rPr>
        <w:t>Sumber: Data diolah</w:t>
      </w:r>
    </w:p>
    <w:p w:rsidR="00E95D09" w:rsidRPr="00BF094B" w:rsidRDefault="00E95D09" w:rsidP="00E95D09">
      <w:pPr>
        <w:pStyle w:val="ListParagraph"/>
        <w:numPr>
          <w:ilvl w:val="0"/>
          <w:numId w:val="15"/>
        </w:numPr>
        <w:spacing w:after="0" w:line="276" w:lineRule="auto"/>
        <w:ind w:left="1080" w:right="0"/>
        <w:jc w:val="left"/>
        <w:rPr>
          <w:rFonts w:ascii="Calisto MT" w:hAnsi="Calisto MT" w:cs="Book Antiqua"/>
          <w:b/>
          <w:lang w:val="id-ID"/>
        </w:rPr>
      </w:pPr>
      <w:r w:rsidRPr="00BF094B">
        <w:rPr>
          <w:rFonts w:ascii="Calisto MT" w:hAnsi="Calisto MT" w:cs="Book Antiqua"/>
          <w:b/>
          <w:lang w:val="id-ID"/>
        </w:rPr>
        <w:t>Fixed Effect Model (FEM)</w:t>
      </w:r>
    </w:p>
    <w:p w:rsidR="00E95D09" w:rsidRPr="00BF094B" w:rsidRDefault="00E95D09" w:rsidP="00E95D09">
      <w:pPr>
        <w:pStyle w:val="ListParagraph"/>
        <w:jc w:val="left"/>
        <w:rPr>
          <w:rFonts w:ascii="Calisto MT" w:hAnsi="Calisto MT" w:cs="Book Antiqua"/>
          <w:b/>
          <w:lang w:val="id-ID"/>
        </w:rPr>
      </w:pPr>
      <w:r w:rsidRPr="00BF094B">
        <w:rPr>
          <w:rFonts w:ascii="Calisto MT" w:hAnsi="Calisto MT"/>
          <w:noProof/>
        </w:rPr>
        <w:lastRenderedPageBreak/>
        <w:drawing>
          <wp:inline distT="0" distB="0" distL="0" distR="0" wp14:anchorId="4DA36909" wp14:editId="11015C62">
            <wp:extent cx="2266969" cy="228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5207" t="22041" r="19689" b="9388"/>
                    <a:stretch/>
                  </pic:blipFill>
                  <pic:spPr bwMode="auto">
                    <a:xfrm>
                      <a:off x="0" y="0"/>
                      <a:ext cx="2269268" cy="2288318"/>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ind w:left="720"/>
        <w:jc w:val="left"/>
        <w:rPr>
          <w:rFonts w:ascii="Calisto MT" w:hAnsi="Calisto MT"/>
          <w:lang w:val="id-ID"/>
        </w:rPr>
      </w:pPr>
      <w:r w:rsidRPr="00BF094B">
        <w:rPr>
          <w:rFonts w:ascii="Calisto MT" w:hAnsi="Calisto MT"/>
          <w:b/>
        </w:rPr>
        <w:t xml:space="preserve">Gambar </w:t>
      </w:r>
      <w:r w:rsidRPr="00BF094B">
        <w:rPr>
          <w:rFonts w:ascii="Calisto MT" w:hAnsi="Calisto MT"/>
          <w:b/>
          <w:lang w:val="id-ID"/>
        </w:rPr>
        <w:t>2</w:t>
      </w:r>
      <w:r w:rsidRPr="00BF094B">
        <w:rPr>
          <w:rFonts w:ascii="Calisto MT" w:hAnsi="Calisto MT"/>
          <w:b/>
        </w:rPr>
        <w:t xml:space="preserve">. Hasil </w:t>
      </w:r>
      <w:r w:rsidRPr="00BF094B">
        <w:rPr>
          <w:rFonts w:ascii="Calisto MT" w:hAnsi="Calisto MT"/>
          <w:b/>
          <w:lang w:val="id-ID"/>
        </w:rPr>
        <w:t>F</w:t>
      </w:r>
      <w:r w:rsidRPr="00BF094B">
        <w:rPr>
          <w:rFonts w:ascii="Calisto MT" w:hAnsi="Calisto MT"/>
          <w:b/>
        </w:rPr>
        <w:t>EM Olahan Eviews 9.0, 2020</w:t>
      </w:r>
    </w:p>
    <w:p w:rsidR="00E95D09" w:rsidRPr="00BF094B" w:rsidRDefault="00E95D09" w:rsidP="00E95D09">
      <w:pPr>
        <w:ind w:left="720"/>
        <w:jc w:val="left"/>
        <w:rPr>
          <w:rFonts w:ascii="Calisto MT" w:hAnsi="Calisto MT"/>
          <w:lang w:val="id-ID"/>
        </w:rPr>
      </w:pPr>
      <w:r w:rsidRPr="00BF094B">
        <w:rPr>
          <w:rFonts w:ascii="Calisto MT" w:hAnsi="Calisto MT"/>
          <w:lang w:val="id-ID"/>
        </w:rPr>
        <w:t>Sumber: Data diolah</w:t>
      </w:r>
    </w:p>
    <w:p w:rsidR="00E95D09" w:rsidRPr="00BF094B" w:rsidRDefault="00E95D09" w:rsidP="00E95D09">
      <w:pPr>
        <w:pStyle w:val="ListParagraph"/>
        <w:numPr>
          <w:ilvl w:val="0"/>
          <w:numId w:val="15"/>
        </w:numPr>
        <w:spacing w:after="200" w:line="276" w:lineRule="auto"/>
        <w:ind w:left="1080" w:right="0"/>
        <w:jc w:val="left"/>
        <w:rPr>
          <w:rFonts w:ascii="Calisto MT" w:hAnsi="Calisto MT" w:cs="Book Antiqua"/>
          <w:b/>
          <w:lang w:val="id-ID"/>
        </w:rPr>
      </w:pPr>
      <w:r w:rsidRPr="00BF094B">
        <w:rPr>
          <w:rFonts w:ascii="Calisto MT" w:hAnsi="Calisto MT" w:cs="Book Antiqua"/>
          <w:b/>
          <w:lang w:val="id-ID"/>
        </w:rPr>
        <w:t>Random Effect Model (REM)</w:t>
      </w:r>
    </w:p>
    <w:p w:rsidR="00E95D09" w:rsidRPr="00BF094B" w:rsidRDefault="00E95D09" w:rsidP="00E95D09">
      <w:pPr>
        <w:pStyle w:val="ListParagraph"/>
        <w:jc w:val="left"/>
        <w:rPr>
          <w:rFonts w:ascii="Calisto MT" w:hAnsi="Calisto MT" w:cs="Book Antiqua"/>
          <w:b/>
          <w:lang w:val="id-ID"/>
        </w:rPr>
      </w:pPr>
      <w:r w:rsidRPr="00BF094B">
        <w:rPr>
          <w:rFonts w:ascii="Calisto MT" w:hAnsi="Calisto MT"/>
          <w:noProof/>
        </w:rPr>
        <w:drawing>
          <wp:inline distT="0" distB="0" distL="0" distR="0" wp14:anchorId="7C41D478" wp14:editId="0480FAA1">
            <wp:extent cx="2838734" cy="22291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004" t="22004" r="38726" b="11025"/>
                    <a:stretch/>
                  </pic:blipFill>
                  <pic:spPr bwMode="auto">
                    <a:xfrm>
                      <a:off x="0" y="0"/>
                      <a:ext cx="2849673" cy="2237724"/>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ind w:left="720"/>
        <w:jc w:val="left"/>
        <w:rPr>
          <w:rFonts w:ascii="Calisto MT" w:hAnsi="Calisto MT"/>
          <w:lang w:val="id-ID"/>
        </w:rPr>
      </w:pPr>
      <w:r w:rsidRPr="00BF094B">
        <w:rPr>
          <w:rFonts w:ascii="Calisto MT" w:hAnsi="Calisto MT"/>
          <w:b/>
        </w:rPr>
        <w:t xml:space="preserve">Gambar </w:t>
      </w:r>
      <w:r w:rsidRPr="00BF094B">
        <w:rPr>
          <w:rFonts w:ascii="Calisto MT" w:hAnsi="Calisto MT"/>
          <w:b/>
          <w:lang w:val="id-ID"/>
        </w:rPr>
        <w:t>3</w:t>
      </w:r>
      <w:r w:rsidRPr="00BF094B">
        <w:rPr>
          <w:rFonts w:ascii="Calisto MT" w:hAnsi="Calisto MT"/>
          <w:b/>
        </w:rPr>
        <w:t xml:space="preserve">. Hasil </w:t>
      </w:r>
      <w:r w:rsidRPr="00BF094B">
        <w:rPr>
          <w:rFonts w:ascii="Calisto MT" w:hAnsi="Calisto MT"/>
          <w:b/>
          <w:lang w:val="id-ID"/>
        </w:rPr>
        <w:t>R</w:t>
      </w:r>
      <w:r w:rsidRPr="00BF094B">
        <w:rPr>
          <w:rFonts w:ascii="Calisto MT" w:hAnsi="Calisto MT"/>
          <w:b/>
        </w:rPr>
        <w:t>EM Olahan Eviews 9.0, 2020</w:t>
      </w:r>
    </w:p>
    <w:p w:rsidR="00E95D09" w:rsidRPr="00BF094B" w:rsidRDefault="00E95D09" w:rsidP="00E95D09">
      <w:pPr>
        <w:ind w:left="720"/>
        <w:jc w:val="left"/>
        <w:rPr>
          <w:rFonts w:ascii="Calisto MT" w:hAnsi="Calisto MT"/>
          <w:lang w:val="id-ID"/>
        </w:rPr>
      </w:pPr>
      <w:r w:rsidRPr="00BF094B">
        <w:rPr>
          <w:rFonts w:ascii="Calisto MT" w:hAnsi="Calisto MT"/>
          <w:lang w:val="id-ID"/>
        </w:rPr>
        <w:t>Sumber: Data diolah</w:t>
      </w:r>
    </w:p>
    <w:p w:rsidR="00E95D09" w:rsidRPr="00BF094B" w:rsidRDefault="00E95D09" w:rsidP="00E95D09">
      <w:pPr>
        <w:pStyle w:val="ListParagraph"/>
        <w:jc w:val="left"/>
        <w:rPr>
          <w:rFonts w:ascii="Calisto MT" w:hAnsi="Calisto MT" w:cs="Book Antiqua"/>
          <w:b/>
          <w:lang w:val="id-ID"/>
        </w:rPr>
      </w:pPr>
    </w:p>
    <w:p w:rsidR="00E95D09" w:rsidRPr="00BF094B" w:rsidRDefault="00E95D09" w:rsidP="00E95D09">
      <w:pPr>
        <w:pStyle w:val="ListParagraph"/>
        <w:numPr>
          <w:ilvl w:val="0"/>
          <w:numId w:val="14"/>
        </w:numPr>
        <w:autoSpaceDE w:val="0"/>
        <w:autoSpaceDN w:val="0"/>
        <w:adjustRightInd w:val="0"/>
        <w:spacing w:after="0" w:line="240" w:lineRule="auto"/>
        <w:ind w:right="0"/>
        <w:jc w:val="left"/>
        <w:rPr>
          <w:rFonts w:ascii="Calisto MT" w:hAnsi="Calisto MT" w:cs="Book Antiqua"/>
          <w:lang w:val="id-ID"/>
        </w:rPr>
      </w:pPr>
      <w:r w:rsidRPr="00BF094B">
        <w:rPr>
          <w:rFonts w:ascii="Calisto MT" w:hAnsi="Calisto MT" w:cs="Book Antiqua"/>
          <w:b/>
          <w:bCs/>
          <w:lang w:val="id-ID"/>
        </w:rPr>
        <w:t xml:space="preserve">Pemilihan Model Estimasi Model </w:t>
      </w:r>
    </w:p>
    <w:p w:rsidR="00E95D09" w:rsidRPr="00BF094B" w:rsidRDefault="00E95D09" w:rsidP="00E95D09">
      <w:pPr>
        <w:pStyle w:val="ListParagraph"/>
        <w:numPr>
          <w:ilvl w:val="0"/>
          <w:numId w:val="16"/>
        </w:numPr>
        <w:spacing w:after="160" w:line="240" w:lineRule="auto"/>
        <w:ind w:left="1080" w:right="0"/>
        <w:jc w:val="left"/>
        <w:rPr>
          <w:rFonts w:ascii="Calisto MT" w:hAnsi="Calisto MT"/>
          <w:b/>
          <w:lang w:val="id-ID"/>
        </w:rPr>
      </w:pPr>
      <w:r w:rsidRPr="00BF094B">
        <w:rPr>
          <w:rFonts w:ascii="Calisto MT" w:hAnsi="Calisto MT"/>
          <w:b/>
          <w:lang w:val="id-ID"/>
        </w:rPr>
        <w:t>Uji Chow</w:t>
      </w:r>
    </w:p>
    <w:p w:rsidR="00E95D09" w:rsidRPr="00BF094B" w:rsidRDefault="00E95D09" w:rsidP="00E95D09">
      <w:pPr>
        <w:pStyle w:val="ListParagraph"/>
        <w:ind w:left="363"/>
        <w:jc w:val="left"/>
        <w:rPr>
          <w:rFonts w:ascii="Calisto MT" w:hAnsi="Calisto MT"/>
          <w:lang w:val="id-ID"/>
        </w:rPr>
      </w:pPr>
      <w:r w:rsidRPr="00BF094B">
        <w:rPr>
          <w:rFonts w:ascii="Calisto MT" w:hAnsi="Calisto MT"/>
          <w:noProof/>
        </w:rPr>
        <w:drawing>
          <wp:inline distT="0" distB="0" distL="0" distR="0" wp14:anchorId="631BAFDA" wp14:editId="38363555">
            <wp:extent cx="3174519" cy="15527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960" t="56157" r="37341" b="21038"/>
                    <a:stretch/>
                  </pic:blipFill>
                  <pic:spPr bwMode="auto">
                    <a:xfrm>
                      <a:off x="0" y="0"/>
                      <a:ext cx="3174519" cy="1552754"/>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ind w:left="363" w:firstLine="283"/>
        <w:jc w:val="left"/>
        <w:rPr>
          <w:rFonts w:ascii="Calisto MT" w:hAnsi="Calisto MT"/>
          <w:lang w:val="id-ID"/>
        </w:rPr>
      </w:pPr>
      <w:r w:rsidRPr="00BF094B">
        <w:rPr>
          <w:rFonts w:ascii="Calisto MT" w:hAnsi="Calisto MT"/>
          <w:lang w:val="id-ID"/>
        </w:rPr>
        <w:t>Sumber: Data diolah</w:t>
      </w:r>
    </w:p>
    <w:p w:rsidR="00E95D09" w:rsidRPr="00BF094B" w:rsidRDefault="00E95D09" w:rsidP="00E95D09">
      <w:pPr>
        <w:ind w:left="720" w:firstLine="437"/>
        <w:rPr>
          <w:rFonts w:ascii="Calisto MT" w:hAnsi="Calisto MT"/>
        </w:rPr>
      </w:pPr>
      <w:r w:rsidRPr="00BF094B">
        <w:rPr>
          <w:rFonts w:ascii="Calisto MT" w:hAnsi="Calisto MT"/>
          <w:lang w:val="id-ID"/>
        </w:rPr>
        <w:t>B</w:t>
      </w:r>
      <w:r w:rsidRPr="00BF094B">
        <w:rPr>
          <w:rFonts w:ascii="Calisto MT" w:hAnsi="Calisto MT"/>
        </w:rPr>
        <w:t xml:space="preserve">erdasarkan hasil perhitungan nilai Probabilitas Cross Section F dan Cross Section chi – square </w:t>
      </w:r>
      <w:r w:rsidRPr="00BF094B">
        <w:rPr>
          <w:rFonts w:ascii="Calisto MT" w:hAnsi="Calisto MT"/>
          <w:lang w:val="id-ID"/>
        </w:rPr>
        <w:t xml:space="preserve">&lt; </w:t>
      </w:r>
      <w:r w:rsidRPr="00BF094B">
        <w:rPr>
          <w:rFonts w:ascii="Calisto MT" w:hAnsi="Calisto MT"/>
        </w:rPr>
        <w:t>0,05 maka dapat disimpulkan bahwa FEM ( FIXED EFFECT MODEL) lebih layak digunakan dibandingkan</w:t>
      </w:r>
      <w:r w:rsidRPr="00BF094B">
        <w:rPr>
          <w:rFonts w:ascii="Calisto MT" w:hAnsi="Calisto MT"/>
          <w:lang w:val="id-ID"/>
        </w:rPr>
        <w:t xml:space="preserve"> </w:t>
      </w:r>
      <w:r>
        <w:rPr>
          <w:rFonts w:ascii="Calisto MT" w:hAnsi="Calisto MT"/>
        </w:rPr>
        <w:t>CEM ( COMMON EFFECT MODEL</w:t>
      </w:r>
      <w:r w:rsidRPr="00BF094B">
        <w:rPr>
          <w:rFonts w:ascii="Calisto MT" w:hAnsi="Calisto MT"/>
        </w:rPr>
        <w:t xml:space="preserve">). </w:t>
      </w:r>
    </w:p>
    <w:p w:rsidR="00E95D09" w:rsidRPr="00BF094B" w:rsidRDefault="00E95D09" w:rsidP="00E95D09">
      <w:pPr>
        <w:ind w:left="720"/>
        <w:jc w:val="left"/>
        <w:rPr>
          <w:rFonts w:ascii="Calisto MT" w:hAnsi="Calisto MT"/>
          <w:lang w:val="id-ID"/>
        </w:rPr>
      </w:pPr>
      <w:r w:rsidRPr="00BF094B">
        <w:rPr>
          <w:rFonts w:ascii="Calisto MT" w:hAnsi="Calisto MT"/>
        </w:rPr>
        <w:t>Cross Section F : 0.</w:t>
      </w:r>
      <w:r w:rsidRPr="00BF094B">
        <w:rPr>
          <w:rFonts w:ascii="Calisto MT" w:hAnsi="Calisto MT"/>
          <w:lang w:val="id-ID"/>
        </w:rPr>
        <w:t>0019</w:t>
      </w:r>
      <w:r w:rsidRPr="00BF094B">
        <w:rPr>
          <w:rFonts w:ascii="Calisto MT" w:hAnsi="Calisto MT"/>
        </w:rPr>
        <w:tab/>
      </w:r>
    </w:p>
    <w:p w:rsidR="00E95D09" w:rsidRPr="00BF094B" w:rsidRDefault="00E95D09" w:rsidP="00E95D09">
      <w:pPr>
        <w:ind w:left="720"/>
        <w:jc w:val="left"/>
        <w:rPr>
          <w:rFonts w:ascii="Calisto MT" w:hAnsi="Calisto MT"/>
          <w:lang w:val="id-ID"/>
        </w:rPr>
      </w:pPr>
      <w:r w:rsidRPr="00BF094B">
        <w:rPr>
          <w:rFonts w:ascii="Calisto MT" w:hAnsi="Calisto MT"/>
        </w:rPr>
        <w:t>Cross Section chi – square : 0,</w:t>
      </w:r>
      <w:r w:rsidRPr="00BF094B">
        <w:rPr>
          <w:rFonts w:ascii="Calisto MT" w:hAnsi="Calisto MT"/>
          <w:lang w:val="id-ID"/>
        </w:rPr>
        <w:t>0000</w:t>
      </w:r>
    </w:p>
    <w:p w:rsidR="00E95D09" w:rsidRPr="00BF094B" w:rsidRDefault="00E95D09" w:rsidP="00E95D09">
      <w:pPr>
        <w:pStyle w:val="ListParagraph"/>
        <w:numPr>
          <w:ilvl w:val="0"/>
          <w:numId w:val="16"/>
        </w:numPr>
        <w:spacing w:after="0" w:line="276" w:lineRule="auto"/>
        <w:ind w:left="723" w:right="0"/>
        <w:jc w:val="left"/>
        <w:rPr>
          <w:rFonts w:ascii="Calisto MT" w:hAnsi="Calisto MT"/>
          <w:b/>
          <w:lang w:val="id-ID"/>
        </w:rPr>
      </w:pPr>
      <w:r w:rsidRPr="00BF094B">
        <w:rPr>
          <w:rFonts w:ascii="Calisto MT" w:hAnsi="Calisto MT"/>
          <w:b/>
          <w:lang w:val="id-ID"/>
        </w:rPr>
        <w:t>Uji Hausman</w:t>
      </w:r>
    </w:p>
    <w:p w:rsidR="00E95D09" w:rsidRPr="00BF094B" w:rsidRDefault="00E95D09" w:rsidP="00E95D09">
      <w:pPr>
        <w:pStyle w:val="ListParagraph"/>
        <w:ind w:left="363"/>
        <w:jc w:val="left"/>
        <w:rPr>
          <w:rFonts w:ascii="Calisto MT" w:hAnsi="Calisto MT"/>
          <w:lang w:val="id-ID"/>
        </w:rPr>
      </w:pPr>
      <w:r w:rsidRPr="00BF094B">
        <w:rPr>
          <w:rFonts w:ascii="Calisto MT" w:hAnsi="Calisto MT"/>
          <w:noProof/>
        </w:rPr>
        <w:lastRenderedPageBreak/>
        <w:drawing>
          <wp:inline distT="0" distB="0" distL="0" distR="0" wp14:anchorId="12A8D061" wp14:editId="714ECC30">
            <wp:extent cx="2806811" cy="143916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122" t="39909" r="36217" b="38996"/>
                    <a:stretch/>
                  </pic:blipFill>
                  <pic:spPr bwMode="auto">
                    <a:xfrm>
                      <a:off x="0" y="0"/>
                      <a:ext cx="2806811" cy="1439163"/>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ind w:left="363"/>
        <w:jc w:val="left"/>
        <w:rPr>
          <w:rFonts w:ascii="Calisto MT" w:hAnsi="Calisto MT"/>
          <w:lang w:val="id-ID"/>
        </w:rPr>
      </w:pPr>
      <w:r w:rsidRPr="00BF094B">
        <w:rPr>
          <w:rFonts w:ascii="Calisto MT" w:hAnsi="Calisto MT"/>
          <w:lang w:val="id-ID"/>
        </w:rPr>
        <w:t>Sumber: Data diolah</w:t>
      </w:r>
    </w:p>
    <w:p w:rsidR="00E95D09" w:rsidRPr="00BF094B" w:rsidRDefault="00E95D09" w:rsidP="00E95D09">
      <w:pPr>
        <w:ind w:left="720" w:firstLine="360"/>
        <w:rPr>
          <w:rFonts w:ascii="Calisto MT" w:hAnsi="Calisto MT"/>
          <w:lang w:val="id-ID"/>
        </w:rPr>
      </w:pPr>
      <w:r w:rsidRPr="00BF094B">
        <w:rPr>
          <w:rFonts w:ascii="Calisto MT" w:hAnsi="Calisto MT"/>
        </w:rPr>
        <w:t>Berdasarkan hasil perhitungan  nilai probabilitas Cross Section Random &lt; 0.05 maka dapat disimpulkan bahwa FEM ( FIXED EFFECT MODEL) lebih layak digunakan dibandingkan REM ( RANDOM EFFECT MODEL ). Cross Section Random : 0.0000</w:t>
      </w:r>
    </w:p>
    <w:p w:rsidR="00E95D09" w:rsidRPr="00BF094B" w:rsidRDefault="00E95D09" w:rsidP="00E95D09">
      <w:pPr>
        <w:pStyle w:val="ListParagraph"/>
        <w:numPr>
          <w:ilvl w:val="0"/>
          <w:numId w:val="16"/>
        </w:numPr>
        <w:spacing w:after="0" w:line="240" w:lineRule="auto"/>
        <w:ind w:left="723" w:right="0"/>
        <w:jc w:val="left"/>
        <w:rPr>
          <w:rFonts w:ascii="Calisto MT" w:hAnsi="Calisto MT"/>
          <w:b/>
        </w:rPr>
      </w:pPr>
      <w:r w:rsidRPr="00BF094B">
        <w:rPr>
          <w:rFonts w:ascii="Calisto MT" w:hAnsi="Calisto MT"/>
          <w:b/>
        </w:rPr>
        <w:t xml:space="preserve">Uji Lagrange Multiplier </w:t>
      </w:r>
    </w:p>
    <w:p w:rsidR="00E95D09" w:rsidRPr="00BF094B" w:rsidRDefault="00E95D09" w:rsidP="00E95D09">
      <w:pPr>
        <w:pStyle w:val="Default"/>
        <w:ind w:left="363"/>
        <w:rPr>
          <w:rFonts w:ascii="Calisto MT" w:hAnsi="Calisto MT"/>
          <w:sz w:val="22"/>
          <w:szCs w:val="22"/>
          <w:lang w:val="id-ID"/>
        </w:rPr>
      </w:pPr>
      <w:r w:rsidRPr="00BF094B">
        <w:rPr>
          <w:rFonts w:ascii="Calisto MT" w:hAnsi="Calisto MT"/>
          <w:noProof/>
          <w:sz w:val="22"/>
          <w:szCs w:val="22"/>
          <w:lang w:val="en-US"/>
        </w:rPr>
        <w:drawing>
          <wp:inline distT="0" distB="0" distL="0" distR="0" wp14:anchorId="76FC3B0E" wp14:editId="45727E66">
            <wp:extent cx="2806811" cy="20074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5801" t="29362" r="42148" b="23318"/>
                    <a:stretch/>
                  </pic:blipFill>
                  <pic:spPr bwMode="auto">
                    <a:xfrm>
                      <a:off x="0" y="0"/>
                      <a:ext cx="2810261" cy="2009954"/>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pStyle w:val="ListParagraph"/>
        <w:ind w:left="363"/>
        <w:jc w:val="left"/>
        <w:rPr>
          <w:rFonts w:ascii="Calisto MT" w:hAnsi="Calisto MT"/>
          <w:lang w:val="id-ID"/>
        </w:rPr>
      </w:pPr>
      <w:r w:rsidRPr="00BF094B">
        <w:rPr>
          <w:rFonts w:ascii="Calisto MT" w:hAnsi="Calisto MT"/>
          <w:lang w:val="id-ID"/>
        </w:rPr>
        <w:t>Sumber: Data diolah</w:t>
      </w:r>
    </w:p>
    <w:p w:rsidR="00E95D09" w:rsidRPr="00BF094B" w:rsidRDefault="00E95D09" w:rsidP="00E95D09">
      <w:pPr>
        <w:pStyle w:val="Default"/>
        <w:ind w:left="363" w:firstLine="493"/>
        <w:jc w:val="both"/>
        <w:rPr>
          <w:rFonts w:ascii="Calisto MT" w:hAnsi="Calisto MT"/>
          <w:sz w:val="22"/>
          <w:szCs w:val="22"/>
        </w:rPr>
      </w:pPr>
      <w:r w:rsidRPr="00BF094B">
        <w:rPr>
          <w:rFonts w:ascii="Calisto MT" w:hAnsi="Calisto MT"/>
          <w:sz w:val="22"/>
          <w:szCs w:val="22"/>
        </w:rPr>
        <w:t>Berdasarkan hasil perhitungan diatas nilai probabilitas Cross Section Breausch Pagan diatas 0.05 maka dapat disimpulkan bahwa REM ( RANDOM EFFECT MODEL ) lebih layak digunakan diband</w:t>
      </w:r>
      <w:r>
        <w:rPr>
          <w:rFonts w:ascii="Calisto MT" w:hAnsi="Calisto MT"/>
          <w:sz w:val="22"/>
          <w:szCs w:val="22"/>
        </w:rPr>
        <w:t>ingkan CEM ( COMMON EFFECT MODEL</w:t>
      </w:r>
      <w:r w:rsidRPr="00BF094B">
        <w:rPr>
          <w:rFonts w:ascii="Calisto MT" w:hAnsi="Calisto MT"/>
          <w:sz w:val="22"/>
          <w:szCs w:val="22"/>
        </w:rPr>
        <w:t xml:space="preserve">). </w:t>
      </w:r>
    </w:p>
    <w:p w:rsidR="00E95D09" w:rsidRPr="00BF094B" w:rsidRDefault="00E95D09" w:rsidP="00E95D09">
      <w:pPr>
        <w:pStyle w:val="ListParagraph"/>
        <w:ind w:left="363"/>
        <w:jc w:val="left"/>
        <w:rPr>
          <w:rFonts w:ascii="Calisto MT" w:hAnsi="Calisto MT"/>
          <w:lang w:val="id-ID"/>
        </w:rPr>
      </w:pPr>
      <w:r w:rsidRPr="00BF094B">
        <w:rPr>
          <w:rFonts w:ascii="Calisto MT" w:hAnsi="Calisto MT"/>
        </w:rPr>
        <w:t>Cross Section Breausch Pagan :</w:t>
      </w:r>
      <w:r w:rsidRPr="00BF094B">
        <w:rPr>
          <w:rFonts w:ascii="Calisto MT" w:hAnsi="Calisto MT"/>
          <w:b/>
        </w:rPr>
        <w:t xml:space="preserve"> </w:t>
      </w:r>
      <w:r w:rsidRPr="00BF094B">
        <w:rPr>
          <w:rFonts w:ascii="Calisto MT" w:hAnsi="Calisto MT"/>
        </w:rPr>
        <w:t>0,</w:t>
      </w:r>
      <w:r w:rsidRPr="00BF094B">
        <w:rPr>
          <w:rFonts w:ascii="Calisto MT" w:hAnsi="Calisto MT"/>
          <w:lang w:val="id-ID"/>
        </w:rPr>
        <w:t>0470</w:t>
      </w:r>
    </w:p>
    <w:p w:rsidR="00E95D09" w:rsidRPr="00BF094B" w:rsidRDefault="00E95D09" w:rsidP="00E95D09">
      <w:pPr>
        <w:pStyle w:val="ListParagraph"/>
        <w:numPr>
          <w:ilvl w:val="0"/>
          <w:numId w:val="16"/>
        </w:numPr>
        <w:spacing w:after="160" w:line="240" w:lineRule="auto"/>
        <w:ind w:left="723" w:right="0"/>
        <w:jc w:val="left"/>
        <w:rPr>
          <w:rFonts w:ascii="Calisto MT" w:hAnsi="Calisto MT"/>
          <w:b/>
          <w:lang w:val="id-ID"/>
        </w:rPr>
      </w:pPr>
      <w:r w:rsidRPr="00BF094B">
        <w:rPr>
          <w:rFonts w:ascii="Calisto MT" w:hAnsi="Calisto MT"/>
          <w:b/>
          <w:lang w:val="id-ID"/>
        </w:rPr>
        <w:t>Kesimpulan Model</w:t>
      </w:r>
    </w:p>
    <w:p w:rsidR="00E95D09" w:rsidRPr="00BF094B" w:rsidRDefault="00E95D09" w:rsidP="00E95D09">
      <w:pPr>
        <w:pStyle w:val="ListParagraph"/>
        <w:ind w:left="0"/>
        <w:jc w:val="left"/>
        <w:rPr>
          <w:rFonts w:ascii="Calisto MT" w:hAnsi="Calisto MT"/>
          <w:lang w:val="id-ID"/>
        </w:rPr>
      </w:pPr>
      <w:r w:rsidRPr="00BF094B">
        <w:rPr>
          <w:rFonts w:ascii="Calisto MT" w:hAnsi="Calisto MT"/>
          <w:noProof/>
        </w:rPr>
        <w:drawing>
          <wp:inline distT="0" distB="0" distL="0" distR="0" wp14:anchorId="5467E1B3" wp14:editId="304A7748">
            <wp:extent cx="2993366" cy="7418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7244" t="49886" r="28845" b="36431"/>
                    <a:stretch/>
                  </pic:blipFill>
                  <pic:spPr bwMode="auto">
                    <a:xfrm>
                      <a:off x="0" y="0"/>
                      <a:ext cx="2993366" cy="741872"/>
                    </a:xfrm>
                    <a:prstGeom prst="rect">
                      <a:avLst/>
                    </a:prstGeom>
                    <a:ln>
                      <a:noFill/>
                    </a:ln>
                    <a:extLst>
                      <a:ext uri="{53640926-AAD7-44D8-BBD7-CCE9431645EC}">
                        <a14:shadowObscured xmlns:a14="http://schemas.microsoft.com/office/drawing/2010/main"/>
                      </a:ext>
                    </a:extLst>
                  </pic:spPr>
                </pic:pic>
              </a:graphicData>
            </a:graphic>
          </wp:inline>
        </w:drawing>
      </w:r>
    </w:p>
    <w:p w:rsidR="00E95D09" w:rsidRPr="00BF094B" w:rsidRDefault="00E95D09" w:rsidP="00E95D09">
      <w:pPr>
        <w:ind w:left="363"/>
        <w:jc w:val="left"/>
        <w:rPr>
          <w:rFonts w:ascii="Calisto MT" w:hAnsi="Calisto MT"/>
          <w:lang w:val="id-ID"/>
        </w:rPr>
      </w:pPr>
      <w:r w:rsidRPr="00BF094B">
        <w:rPr>
          <w:rFonts w:ascii="Calisto MT" w:hAnsi="Calisto MT"/>
          <w:lang w:val="id-ID"/>
        </w:rPr>
        <w:t>Sumber: Data diolah</w:t>
      </w:r>
    </w:p>
    <w:p w:rsidR="00E95D09" w:rsidRPr="00BF094B" w:rsidRDefault="00E95D09" w:rsidP="00E95D09">
      <w:pPr>
        <w:ind w:left="363"/>
        <w:jc w:val="left"/>
        <w:rPr>
          <w:rFonts w:ascii="Calisto MT" w:hAnsi="Calisto MT"/>
          <w:lang w:val="id-ID"/>
        </w:rPr>
      </w:pPr>
    </w:p>
    <w:p w:rsidR="00E95D09" w:rsidRPr="00BF094B" w:rsidRDefault="00E95D09" w:rsidP="00E95D09">
      <w:pPr>
        <w:spacing w:line="276" w:lineRule="auto"/>
        <w:jc w:val="left"/>
        <w:rPr>
          <w:rFonts w:ascii="Calisto MT" w:hAnsi="Calisto MT"/>
          <w:b/>
          <w:bCs/>
        </w:rPr>
      </w:pPr>
      <w:r w:rsidRPr="00BF094B">
        <w:rPr>
          <w:rFonts w:ascii="Calisto MT" w:hAnsi="Calisto MT"/>
          <w:b/>
          <w:bCs/>
        </w:rPr>
        <w:t>HASIL DAN PEMBAHASAN</w:t>
      </w:r>
    </w:p>
    <w:p w:rsidR="00E95D09" w:rsidRPr="00BF094B" w:rsidRDefault="00E95D09" w:rsidP="00E95D09">
      <w:pPr>
        <w:spacing w:line="276" w:lineRule="auto"/>
        <w:jc w:val="left"/>
        <w:rPr>
          <w:rFonts w:ascii="Calisto MT" w:hAnsi="Calisto MT"/>
        </w:rPr>
      </w:pPr>
      <w:r w:rsidRPr="00BF094B">
        <w:rPr>
          <w:rFonts w:ascii="Calisto MT" w:hAnsi="Calisto MT"/>
        </w:rPr>
        <w:t xml:space="preserve">Berdasarkan hasil uji analisis regresi data panel yang dilakukan maka model regresi yang dipilih adalah </w:t>
      </w:r>
      <w:r w:rsidRPr="00BF094B">
        <w:rPr>
          <w:rFonts w:ascii="Calisto MT" w:hAnsi="Calisto MT"/>
          <w:i/>
        </w:rPr>
        <w:t xml:space="preserve">Common Effect Model </w:t>
      </w:r>
      <w:r w:rsidRPr="00BF094B">
        <w:rPr>
          <w:rFonts w:ascii="Calisto MT" w:hAnsi="Calisto MT"/>
        </w:rPr>
        <w:t>(CEM). Hasil ini dilihat berdasarkan hasil uji chow, uji hausman dan uji langrange multiplier yang menunjukkan bahwa model CEM lebih layak digunakan dalam penelitian ini.</w:t>
      </w:r>
    </w:p>
    <w:p w:rsidR="00E95D09" w:rsidRPr="00BF094B" w:rsidRDefault="00E95D09" w:rsidP="00E95D09">
      <w:pPr>
        <w:ind w:firstLine="589"/>
        <w:jc w:val="left"/>
        <w:rPr>
          <w:rFonts w:ascii="Calisto MT" w:hAnsi="Calisto MT"/>
          <w:lang w:val="id-ID"/>
        </w:rPr>
      </w:pPr>
    </w:p>
    <w:p w:rsidR="00E95D09" w:rsidRPr="00BF094B" w:rsidRDefault="00E95D09" w:rsidP="00E95D09">
      <w:pPr>
        <w:spacing w:line="276" w:lineRule="auto"/>
        <w:jc w:val="left"/>
        <w:rPr>
          <w:rFonts w:ascii="Calisto MT" w:hAnsi="Calisto MT"/>
          <w:b/>
        </w:rPr>
      </w:pPr>
      <w:r w:rsidRPr="00BF094B">
        <w:rPr>
          <w:rFonts w:ascii="Calisto MT" w:hAnsi="Calisto MT"/>
          <w:b/>
        </w:rPr>
        <w:t>Pembahasan Hasil Penelitian</w:t>
      </w:r>
    </w:p>
    <w:p w:rsidR="00E95D09" w:rsidRPr="00BF094B" w:rsidRDefault="00E95D09" w:rsidP="00E95D09">
      <w:pPr>
        <w:pStyle w:val="ListParagraph"/>
        <w:numPr>
          <w:ilvl w:val="0"/>
          <w:numId w:val="17"/>
        </w:numPr>
        <w:spacing w:after="0" w:line="360" w:lineRule="auto"/>
        <w:ind w:right="0"/>
        <w:jc w:val="left"/>
        <w:rPr>
          <w:rFonts w:ascii="Calisto MT" w:hAnsi="Calisto MT" w:cs="Arial"/>
        </w:rPr>
      </w:pPr>
      <w:r w:rsidRPr="00BF094B">
        <w:rPr>
          <w:rFonts w:ascii="Calisto MT" w:hAnsi="Calisto MT" w:cs="Arial"/>
        </w:rPr>
        <w:t>Nilai Statistic  likuiditas sebesar 0.184826 sementara t tabel dengan tingkat a=5% df(n-k)=26 didapat nilai T tabel sebesar 2,05553 dengan demikian t-statistic 0.184826 &lt; T tabel 2,05553 dan nilai prob 0,8548 &gt; 0,05 maka dapat disimpulkan bahwa variabel likuiditas tidak berpengaruh terhadap kualitas laba</w:t>
      </w:r>
    </w:p>
    <w:p w:rsidR="00E95D09" w:rsidRPr="00BF094B" w:rsidRDefault="00E95D09" w:rsidP="00E95D09">
      <w:pPr>
        <w:pStyle w:val="ListParagraph"/>
        <w:numPr>
          <w:ilvl w:val="0"/>
          <w:numId w:val="17"/>
        </w:numPr>
        <w:spacing w:after="0" w:line="360" w:lineRule="auto"/>
        <w:ind w:right="0"/>
        <w:jc w:val="left"/>
        <w:rPr>
          <w:rFonts w:ascii="Calisto MT" w:hAnsi="Calisto MT" w:cs="Arial"/>
        </w:rPr>
      </w:pPr>
      <w:r w:rsidRPr="00BF094B">
        <w:rPr>
          <w:rFonts w:ascii="Calisto MT" w:hAnsi="Calisto MT" w:cs="Arial"/>
        </w:rPr>
        <w:lastRenderedPageBreak/>
        <w:t>Nilai Statistic  IOS sebesar 0.501763 sementara t tabel dengan tingkat a=5% df(n-k)=26 didapat nilai T tabel sebesar 2,05553 dengan demikian t-statistic 0.501763 &lt; T tabel 2,05553 dan nilai prob 0,6201 &gt; 0,05 maka dapat disimpulkan bahwa variabel IOS  tidak berpengaruh terhadap kualitas laba</w:t>
      </w:r>
    </w:p>
    <w:p w:rsidR="00E95D09" w:rsidRPr="00BF094B" w:rsidRDefault="00E95D09" w:rsidP="00E95D09">
      <w:pPr>
        <w:pStyle w:val="ListParagraph"/>
        <w:numPr>
          <w:ilvl w:val="0"/>
          <w:numId w:val="17"/>
        </w:numPr>
        <w:spacing w:after="0" w:line="360" w:lineRule="auto"/>
        <w:ind w:right="0"/>
        <w:jc w:val="left"/>
        <w:rPr>
          <w:rFonts w:ascii="Calisto MT" w:hAnsi="Calisto MT" w:cs="Arial"/>
        </w:rPr>
      </w:pPr>
      <w:r w:rsidRPr="00BF094B">
        <w:rPr>
          <w:rFonts w:ascii="Calisto MT" w:hAnsi="Calisto MT" w:cs="Arial"/>
        </w:rPr>
        <w:t>Nilai Statistic  Ukuran Perusahaan sebesar 2,427071 sementara t tabel dengan tingkat a=5% df(n-k)=26 didapat nilai T tabel sebesar 2,05553 dengan demikian t-statistic 2,427071 &gt; T tabel 2,05553 dan nilai prob 0,0225 &lt; 0,05 maka dapat disimpulkan bahwa variabel Ukuran Perusahaan berpengaruh terhadap kualitas laba</w:t>
      </w:r>
    </w:p>
    <w:p w:rsidR="00E95D09" w:rsidRPr="00BF094B" w:rsidRDefault="00E95D09" w:rsidP="00E95D09">
      <w:pPr>
        <w:pStyle w:val="ListParagraph"/>
        <w:numPr>
          <w:ilvl w:val="0"/>
          <w:numId w:val="17"/>
        </w:numPr>
        <w:spacing w:after="0" w:line="360" w:lineRule="auto"/>
        <w:ind w:right="0"/>
        <w:jc w:val="left"/>
        <w:rPr>
          <w:rFonts w:ascii="Calisto MT" w:hAnsi="Calisto MT" w:cs="Arial"/>
        </w:rPr>
      </w:pPr>
      <w:r w:rsidRPr="00BF094B">
        <w:rPr>
          <w:rFonts w:ascii="Calisto MT" w:hAnsi="Calisto MT" w:cs="Arial"/>
        </w:rPr>
        <w:t>Nilai Statistic  Pertumbuhan Laba sebesar 0.674022 sementara t tabel dengan tingkat a=5% df(n-k)=26 didapat nilai T tabel sebesar 2,05553 dengan demikian t-statistic 0.674022 &gt; T tabel 2,05553 dan nilai prob 0,5062 &gt; 0,05 maka dapat disimpulkan bahwa variabel Pertumbuhan Laba  tidak berpengaruh terhadap kualitas laba</w:t>
      </w:r>
    </w:p>
    <w:p w:rsidR="00E95D09" w:rsidRPr="00DB131F" w:rsidRDefault="00E95D09" w:rsidP="00E95D09">
      <w:pPr>
        <w:pStyle w:val="ListParagraph"/>
        <w:numPr>
          <w:ilvl w:val="0"/>
          <w:numId w:val="17"/>
        </w:numPr>
        <w:spacing w:after="0" w:line="360" w:lineRule="auto"/>
        <w:ind w:right="0"/>
        <w:jc w:val="left"/>
        <w:rPr>
          <w:rFonts w:ascii="Arial" w:hAnsi="Arial" w:cs="Arial"/>
          <w:sz w:val="24"/>
          <w:szCs w:val="18"/>
        </w:rPr>
      </w:pPr>
      <w:r w:rsidRPr="00BF094B">
        <w:rPr>
          <w:rFonts w:ascii="Calisto MT" w:hAnsi="Calisto MT" w:cs="Arial"/>
        </w:rPr>
        <w:t>Nilai Statistic  Profitabilitas sebesar 0.698937 sementara t tabel dengan tingkat a=5% df(n-k)=26 didapat nilai T tabel sebesar 2,05553 dengan demikian t-statistic 0.698937 &gt; T tabel 2,05553 dan nilai prob 0,4908 &gt; 0,05 maka dapat disimpulkan bahwa variabel Profitabilitas  tidak berpengaruh terhadap kualitas laba</w:t>
      </w:r>
    </w:p>
    <w:p w:rsidR="00E75BC7" w:rsidRDefault="00E75BC7">
      <w:pPr>
        <w:pStyle w:val="Heading1"/>
        <w:ind w:left="715" w:right="0"/>
      </w:pPr>
    </w:p>
    <w:p w:rsidR="00D16319" w:rsidRDefault="00E61BFA">
      <w:pPr>
        <w:pStyle w:val="Heading1"/>
        <w:ind w:left="715" w:right="0"/>
      </w:pPr>
      <w:r>
        <w:t xml:space="preserve">KESIMPULAN </w:t>
      </w:r>
    </w:p>
    <w:p w:rsidR="00E95D09" w:rsidRDefault="00E95D09" w:rsidP="00E95D09">
      <w:pPr>
        <w:spacing w:after="0" w:line="259" w:lineRule="auto"/>
        <w:ind w:left="0" w:right="0" w:firstLine="0"/>
      </w:pPr>
      <w:r>
        <w:t>Berdasarkan hasil analisis data dan pembahasan yang telah diuraikan, maka kesimpulan dari penelitian ini adalah sebagai berikut:</w:t>
      </w:r>
    </w:p>
    <w:p w:rsidR="00E95D09" w:rsidRDefault="00E95D09" w:rsidP="00E95D09">
      <w:pPr>
        <w:spacing w:after="0" w:line="259" w:lineRule="auto"/>
        <w:ind w:left="0" w:right="0" w:firstLine="0"/>
      </w:pPr>
      <w:r>
        <w:t>Struktur Modal tidak berpengaruh terhadap kualitas laba. Hal ini dibuktikan dengan signifigansi 0,8423 &gt; 0,05 yang berarti H1 ditolak.</w:t>
      </w:r>
    </w:p>
    <w:p w:rsidR="00E95D09" w:rsidRDefault="00E95D09" w:rsidP="00E95D09">
      <w:pPr>
        <w:spacing w:after="0" w:line="259" w:lineRule="auto"/>
        <w:ind w:left="0" w:right="0" w:firstLine="0"/>
      </w:pPr>
      <w:r>
        <w:t>Profitabilitas berpengaruh terhadap kualitas laba. Hal ini dibuktikan dengan signifigansi 0,0354 &lt; 0,05 yang berarti H2 diterima.</w:t>
      </w:r>
    </w:p>
    <w:p w:rsidR="00E95D09" w:rsidRDefault="00E95D09" w:rsidP="00E95D09">
      <w:pPr>
        <w:spacing w:after="0" w:line="259" w:lineRule="auto"/>
        <w:ind w:left="0" w:right="0" w:firstLine="0"/>
      </w:pPr>
      <w:r>
        <w:t>Pertumbuhan Laba tidak berpengaruh terhadap kualitas laba. Hal ini dibuktikan dengan signifigansi 0,6575 &gt; 0,05 yang berarti H3 ditolak.</w:t>
      </w:r>
    </w:p>
    <w:p w:rsidR="00E95D09" w:rsidRDefault="00E95D09" w:rsidP="00E95D09">
      <w:pPr>
        <w:spacing w:after="0" w:line="259" w:lineRule="auto"/>
        <w:ind w:left="0" w:right="0" w:firstLine="0"/>
      </w:pPr>
      <w:r>
        <w:t>Likuiditas berpengaruh terhadap kualitas laba. Hal ini dibuktikan dengan signifigansi 0,0385 &lt; 0,05 yang berarti H4 diterima.</w:t>
      </w:r>
    </w:p>
    <w:p w:rsidR="00E95D09" w:rsidRDefault="00E95D09" w:rsidP="00E95D09">
      <w:pPr>
        <w:spacing w:after="0" w:line="259" w:lineRule="auto"/>
        <w:ind w:left="0" w:right="0" w:firstLine="0"/>
      </w:pPr>
      <w:r>
        <w:t>Pertumbuhan Laba tidak berpengaruh terhadap kualitas laba. Hal ini dibuktikan dengan signifigansi 0,8853 &gt; 0,05 yang berarti H5 ditolak.</w:t>
      </w:r>
    </w:p>
    <w:p w:rsidR="00D16319" w:rsidRDefault="00E61BFA">
      <w:pPr>
        <w:spacing w:after="0" w:line="259" w:lineRule="auto"/>
        <w:ind w:left="0" w:right="0" w:firstLine="0"/>
        <w:jc w:val="left"/>
      </w:pPr>
      <w:r>
        <w:rPr>
          <w:b/>
        </w:rPr>
        <w:t xml:space="preserve"> </w:t>
      </w:r>
    </w:p>
    <w:p w:rsidR="00D16319" w:rsidRDefault="00E61BFA">
      <w:pPr>
        <w:pStyle w:val="Heading1"/>
        <w:ind w:left="715" w:right="0"/>
      </w:pPr>
      <w:r>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lastRenderedPageBreak/>
        <w:t>Abbas, Dirvi Surya; Ismail, Tubagus; Taqi, Muhamad; and Yazid, Helmi, "SYSTEMATIC MAPPING IN THE TOPIC OF KNOWLEDGE MANAGEMENT: BASED ON 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15"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lastRenderedPageBreak/>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6"/>
      <w:headerReference w:type="default" r:id="rId17"/>
      <w:footerReference w:type="even" r:id="rId18"/>
      <w:footerReference w:type="default" r:id="rId19"/>
      <w:headerReference w:type="first" r:id="rId20"/>
      <w:footerReference w:type="first" r:id="rId21"/>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C1D" w:rsidRDefault="00073C1D">
      <w:pPr>
        <w:spacing w:after="0" w:line="240" w:lineRule="auto"/>
      </w:pPr>
      <w:r>
        <w:separator/>
      </w:r>
    </w:p>
  </w:endnote>
  <w:endnote w:type="continuationSeparator" w:id="0">
    <w:p w:rsidR="00073C1D" w:rsidRDefault="0007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627632" w:rsidRPr="00627632">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C1D" w:rsidRDefault="00073C1D">
      <w:pPr>
        <w:spacing w:after="0" w:line="240" w:lineRule="auto"/>
      </w:pPr>
      <w:r>
        <w:separator/>
      </w:r>
    </w:p>
  </w:footnote>
  <w:footnote w:type="continuationSeparator" w:id="0">
    <w:p w:rsidR="00073C1D" w:rsidRDefault="0007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57D605E"/>
    <w:multiLevelType w:val="hybridMultilevel"/>
    <w:tmpl w:val="9D30D2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3D525F7"/>
    <w:multiLevelType w:val="hybridMultilevel"/>
    <w:tmpl w:val="399224E6"/>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5E1765"/>
    <w:multiLevelType w:val="hybridMultilevel"/>
    <w:tmpl w:val="B3A6956C"/>
    <w:lvl w:ilvl="0" w:tplc="04210019">
      <w:start w:val="1"/>
      <w:numFmt w:val="lowerLetter"/>
      <w:lvlText w:val="%1."/>
      <w:lvlJc w:val="left"/>
      <w:pPr>
        <w:ind w:left="1113" w:hanging="360"/>
      </w:pPr>
      <w:rPr>
        <w:rFonts w:hint="default"/>
        <w:b/>
      </w:rPr>
    </w:lvl>
    <w:lvl w:ilvl="1" w:tplc="04210019" w:tentative="1">
      <w:start w:val="1"/>
      <w:numFmt w:val="lowerLetter"/>
      <w:lvlText w:val="%2."/>
      <w:lvlJc w:val="left"/>
      <w:pPr>
        <w:ind w:left="1833" w:hanging="360"/>
      </w:pPr>
    </w:lvl>
    <w:lvl w:ilvl="2" w:tplc="0421001B" w:tentative="1">
      <w:start w:val="1"/>
      <w:numFmt w:val="lowerRoman"/>
      <w:lvlText w:val="%3."/>
      <w:lvlJc w:val="right"/>
      <w:pPr>
        <w:ind w:left="2553" w:hanging="180"/>
      </w:pPr>
    </w:lvl>
    <w:lvl w:ilvl="3" w:tplc="0421000F" w:tentative="1">
      <w:start w:val="1"/>
      <w:numFmt w:val="decimal"/>
      <w:lvlText w:val="%4."/>
      <w:lvlJc w:val="left"/>
      <w:pPr>
        <w:ind w:left="3273" w:hanging="360"/>
      </w:pPr>
    </w:lvl>
    <w:lvl w:ilvl="4" w:tplc="04210019" w:tentative="1">
      <w:start w:val="1"/>
      <w:numFmt w:val="lowerLetter"/>
      <w:lvlText w:val="%5."/>
      <w:lvlJc w:val="left"/>
      <w:pPr>
        <w:ind w:left="3993" w:hanging="360"/>
      </w:pPr>
    </w:lvl>
    <w:lvl w:ilvl="5" w:tplc="0421001B" w:tentative="1">
      <w:start w:val="1"/>
      <w:numFmt w:val="lowerRoman"/>
      <w:lvlText w:val="%6."/>
      <w:lvlJc w:val="right"/>
      <w:pPr>
        <w:ind w:left="4713" w:hanging="180"/>
      </w:pPr>
    </w:lvl>
    <w:lvl w:ilvl="6" w:tplc="0421000F" w:tentative="1">
      <w:start w:val="1"/>
      <w:numFmt w:val="decimal"/>
      <w:lvlText w:val="%7."/>
      <w:lvlJc w:val="left"/>
      <w:pPr>
        <w:ind w:left="5433" w:hanging="360"/>
      </w:pPr>
    </w:lvl>
    <w:lvl w:ilvl="7" w:tplc="04210019" w:tentative="1">
      <w:start w:val="1"/>
      <w:numFmt w:val="lowerLetter"/>
      <w:lvlText w:val="%8."/>
      <w:lvlJc w:val="left"/>
      <w:pPr>
        <w:ind w:left="6153" w:hanging="360"/>
      </w:pPr>
    </w:lvl>
    <w:lvl w:ilvl="8" w:tplc="0421001B" w:tentative="1">
      <w:start w:val="1"/>
      <w:numFmt w:val="lowerRoman"/>
      <w:lvlText w:val="%9."/>
      <w:lvlJc w:val="right"/>
      <w:pPr>
        <w:ind w:left="6873" w:hanging="180"/>
      </w:pPr>
    </w:lvl>
  </w:abstractNum>
  <w:abstractNum w:abstractNumId="8" w15:restartNumberingAfterBreak="0">
    <w:nsid w:val="3D3E428B"/>
    <w:multiLevelType w:val="hybridMultilevel"/>
    <w:tmpl w:val="F730B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0" w15:restartNumberingAfterBreak="0">
    <w:nsid w:val="425A405F"/>
    <w:multiLevelType w:val="hybridMultilevel"/>
    <w:tmpl w:val="82E27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4"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14"/>
  </w:num>
  <w:num w:numId="2">
    <w:abstractNumId w:val="16"/>
  </w:num>
  <w:num w:numId="3">
    <w:abstractNumId w:val="6"/>
  </w:num>
  <w:num w:numId="4">
    <w:abstractNumId w:val="12"/>
  </w:num>
  <w:num w:numId="5">
    <w:abstractNumId w:val="3"/>
  </w:num>
  <w:num w:numId="6">
    <w:abstractNumId w:val="1"/>
  </w:num>
  <w:num w:numId="7">
    <w:abstractNumId w:val="11"/>
  </w:num>
  <w:num w:numId="8">
    <w:abstractNumId w:val="4"/>
  </w:num>
  <w:num w:numId="9">
    <w:abstractNumId w:val="13"/>
  </w:num>
  <w:num w:numId="10">
    <w:abstractNumId w:val="15"/>
  </w:num>
  <w:num w:numId="11">
    <w:abstractNumId w:val="0"/>
  </w:num>
  <w:num w:numId="12">
    <w:abstractNumId w:val="9"/>
  </w:num>
  <w:num w:numId="13">
    <w:abstractNumId w:val="10"/>
  </w:num>
  <w:num w:numId="14">
    <w:abstractNumId w:val="5"/>
  </w:num>
  <w:num w:numId="15">
    <w:abstractNumId w:val="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00217B"/>
    <w:rsid w:val="00073C1D"/>
    <w:rsid w:val="00391DA7"/>
    <w:rsid w:val="003D6DDB"/>
    <w:rsid w:val="0040467C"/>
    <w:rsid w:val="00627632"/>
    <w:rsid w:val="00B92954"/>
    <w:rsid w:val="00CC18D3"/>
    <w:rsid w:val="00D05C5D"/>
    <w:rsid w:val="00D16319"/>
    <w:rsid w:val="00DE2AD6"/>
    <w:rsid w:val="00E117E8"/>
    <w:rsid w:val="00E61BFA"/>
    <w:rsid w:val="00E75BC7"/>
    <w:rsid w:val="00E95D09"/>
    <w:rsid w:val="00EC7047"/>
    <w:rsid w:val="00F31F44"/>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 w:type="character" w:customStyle="1" w:styleId="ListParagraphChar">
    <w:name w:val="List Paragraph Char"/>
    <w:link w:val="ListParagraph"/>
    <w:uiPriority w:val="34"/>
    <w:locked/>
    <w:rsid w:val="00E95D0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rsc.org/journals/index.php/IJAST/article/view/18715"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D624F1E3-8FA9-4C4D-8344-8397DB90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2023-12-01T07:57:00Z</dcterms:created>
  <dcterms:modified xsi:type="dcterms:W3CDTF">2023-12-01T07:57:00Z</dcterms:modified>
</cp:coreProperties>
</file>