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DEC" w:rsidRDefault="00115A8D" w:rsidP="00F253A8">
      <w:pPr>
        <w:pStyle w:val="Heading2"/>
        <w:ind w:left="245"/>
        <w:rPr>
          <w:i w:val="0"/>
          <w:sz w:val="32"/>
          <w:szCs w:val="32"/>
        </w:rPr>
      </w:pPr>
      <w:r>
        <w:rPr>
          <w:i w:val="0"/>
          <w:sz w:val="32"/>
          <w:szCs w:val="32"/>
        </w:rPr>
        <w:t>THE</w:t>
      </w:r>
      <w:r w:rsidR="00F253A8" w:rsidRPr="00F253A8">
        <w:rPr>
          <w:i w:val="0"/>
          <w:sz w:val="32"/>
          <w:szCs w:val="32"/>
        </w:rPr>
        <w:t xml:space="preserve"> STRATEGIC EXECUTION</w:t>
      </w:r>
      <w:r w:rsidR="007262AB">
        <w:rPr>
          <w:i w:val="0"/>
          <w:sz w:val="32"/>
          <w:szCs w:val="32"/>
        </w:rPr>
        <w:t xml:space="preserve"> PLAN</w:t>
      </w:r>
      <w:r w:rsidR="003A271C">
        <w:rPr>
          <w:i w:val="0"/>
          <w:sz w:val="32"/>
          <w:szCs w:val="32"/>
        </w:rPr>
        <w:t xml:space="preserve"> </w:t>
      </w:r>
      <w:r w:rsidR="00F253A8" w:rsidRPr="00F253A8">
        <w:rPr>
          <w:i w:val="0"/>
          <w:sz w:val="32"/>
          <w:szCs w:val="32"/>
        </w:rPr>
        <w:t>FOR ENHANCING FINANCIAL STRENGTH AND DIGITAL PERFORMANCE IN INDONESIA’S DIGITAL BANKING INDUSTRY</w:t>
      </w:r>
    </w:p>
    <w:p w:rsidR="00F253A8" w:rsidRPr="00F253A8" w:rsidRDefault="00F253A8" w:rsidP="00F253A8">
      <w:pPr>
        <w:pStyle w:val="Heading2"/>
        <w:ind w:left="245"/>
        <w:rPr>
          <w:i w:val="0"/>
          <w:sz w:val="32"/>
          <w:szCs w:val="32"/>
        </w:rPr>
      </w:pPr>
    </w:p>
    <w:p w:rsidR="00D12FAA" w:rsidRPr="00D12FAA" w:rsidRDefault="00204DEC" w:rsidP="0066722F">
      <w:pPr>
        <w:pStyle w:val="Heading2"/>
        <w:ind w:left="245" w:firstLine="39"/>
        <w:rPr>
          <w:i w:val="0"/>
          <w:sz w:val="22"/>
          <w:szCs w:val="22"/>
        </w:rPr>
      </w:pPr>
      <w:proofErr w:type="spellStart"/>
      <w:r>
        <w:rPr>
          <w:i w:val="0"/>
          <w:sz w:val="22"/>
          <w:szCs w:val="22"/>
        </w:rPr>
        <w:t>Syukron</w:t>
      </w:r>
      <w:proofErr w:type="spellEnd"/>
      <w:r>
        <w:rPr>
          <w:i w:val="0"/>
          <w:sz w:val="22"/>
          <w:szCs w:val="22"/>
        </w:rPr>
        <w:t xml:space="preserve"> </w:t>
      </w:r>
      <w:proofErr w:type="spellStart"/>
      <w:r>
        <w:rPr>
          <w:i w:val="0"/>
          <w:sz w:val="22"/>
          <w:szCs w:val="22"/>
        </w:rPr>
        <w:t>Sazly</w:t>
      </w:r>
      <w:proofErr w:type="spellEnd"/>
      <w:r w:rsidR="00197970" w:rsidRPr="00FC6C01">
        <w:rPr>
          <w:i w:val="0"/>
          <w:sz w:val="22"/>
          <w:szCs w:val="22"/>
        </w:rPr>
        <w:t xml:space="preserve"> </w:t>
      </w:r>
      <w:r w:rsidR="00D12FAA" w:rsidRPr="00D12FAA">
        <w:rPr>
          <w:i w:val="0"/>
          <w:sz w:val="22"/>
          <w:szCs w:val="22"/>
        </w:rPr>
        <w:t>¹</w:t>
      </w:r>
      <w:r w:rsidR="005D158E" w:rsidRPr="005D158E">
        <w:rPr>
          <w:i w:val="0"/>
          <w:sz w:val="22"/>
          <w:szCs w:val="22"/>
        </w:rPr>
        <w:t xml:space="preserve"> </w:t>
      </w:r>
      <w:proofErr w:type="spellStart"/>
      <w:r w:rsidR="00FC6C01">
        <w:rPr>
          <w:i w:val="0"/>
          <w:sz w:val="22"/>
          <w:szCs w:val="22"/>
        </w:rPr>
        <w:t>Harun</w:t>
      </w:r>
      <w:proofErr w:type="spellEnd"/>
      <w:r w:rsidR="00FC6C01">
        <w:rPr>
          <w:i w:val="0"/>
          <w:sz w:val="22"/>
          <w:szCs w:val="22"/>
        </w:rPr>
        <w:t xml:space="preserve"> Al </w:t>
      </w:r>
      <w:proofErr w:type="spellStart"/>
      <w:r w:rsidR="00FC6C01">
        <w:rPr>
          <w:i w:val="0"/>
          <w:sz w:val="22"/>
          <w:szCs w:val="22"/>
        </w:rPr>
        <w:t>Rasyid</w:t>
      </w:r>
      <w:proofErr w:type="spellEnd"/>
      <w:r w:rsidR="00FC6C01" w:rsidRPr="00D12FAA">
        <w:rPr>
          <w:i w:val="0"/>
          <w:spacing w:val="-2"/>
          <w:sz w:val="22"/>
          <w:szCs w:val="22"/>
        </w:rPr>
        <w:t xml:space="preserve"> </w:t>
      </w:r>
      <w:r w:rsidR="00172944">
        <w:rPr>
          <w:i w:val="0"/>
          <w:sz w:val="22"/>
          <w:szCs w:val="22"/>
        </w:rPr>
        <w:t xml:space="preserve">², </w:t>
      </w:r>
      <w:proofErr w:type="spellStart"/>
      <w:r w:rsidRPr="00FC6C01">
        <w:rPr>
          <w:i w:val="0"/>
          <w:color w:val="1A202C"/>
          <w:sz w:val="22"/>
          <w:szCs w:val="22"/>
          <w:shd w:val="clear" w:color="auto" w:fill="FFFFFF"/>
        </w:rPr>
        <w:t>Agus</w:t>
      </w:r>
      <w:proofErr w:type="spellEnd"/>
      <w:r w:rsidRPr="00FC6C01">
        <w:rPr>
          <w:i w:val="0"/>
          <w:color w:val="1A202C"/>
          <w:sz w:val="22"/>
          <w:szCs w:val="22"/>
          <w:shd w:val="clear" w:color="auto" w:fill="FFFFFF"/>
        </w:rPr>
        <w:t xml:space="preserve"> Tri Indah K</w:t>
      </w:r>
      <w:r w:rsidRPr="00FC6C01">
        <w:rPr>
          <w:i w:val="0"/>
          <w:sz w:val="22"/>
          <w:szCs w:val="22"/>
        </w:rPr>
        <w:t xml:space="preserve"> </w:t>
      </w:r>
      <w:r w:rsidR="00B80300" w:rsidRPr="00FC6C01">
        <w:rPr>
          <w:i w:val="0"/>
          <w:sz w:val="22"/>
          <w:szCs w:val="22"/>
        </w:rPr>
        <w:t>³</w:t>
      </w:r>
      <w:r w:rsidR="002C6C9C" w:rsidRPr="00D12FAA">
        <w:rPr>
          <w:b w:val="0"/>
          <w:i w:val="0"/>
          <w:sz w:val="20"/>
          <w:szCs w:val="20"/>
          <w:vertAlign w:val="superscript"/>
        </w:rPr>
        <w:t xml:space="preserve"> </w:t>
      </w:r>
    </w:p>
    <w:p w:rsidR="00D12FAA" w:rsidRPr="00D12FAA" w:rsidRDefault="00D12FAA" w:rsidP="0066722F">
      <w:pPr>
        <w:pStyle w:val="Heading2"/>
        <w:ind w:left="0" w:firstLine="39"/>
        <w:rPr>
          <w:b w:val="0"/>
          <w:i w:val="0"/>
          <w:sz w:val="20"/>
          <w:szCs w:val="20"/>
        </w:rPr>
      </w:pPr>
      <w:r w:rsidRPr="00D12FAA">
        <w:rPr>
          <w:b w:val="0"/>
          <w:i w:val="0"/>
        </w:rPr>
        <w:t xml:space="preserve">   </w:t>
      </w:r>
      <w:r w:rsidRPr="00D12FAA">
        <w:rPr>
          <w:b w:val="0"/>
          <w:i w:val="0"/>
          <w:sz w:val="20"/>
          <w:szCs w:val="20"/>
        </w:rPr>
        <w:t xml:space="preserve"> ¹,</w:t>
      </w:r>
      <w:r w:rsidRPr="00D12FAA">
        <w:rPr>
          <w:b w:val="0"/>
          <w:i w:val="0"/>
          <w:spacing w:val="-1"/>
          <w:sz w:val="20"/>
          <w:szCs w:val="20"/>
        </w:rPr>
        <w:t xml:space="preserve"> </w:t>
      </w:r>
      <w:r w:rsidRPr="00D12FAA">
        <w:rPr>
          <w:b w:val="0"/>
          <w:i w:val="0"/>
          <w:sz w:val="20"/>
          <w:szCs w:val="20"/>
        </w:rPr>
        <w:t xml:space="preserve">², </w:t>
      </w:r>
      <w:r w:rsidRPr="00D12FAA">
        <w:rPr>
          <w:b w:val="0"/>
          <w:i w:val="0"/>
          <w:spacing w:val="-2"/>
          <w:sz w:val="20"/>
          <w:szCs w:val="20"/>
        </w:rPr>
        <w:t xml:space="preserve"> </w:t>
      </w:r>
      <w:r w:rsidR="00F667C8">
        <w:rPr>
          <w:b w:val="0"/>
          <w:i w:val="0"/>
          <w:sz w:val="20"/>
          <w:szCs w:val="20"/>
        </w:rPr>
        <w:t>³,</w:t>
      </w:r>
      <w:r w:rsidRPr="00D12FAA">
        <w:rPr>
          <w:b w:val="0"/>
          <w:i w:val="0"/>
          <w:sz w:val="20"/>
          <w:szCs w:val="20"/>
          <w:vertAlign w:val="superscript"/>
        </w:rPr>
        <w:t xml:space="preserve">)  </w:t>
      </w:r>
      <w:proofErr w:type="spellStart"/>
      <w:r w:rsidRPr="00D12FAA">
        <w:rPr>
          <w:b w:val="0"/>
          <w:i w:val="0"/>
          <w:sz w:val="20"/>
          <w:szCs w:val="20"/>
        </w:rPr>
        <w:t>Universitas</w:t>
      </w:r>
      <w:proofErr w:type="spellEnd"/>
      <w:r w:rsidRPr="00D12FAA">
        <w:rPr>
          <w:b w:val="0"/>
          <w:i w:val="0"/>
          <w:sz w:val="20"/>
          <w:szCs w:val="20"/>
        </w:rPr>
        <w:t xml:space="preserve"> </w:t>
      </w:r>
      <w:proofErr w:type="spellStart"/>
      <w:r w:rsidRPr="00D12FAA">
        <w:rPr>
          <w:b w:val="0"/>
          <w:i w:val="0"/>
          <w:sz w:val="20"/>
          <w:szCs w:val="20"/>
        </w:rPr>
        <w:t>Bina</w:t>
      </w:r>
      <w:proofErr w:type="spellEnd"/>
      <w:r w:rsidRPr="00D12FAA">
        <w:rPr>
          <w:b w:val="0"/>
          <w:i w:val="0"/>
          <w:sz w:val="20"/>
          <w:szCs w:val="20"/>
        </w:rPr>
        <w:t xml:space="preserve"> </w:t>
      </w:r>
      <w:proofErr w:type="spellStart"/>
      <w:r w:rsidRPr="00D12FAA">
        <w:rPr>
          <w:b w:val="0"/>
          <w:i w:val="0"/>
          <w:sz w:val="20"/>
          <w:szCs w:val="20"/>
        </w:rPr>
        <w:t>Sarana</w:t>
      </w:r>
      <w:proofErr w:type="spellEnd"/>
      <w:r w:rsidRPr="00D12FAA">
        <w:rPr>
          <w:b w:val="0"/>
          <w:i w:val="0"/>
          <w:sz w:val="20"/>
          <w:szCs w:val="20"/>
        </w:rPr>
        <w:t xml:space="preserve"> </w:t>
      </w:r>
      <w:proofErr w:type="spellStart"/>
      <w:r w:rsidRPr="00D12FAA">
        <w:rPr>
          <w:b w:val="0"/>
          <w:i w:val="0"/>
          <w:sz w:val="20"/>
          <w:szCs w:val="20"/>
        </w:rPr>
        <w:t>Informatika</w:t>
      </w:r>
      <w:proofErr w:type="spellEnd"/>
    </w:p>
    <w:p w:rsidR="00D12FAA" w:rsidRPr="00D12FAA" w:rsidRDefault="00D12FAA" w:rsidP="0066722F">
      <w:pPr>
        <w:pStyle w:val="Heading2"/>
        <w:ind w:left="0" w:firstLine="39"/>
        <w:rPr>
          <w:b w:val="0"/>
          <w:i w:val="0"/>
          <w:color w:val="000000" w:themeColor="text1"/>
          <w:sz w:val="20"/>
          <w:szCs w:val="20"/>
        </w:rPr>
      </w:pPr>
      <w:r w:rsidRPr="00D12FAA">
        <w:rPr>
          <w:b w:val="0"/>
          <w:i w:val="0"/>
          <w:sz w:val="20"/>
          <w:szCs w:val="20"/>
        </w:rPr>
        <w:t xml:space="preserve">     Email: </w:t>
      </w:r>
      <w:r w:rsidRPr="00D12FAA">
        <w:rPr>
          <w:b w:val="0"/>
          <w:i w:val="0"/>
          <w:color w:val="000000" w:themeColor="text1"/>
          <w:sz w:val="20"/>
          <w:szCs w:val="20"/>
        </w:rPr>
        <w:t xml:space="preserve"> </w:t>
      </w:r>
      <w:hyperlink r:id="rId9" w:history="1">
        <w:r w:rsidR="00204DEC" w:rsidRPr="00C04E13">
          <w:rPr>
            <w:rStyle w:val="Hyperlink"/>
            <w:b w:val="0"/>
            <w:i w:val="0"/>
            <w:sz w:val="20"/>
            <w:szCs w:val="20"/>
          </w:rPr>
          <w:t>syukron.szy@bsi.ac.id</w:t>
        </w:r>
      </w:hyperlink>
    </w:p>
    <w:p w:rsidR="00C504FB" w:rsidRDefault="00C504FB">
      <w:pPr>
        <w:pStyle w:val="BodyText"/>
        <w:spacing w:before="7" w:after="1"/>
        <w:rPr>
          <w:sz w:val="27"/>
        </w:rPr>
      </w:pPr>
    </w:p>
    <w:tbl>
      <w:tblPr>
        <w:tblW w:w="0" w:type="auto"/>
        <w:tblInd w:w="567" w:type="dxa"/>
        <w:tblLayout w:type="fixed"/>
        <w:tblCellMar>
          <w:left w:w="0" w:type="dxa"/>
          <w:right w:w="0" w:type="dxa"/>
        </w:tblCellMar>
        <w:tblLook w:val="01E0" w:firstRow="1" w:lastRow="1" w:firstColumn="1" w:lastColumn="1" w:noHBand="0" w:noVBand="0"/>
      </w:tblPr>
      <w:tblGrid>
        <w:gridCol w:w="5954"/>
        <w:gridCol w:w="3189"/>
      </w:tblGrid>
      <w:tr w:rsidR="00C504FB" w:rsidTr="00172944">
        <w:trPr>
          <w:trHeight w:val="8281"/>
        </w:trPr>
        <w:tc>
          <w:tcPr>
            <w:tcW w:w="5954" w:type="dxa"/>
            <w:tcBorders>
              <w:top w:val="single" w:sz="4" w:space="0" w:color="000000"/>
            </w:tcBorders>
          </w:tcPr>
          <w:p w:rsidR="004A013E" w:rsidRPr="004A013E" w:rsidRDefault="00BC1009" w:rsidP="004A013E">
            <w:pPr>
              <w:widowControl/>
              <w:autoSpaceDE/>
              <w:autoSpaceDN/>
              <w:spacing w:before="100" w:beforeAutospacing="1" w:after="100" w:afterAutospacing="1"/>
              <w:jc w:val="both"/>
              <w:rPr>
                <w:i/>
                <w:sz w:val="20"/>
                <w:szCs w:val="20"/>
              </w:rPr>
            </w:pPr>
            <w:r w:rsidRPr="007E36CD">
              <w:rPr>
                <w:b/>
                <w:sz w:val="18"/>
                <w:szCs w:val="18"/>
              </w:rPr>
              <w:t>ABSTRAK</w:t>
            </w:r>
            <w:r w:rsidR="00E06AAD" w:rsidRPr="007E36CD">
              <w:rPr>
                <w:sz w:val="18"/>
                <w:szCs w:val="18"/>
              </w:rPr>
              <w:br/>
            </w:r>
            <w:proofErr w:type="spellStart"/>
            <w:r w:rsidR="004A013E" w:rsidRPr="004A013E">
              <w:rPr>
                <w:i/>
                <w:sz w:val="20"/>
                <w:szCs w:val="20"/>
              </w:rPr>
              <w:t>Penelitian</w:t>
            </w:r>
            <w:proofErr w:type="spellEnd"/>
            <w:r w:rsidR="004A013E" w:rsidRPr="004A013E">
              <w:rPr>
                <w:i/>
                <w:sz w:val="20"/>
                <w:szCs w:val="20"/>
              </w:rPr>
              <w:t xml:space="preserve"> </w:t>
            </w:r>
            <w:proofErr w:type="spellStart"/>
            <w:r w:rsidR="004A013E" w:rsidRPr="004A013E">
              <w:rPr>
                <w:i/>
                <w:sz w:val="20"/>
                <w:szCs w:val="20"/>
              </w:rPr>
              <w:t>ini</w:t>
            </w:r>
            <w:proofErr w:type="spellEnd"/>
            <w:r w:rsidR="004A013E" w:rsidRPr="004A013E">
              <w:rPr>
                <w:i/>
                <w:sz w:val="20"/>
                <w:szCs w:val="20"/>
              </w:rPr>
              <w:t xml:space="preserve"> </w:t>
            </w:r>
            <w:proofErr w:type="spellStart"/>
            <w:r w:rsidR="004A013E" w:rsidRPr="004A013E">
              <w:rPr>
                <w:i/>
                <w:sz w:val="20"/>
                <w:szCs w:val="20"/>
              </w:rPr>
              <w:t>bertujuan</w:t>
            </w:r>
            <w:proofErr w:type="spellEnd"/>
            <w:r w:rsidR="004A013E" w:rsidRPr="004A013E">
              <w:rPr>
                <w:i/>
                <w:sz w:val="20"/>
                <w:szCs w:val="20"/>
              </w:rPr>
              <w:t xml:space="preserve"> </w:t>
            </w:r>
            <w:proofErr w:type="spellStart"/>
            <w:r w:rsidR="004A013E" w:rsidRPr="004A013E">
              <w:rPr>
                <w:i/>
                <w:sz w:val="20"/>
                <w:szCs w:val="20"/>
              </w:rPr>
              <w:t>untuk</w:t>
            </w:r>
            <w:proofErr w:type="spellEnd"/>
            <w:r w:rsidR="004A013E" w:rsidRPr="004A013E">
              <w:rPr>
                <w:i/>
                <w:sz w:val="20"/>
                <w:szCs w:val="20"/>
              </w:rPr>
              <w:t xml:space="preserve"> </w:t>
            </w:r>
            <w:proofErr w:type="spellStart"/>
            <w:r w:rsidR="004A013E" w:rsidRPr="004A013E">
              <w:rPr>
                <w:i/>
                <w:sz w:val="20"/>
                <w:szCs w:val="20"/>
              </w:rPr>
              <w:t>menganalisis</w:t>
            </w:r>
            <w:proofErr w:type="spellEnd"/>
            <w:r w:rsidR="004A013E" w:rsidRPr="004A013E">
              <w:rPr>
                <w:i/>
                <w:sz w:val="20"/>
                <w:szCs w:val="20"/>
              </w:rPr>
              <w:t xml:space="preserve"> </w:t>
            </w:r>
            <w:proofErr w:type="spellStart"/>
            <w:r w:rsidR="004A013E" w:rsidRPr="004A013E">
              <w:rPr>
                <w:i/>
                <w:sz w:val="20"/>
                <w:szCs w:val="20"/>
              </w:rPr>
              <w:t>kinerja</w:t>
            </w:r>
            <w:proofErr w:type="spellEnd"/>
            <w:r w:rsidR="004A013E" w:rsidRPr="004A013E">
              <w:rPr>
                <w:i/>
                <w:sz w:val="20"/>
                <w:szCs w:val="20"/>
              </w:rPr>
              <w:t xml:space="preserve"> </w:t>
            </w:r>
            <w:proofErr w:type="spellStart"/>
            <w:r w:rsidR="004A013E" w:rsidRPr="004A013E">
              <w:rPr>
                <w:i/>
                <w:sz w:val="20"/>
                <w:szCs w:val="20"/>
              </w:rPr>
              <w:t>keuangan</w:t>
            </w:r>
            <w:proofErr w:type="spellEnd"/>
            <w:r w:rsidR="004A013E" w:rsidRPr="004A013E">
              <w:rPr>
                <w:i/>
                <w:sz w:val="20"/>
                <w:szCs w:val="20"/>
              </w:rPr>
              <w:t xml:space="preserve"> </w:t>
            </w:r>
            <w:proofErr w:type="spellStart"/>
            <w:r w:rsidR="004A013E" w:rsidRPr="004A013E">
              <w:rPr>
                <w:i/>
                <w:sz w:val="20"/>
                <w:szCs w:val="20"/>
              </w:rPr>
              <w:t>dan</w:t>
            </w:r>
            <w:proofErr w:type="spellEnd"/>
            <w:r w:rsidR="004A013E" w:rsidRPr="004A013E">
              <w:rPr>
                <w:i/>
                <w:sz w:val="20"/>
                <w:szCs w:val="20"/>
              </w:rPr>
              <w:t xml:space="preserve"> </w:t>
            </w:r>
            <w:proofErr w:type="spellStart"/>
            <w:r w:rsidR="004A013E" w:rsidRPr="004A013E">
              <w:rPr>
                <w:i/>
                <w:sz w:val="20"/>
                <w:szCs w:val="20"/>
              </w:rPr>
              <w:t>kinerja</w:t>
            </w:r>
            <w:proofErr w:type="spellEnd"/>
            <w:r w:rsidR="004A013E" w:rsidRPr="004A013E">
              <w:rPr>
                <w:i/>
                <w:sz w:val="20"/>
                <w:szCs w:val="20"/>
              </w:rPr>
              <w:t xml:space="preserve"> digital lima bank digital </w:t>
            </w:r>
            <w:proofErr w:type="spellStart"/>
            <w:r w:rsidR="004A013E" w:rsidRPr="004A013E">
              <w:rPr>
                <w:i/>
                <w:sz w:val="20"/>
                <w:szCs w:val="20"/>
              </w:rPr>
              <w:t>te</w:t>
            </w:r>
            <w:r w:rsidR="004A013E">
              <w:rPr>
                <w:i/>
                <w:sz w:val="20"/>
                <w:szCs w:val="20"/>
              </w:rPr>
              <w:t>rbesar</w:t>
            </w:r>
            <w:proofErr w:type="spellEnd"/>
            <w:r w:rsidR="004A013E">
              <w:rPr>
                <w:i/>
                <w:sz w:val="20"/>
                <w:szCs w:val="20"/>
              </w:rPr>
              <w:t xml:space="preserve"> di Indonesia </w:t>
            </w:r>
            <w:proofErr w:type="spellStart"/>
            <w:r w:rsidR="004A013E">
              <w:rPr>
                <w:i/>
                <w:sz w:val="20"/>
                <w:szCs w:val="20"/>
              </w:rPr>
              <w:t>tahun</w:t>
            </w:r>
            <w:proofErr w:type="spellEnd"/>
            <w:r w:rsidR="004A013E">
              <w:rPr>
                <w:i/>
                <w:sz w:val="20"/>
                <w:szCs w:val="20"/>
              </w:rPr>
              <w:t xml:space="preserve"> 2025, </w:t>
            </w:r>
            <w:proofErr w:type="spellStart"/>
            <w:r w:rsidR="004A013E" w:rsidRPr="004A013E">
              <w:rPr>
                <w:i/>
                <w:sz w:val="20"/>
                <w:szCs w:val="20"/>
              </w:rPr>
              <w:t>serta</w:t>
            </w:r>
            <w:proofErr w:type="spellEnd"/>
            <w:r w:rsidR="004A013E" w:rsidRPr="004A013E">
              <w:rPr>
                <w:i/>
                <w:sz w:val="20"/>
                <w:szCs w:val="20"/>
              </w:rPr>
              <w:t xml:space="preserve"> </w:t>
            </w:r>
            <w:proofErr w:type="spellStart"/>
            <w:r w:rsidR="004A013E" w:rsidRPr="004A013E">
              <w:rPr>
                <w:i/>
                <w:sz w:val="20"/>
                <w:szCs w:val="20"/>
              </w:rPr>
              <w:t>merumuskan</w:t>
            </w:r>
            <w:proofErr w:type="spellEnd"/>
            <w:r w:rsidR="004A013E" w:rsidRPr="004A013E">
              <w:rPr>
                <w:i/>
                <w:sz w:val="20"/>
                <w:szCs w:val="20"/>
              </w:rPr>
              <w:t xml:space="preserve"> </w:t>
            </w:r>
            <w:proofErr w:type="spellStart"/>
            <w:r w:rsidR="004A013E" w:rsidRPr="004A013E">
              <w:rPr>
                <w:i/>
                <w:sz w:val="20"/>
                <w:szCs w:val="20"/>
              </w:rPr>
              <w:t>strategi</w:t>
            </w:r>
            <w:proofErr w:type="spellEnd"/>
            <w:r w:rsidR="004A013E" w:rsidRPr="004A013E">
              <w:rPr>
                <w:i/>
                <w:sz w:val="20"/>
                <w:szCs w:val="20"/>
              </w:rPr>
              <w:t xml:space="preserve"> </w:t>
            </w:r>
            <w:proofErr w:type="spellStart"/>
            <w:r w:rsidR="004A013E">
              <w:rPr>
                <w:i/>
                <w:sz w:val="20"/>
                <w:szCs w:val="20"/>
              </w:rPr>
              <w:t>pengembangan</w:t>
            </w:r>
            <w:proofErr w:type="spellEnd"/>
            <w:r w:rsidR="004A013E">
              <w:rPr>
                <w:i/>
                <w:sz w:val="20"/>
                <w:szCs w:val="20"/>
              </w:rPr>
              <w:t xml:space="preserve"> </w:t>
            </w:r>
            <w:proofErr w:type="spellStart"/>
            <w:r w:rsidR="004A013E">
              <w:rPr>
                <w:i/>
                <w:sz w:val="20"/>
                <w:szCs w:val="20"/>
              </w:rPr>
              <w:t>berbasis</w:t>
            </w:r>
            <w:proofErr w:type="spellEnd"/>
            <w:r w:rsidR="004A013E">
              <w:rPr>
                <w:i/>
                <w:sz w:val="20"/>
                <w:szCs w:val="20"/>
              </w:rPr>
              <w:t xml:space="preserve"> SWOT–TOWS </w:t>
            </w:r>
            <w:r w:rsidR="004A013E" w:rsidRPr="004A013E">
              <w:rPr>
                <w:i/>
                <w:sz w:val="20"/>
                <w:szCs w:val="20"/>
              </w:rPr>
              <w:t xml:space="preserve"> </w:t>
            </w:r>
            <w:proofErr w:type="spellStart"/>
            <w:r w:rsidR="004A013E">
              <w:rPr>
                <w:i/>
                <w:sz w:val="20"/>
                <w:szCs w:val="20"/>
              </w:rPr>
              <w:t>dengan</w:t>
            </w:r>
            <w:proofErr w:type="spellEnd"/>
            <w:r w:rsidR="004A013E">
              <w:rPr>
                <w:i/>
                <w:sz w:val="20"/>
                <w:szCs w:val="20"/>
              </w:rPr>
              <w:t xml:space="preserve"> </w:t>
            </w:r>
            <w:proofErr w:type="spellStart"/>
            <w:r w:rsidR="004A013E" w:rsidRPr="004A013E">
              <w:rPr>
                <w:i/>
                <w:sz w:val="20"/>
                <w:szCs w:val="20"/>
              </w:rPr>
              <w:t>menggunakan</w:t>
            </w:r>
            <w:proofErr w:type="spellEnd"/>
            <w:r w:rsidR="004A013E" w:rsidRPr="004A013E">
              <w:rPr>
                <w:i/>
                <w:sz w:val="20"/>
                <w:szCs w:val="20"/>
              </w:rPr>
              <w:t xml:space="preserve"> </w:t>
            </w:r>
            <w:proofErr w:type="spellStart"/>
            <w:r w:rsidR="004A013E" w:rsidRPr="004A013E">
              <w:rPr>
                <w:i/>
                <w:sz w:val="20"/>
                <w:szCs w:val="20"/>
              </w:rPr>
              <w:t>pendekatan</w:t>
            </w:r>
            <w:proofErr w:type="spellEnd"/>
            <w:r w:rsidR="004A013E" w:rsidRPr="004A013E">
              <w:rPr>
                <w:i/>
                <w:sz w:val="20"/>
                <w:szCs w:val="20"/>
              </w:rPr>
              <w:t xml:space="preserve"> </w:t>
            </w:r>
            <w:proofErr w:type="spellStart"/>
            <w:r w:rsidR="004A013E" w:rsidRPr="004A013E">
              <w:rPr>
                <w:i/>
                <w:sz w:val="20"/>
                <w:szCs w:val="20"/>
              </w:rPr>
              <w:t>kuantitatif</w:t>
            </w:r>
            <w:proofErr w:type="spellEnd"/>
            <w:r w:rsidR="004A013E" w:rsidRPr="004A013E">
              <w:rPr>
                <w:i/>
                <w:sz w:val="20"/>
                <w:szCs w:val="20"/>
              </w:rPr>
              <w:t xml:space="preserve"> </w:t>
            </w:r>
            <w:proofErr w:type="spellStart"/>
            <w:r w:rsidR="004A013E" w:rsidRPr="004A013E">
              <w:rPr>
                <w:i/>
                <w:sz w:val="20"/>
                <w:szCs w:val="20"/>
              </w:rPr>
              <w:t>deskriptif-analitis</w:t>
            </w:r>
            <w:proofErr w:type="spellEnd"/>
            <w:r w:rsidR="004A013E" w:rsidRPr="004A013E">
              <w:rPr>
                <w:i/>
                <w:sz w:val="20"/>
                <w:szCs w:val="20"/>
              </w:rPr>
              <w:t xml:space="preserve"> </w:t>
            </w:r>
            <w:proofErr w:type="spellStart"/>
            <w:r w:rsidR="004A013E" w:rsidRPr="004A013E">
              <w:rPr>
                <w:i/>
                <w:sz w:val="20"/>
                <w:szCs w:val="20"/>
              </w:rPr>
              <w:t>dengan</w:t>
            </w:r>
            <w:proofErr w:type="spellEnd"/>
            <w:r w:rsidR="004A013E" w:rsidRPr="004A013E">
              <w:rPr>
                <w:i/>
                <w:sz w:val="20"/>
                <w:szCs w:val="20"/>
              </w:rPr>
              <w:t xml:space="preserve"> </w:t>
            </w:r>
            <w:proofErr w:type="spellStart"/>
            <w:r w:rsidR="004A013E" w:rsidRPr="004A013E">
              <w:rPr>
                <w:i/>
                <w:sz w:val="20"/>
                <w:szCs w:val="20"/>
              </w:rPr>
              <w:t>menggabungkan</w:t>
            </w:r>
            <w:proofErr w:type="spellEnd"/>
            <w:r w:rsidR="004A013E" w:rsidRPr="004A013E">
              <w:rPr>
                <w:i/>
                <w:sz w:val="20"/>
                <w:szCs w:val="20"/>
              </w:rPr>
              <w:t xml:space="preserve"> </w:t>
            </w:r>
            <w:proofErr w:type="spellStart"/>
            <w:r w:rsidR="004A013E" w:rsidRPr="004A013E">
              <w:rPr>
                <w:i/>
                <w:sz w:val="20"/>
                <w:szCs w:val="20"/>
              </w:rPr>
              <w:t>indikator</w:t>
            </w:r>
            <w:proofErr w:type="spellEnd"/>
            <w:r w:rsidR="004A013E" w:rsidRPr="004A013E">
              <w:rPr>
                <w:i/>
                <w:sz w:val="20"/>
                <w:szCs w:val="20"/>
              </w:rPr>
              <w:t xml:space="preserve"> </w:t>
            </w:r>
            <w:proofErr w:type="spellStart"/>
            <w:r w:rsidR="004A013E" w:rsidRPr="004A013E">
              <w:rPr>
                <w:i/>
                <w:sz w:val="20"/>
                <w:szCs w:val="20"/>
              </w:rPr>
              <w:t>kinerja</w:t>
            </w:r>
            <w:proofErr w:type="spellEnd"/>
            <w:r w:rsidR="004A013E" w:rsidRPr="004A013E">
              <w:rPr>
                <w:i/>
                <w:sz w:val="20"/>
                <w:szCs w:val="20"/>
              </w:rPr>
              <w:t xml:space="preserve"> </w:t>
            </w:r>
            <w:proofErr w:type="spellStart"/>
            <w:r w:rsidR="004A013E" w:rsidRPr="004A013E">
              <w:rPr>
                <w:i/>
                <w:sz w:val="20"/>
                <w:szCs w:val="20"/>
              </w:rPr>
              <w:t>keuangan</w:t>
            </w:r>
            <w:proofErr w:type="spellEnd"/>
            <w:r w:rsidR="004A013E" w:rsidRPr="004A013E">
              <w:rPr>
                <w:i/>
                <w:sz w:val="20"/>
                <w:szCs w:val="20"/>
              </w:rPr>
              <w:t xml:space="preserve"> </w:t>
            </w:r>
            <w:proofErr w:type="spellStart"/>
            <w:r w:rsidR="00611BB9">
              <w:rPr>
                <w:i/>
                <w:sz w:val="20"/>
                <w:szCs w:val="20"/>
              </w:rPr>
              <w:t>seperti</w:t>
            </w:r>
            <w:proofErr w:type="spellEnd"/>
            <w:r w:rsidR="00611BB9">
              <w:rPr>
                <w:i/>
                <w:sz w:val="20"/>
                <w:szCs w:val="20"/>
              </w:rPr>
              <w:t xml:space="preserve"> ROA, CAR, NPL </w:t>
            </w:r>
            <w:proofErr w:type="spellStart"/>
            <w:r w:rsidR="00611BB9">
              <w:rPr>
                <w:i/>
                <w:sz w:val="20"/>
                <w:szCs w:val="20"/>
              </w:rPr>
              <w:t>dan</w:t>
            </w:r>
            <w:proofErr w:type="spellEnd"/>
            <w:r w:rsidR="00611BB9">
              <w:rPr>
                <w:i/>
                <w:sz w:val="20"/>
                <w:szCs w:val="20"/>
              </w:rPr>
              <w:t xml:space="preserve"> LDR</w:t>
            </w:r>
            <w:r w:rsidR="004A013E" w:rsidRPr="004A013E">
              <w:rPr>
                <w:i/>
                <w:sz w:val="20"/>
                <w:szCs w:val="20"/>
              </w:rPr>
              <w:t xml:space="preserve">, </w:t>
            </w:r>
            <w:proofErr w:type="spellStart"/>
            <w:r w:rsidR="004A013E" w:rsidRPr="004A013E">
              <w:rPr>
                <w:i/>
                <w:sz w:val="20"/>
                <w:szCs w:val="20"/>
              </w:rPr>
              <w:t>serta</w:t>
            </w:r>
            <w:proofErr w:type="spellEnd"/>
            <w:r w:rsidR="004A013E" w:rsidRPr="004A013E">
              <w:rPr>
                <w:i/>
                <w:sz w:val="20"/>
                <w:szCs w:val="20"/>
              </w:rPr>
              <w:t xml:space="preserve"> </w:t>
            </w:r>
            <w:proofErr w:type="spellStart"/>
            <w:r w:rsidR="004A013E" w:rsidRPr="004A013E">
              <w:rPr>
                <w:i/>
                <w:sz w:val="20"/>
                <w:szCs w:val="20"/>
              </w:rPr>
              <w:t>indikator</w:t>
            </w:r>
            <w:proofErr w:type="spellEnd"/>
            <w:r w:rsidR="004A013E" w:rsidRPr="004A013E">
              <w:rPr>
                <w:i/>
                <w:sz w:val="20"/>
                <w:szCs w:val="20"/>
              </w:rPr>
              <w:t xml:space="preserve"> </w:t>
            </w:r>
            <w:proofErr w:type="spellStart"/>
            <w:r w:rsidR="004A013E" w:rsidRPr="004A013E">
              <w:rPr>
                <w:i/>
                <w:sz w:val="20"/>
                <w:szCs w:val="20"/>
              </w:rPr>
              <w:t>kinerja</w:t>
            </w:r>
            <w:proofErr w:type="spellEnd"/>
            <w:r w:rsidR="004A013E" w:rsidRPr="004A013E">
              <w:rPr>
                <w:i/>
                <w:sz w:val="20"/>
                <w:szCs w:val="20"/>
              </w:rPr>
              <w:t xml:space="preserve"> digital yang </w:t>
            </w:r>
            <w:proofErr w:type="spellStart"/>
            <w:r w:rsidR="004A013E" w:rsidRPr="004A013E">
              <w:rPr>
                <w:i/>
                <w:sz w:val="20"/>
                <w:szCs w:val="20"/>
              </w:rPr>
              <w:t>mencakup</w:t>
            </w:r>
            <w:proofErr w:type="spellEnd"/>
            <w:r w:rsidR="004A013E" w:rsidRPr="004A013E">
              <w:rPr>
                <w:i/>
                <w:sz w:val="20"/>
                <w:szCs w:val="20"/>
              </w:rPr>
              <w:t xml:space="preserve"> </w:t>
            </w:r>
            <w:proofErr w:type="spellStart"/>
            <w:r w:rsidR="004A013E" w:rsidRPr="004A013E">
              <w:rPr>
                <w:i/>
                <w:sz w:val="20"/>
                <w:szCs w:val="20"/>
              </w:rPr>
              <w:t>kecepatan</w:t>
            </w:r>
            <w:proofErr w:type="spellEnd"/>
            <w:r w:rsidR="004A013E" w:rsidRPr="004A013E">
              <w:rPr>
                <w:i/>
                <w:sz w:val="20"/>
                <w:szCs w:val="20"/>
              </w:rPr>
              <w:t xml:space="preserve"> </w:t>
            </w:r>
            <w:proofErr w:type="spellStart"/>
            <w:r w:rsidR="004A013E" w:rsidRPr="004A013E">
              <w:rPr>
                <w:i/>
                <w:sz w:val="20"/>
                <w:szCs w:val="20"/>
              </w:rPr>
              <w:t>akuisisi</w:t>
            </w:r>
            <w:proofErr w:type="spellEnd"/>
            <w:r w:rsidR="004A013E" w:rsidRPr="004A013E">
              <w:rPr>
                <w:i/>
                <w:sz w:val="20"/>
                <w:szCs w:val="20"/>
              </w:rPr>
              <w:t xml:space="preserve"> </w:t>
            </w:r>
            <w:proofErr w:type="spellStart"/>
            <w:r w:rsidR="004A013E" w:rsidRPr="004A013E">
              <w:rPr>
                <w:i/>
                <w:sz w:val="20"/>
                <w:szCs w:val="20"/>
              </w:rPr>
              <w:t>nasabah</w:t>
            </w:r>
            <w:proofErr w:type="spellEnd"/>
            <w:r w:rsidR="004A013E" w:rsidRPr="004A013E">
              <w:rPr>
                <w:i/>
                <w:sz w:val="20"/>
                <w:szCs w:val="20"/>
              </w:rPr>
              <w:t xml:space="preserve">, </w:t>
            </w:r>
            <w:proofErr w:type="spellStart"/>
            <w:r w:rsidR="004A013E" w:rsidRPr="004A013E">
              <w:rPr>
                <w:i/>
                <w:sz w:val="20"/>
                <w:szCs w:val="20"/>
              </w:rPr>
              <w:t>inovasi</w:t>
            </w:r>
            <w:proofErr w:type="spellEnd"/>
            <w:r w:rsidR="004A013E" w:rsidRPr="004A013E">
              <w:rPr>
                <w:i/>
                <w:sz w:val="20"/>
                <w:szCs w:val="20"/>
              </w:rPr>
              <w:t xml:space="preserve">, </w:t>
            </w:r>
            <w:proofErr w:type="spellStart"/>
            <w:r w:rsidR="004A013E" w:rsidRPr="004A013E">
              <w:rPr>
                <w:i/>
                <w:sz w:val="20"/>
                <w:szCs w:val="20"/>
              </w:rPr>
              <w:t>integrasi</w:t>
            </w:r>
            <w:proofErr w:type="spellEnd"/>
            <w:r w:rsidR="004A013E" w:rsidRPr="004A013E">
              <w:rPr>
                <w:i/>
                <w:sz w:val="20"/>
                <w:szCs w:val="20"/>
              </w:rPr>
              <w:t xml:space="preserve"> </w:t>
            </w:r>
            <w:proofErr w:type="spellStart"/>
            <w:r w:rsidR="004A013E" w:rsidRPr="004A013E">
              <w:rPr>
                <w:i/>
                <w:sz w:val="20"/>
                <w:szCs w:val="20"/>
              </w:rPr>
              <w:t>ekosistem</w:t>
            </w:r>
            <w:proofErr w:type="spellEnd"/>
            <w:r w:rsidR="004A013E" w:rsidRPr="004A013E">
              <w:rPr>
                <w:i/>
                <w:sz w:val="20"/>
                <w:szCs w:val="20"/>
              </w:rPr>
              <w:t xml:space="preserve">, </w:t>
            </w:r>
            <w:proofErr w:type="spellStart"/>
            <w:r w:rsidR="004A013E" w:rsidRPr="004A013E">
              <w:rPr>
                <w:i/>
                <w:sz w:val="20"/>
                <w:szCs w:val="20"/>
              </w:rPr>
              <w:t>dan</w:t>
            </w:r>
            <w:proofErr w:type="spellEnd"/>
            <w:r w:rsidR="004A013E" w:rsidRPr="004A013E">
              <w:rPr>
                <w:i/>
                <w:sz w:val="20"/>
                <w:szCs w:val="20"/>
              </w:rPr>
              <w:t xml:space="preserve"> </w:t>
            </w:r>
            <w:proofErr w:type="spellStart"/>
            <w:r w:rsidR="004A013E" w:rsidRPr="004A013E">
              <w:rPr>
                <w:i/>
                <w:sz w:val="20"/>
                <w:szCs w:val="20"/>
              </w:rPr>
              <w:t>pertumbuhan</w:t>
            </w:r>
            <w:proofErr w:type="spellEnd"/>
            <w:r w:rsidR="004A013E" w:rsidRPr="004A013E">
              <w:rPr>
                <w:i/>
                <w:sz w:val="20"/>
                <w:szCs w:val="20"/>
              </w:rPr>
              <w:t xml:space="preserve"> </w:t>
            </w:r>
            <w:proofErr w:type="spellStart"/>
            <w:r w:rsidR="004A013E" w:rsidRPr="004A013E">
              <w:rPr>
                <w:i/>
                <w:sz w:val="20"/>
                <w:szCs w:val="20"/>
              </w:rPr>
              <w:t>transaksi</w:t>
            </w:r>
            <w:proofErr w:type="spellEnd"/>
            <w:r w:rsidR="004A013E" w:rsidRPr="004A013E">
              <w:rPr>
                <w:i/>
                <w:sz w:val="20"/>
                <w:szCs w:val="20"/>
              </w:rPr>
              <w:t xml:space="preserve"> digital. Data </w:t>
            </w:r>
            <w:proofErr w:type="spellStart"/>
            <w:r w:rsidR="004A013E" w:rsidRPr="004A013E">
              <w:rPr>
                <w:i/>
                <w:sz w:val="20"/>
                <w:szCs w:val="20"/>
              </w:rPr>
              <w:t>diperoleh</w:t>
            </w:r>
            <w:proofErr w:type="spellEnd"/>
            <w:r w:rsidR="004A013E" w:rsidRPr="004A013E">
              <w:rPr>
                <w:i/>
                <w:sz w:val="20"/>
                <w:szCs w:val="20"/>
              </w:rPr>
              <w:t xml:space="preserve"> </w:t>
            </w:r>
            <w:proofErr w:type="spellStart"/>
            <w:r w:rsidR="004A013E" w:rsidRPr="004A013E">
              <w:rPr>
                <w:i/>
                <w:sz w:val="20"/>
                <w:szCs w:val="20"/>
              </w:rPr>
              <w:t>dari</w:t>
            </w:r>
            <w:proofErr w:type="spellEnd"/>
            <w:r w:rsidR="004A013E" w:rsidRPr="004A013E">
              <w:rPr>
                <w:i/>
                <w:sz w:val="20"/>
                <w:szCs w:val="20"/>
              </w:rPr>
              <w:t xml:space="preserve"> </w:t>
            </w:r>
            <w:proofErr w:type="spellStart"/>
            <w:r w:rsidR="004A013E" w:rsidRPr="004A013E">
              <w:rPr>
                <w:i/>
                <w:sz w:val="20"/>
                <w:szCs w:val="20"/>
              </w:rPr>
              <w:t>laporan</w:t>
            </w:r>
            <w:proofErr w:type="spellEnd"/>
            <w:r w:rsidR="004A013E" w:rsidRPr="004A013E">
              <w:rPr>
                <w:i/>
                <w:sz w:val="20"/>
                <w:szCs w:val="20"/>
              </w:rPr>
              <w:t xml:space="preserve"> </w:t>
            </w:r>
            <w:proofErr w:type="gramStart"/>
            <w:r w:rsidR="00611BB9">
              <w:rPr>
                <w:i/>
                <w:sz w:val="20"/>
                <w:szCs w:val="20"/>
              </w:rPr>
              <w:t xml:space="preserve">OJK </w:t>
            </w:r>
            <w:r w:rsidR="004A013E" w:rsidRPr="004A013E">
              <w:rPr>
                <w:i/>
                <w:sz w:val="20"/>
                <w:szCs w:val="20"/>
              </w:rPr>
              <w:t>,</w:t>
            </w:r>
            <w:proofErr w:type="gramEnd"/>
            <w:r w:rsidR="004A013E" w:rsidRPr="004A013E">
              <w:rPr>
                <w:i/>
                <w:sz w:val="20"/>
                <w:szCs w:val="20"/>
              </w:rPr>
              <w:t xml:space="preserve"> </w:t>
            </w:r>
            <w:proofErr w:type="spellStart"/>
            <w:r w:rsidR="004A013E" w:rsidRPr="004A013E">
              <w:rPr>
                <w:i/>
                <w:sz w:val="20"/>
                <w:szCs w:val="20"/>
              </w:rPr>
              <w:t>laporan</w:t>
            </w:r>
            <w:proofErr w:type="spellEnd"/>
            <w:r w:rsidR="004A013E" w:rsidRPr="004A013E">
              <w:rPr>
                <w:i/>
                <w:sz w:val="20"/>
                <w:szCs w:val="20"/>
              </w:rPr>
              <w:t xml:space="preserve"> </w:t>
            </w:r>
            <w:proofErr w:type="spellStart"/>
            <w:r w:rsidR="004A013E" w:rsidRPr="004A013E">
              <w:rPr>
                <w:i/>
                <w:sz w:val="20"/>
                <w:szCs w:val="20"/>
              </w:rPr>
              <w:t>keuangan</w:t>
            </w:r>
            <w:proofErr w:type="spellEnd"/>
            <w:r w:rsidR="004A013E" w:rsidRPr="004A013E">
              <w:rPr>
                <w:i/>
                <w:sz w:val="20"/>
                <w:szCs w:val="20"/>
              </w:rPr>
              <w:t xml:space="preserve"> </w:t>
            </w:r>
            <w:proofErr w:type="spellStart"/>
            <w:r w:rsidR="004A013E" w:rsidRPr="004A013E">
              <w:rPr>
                <w:i/>
                <w:sz w:val="20"/>
                <w:szCs w:val="20"/>
              </w:rPr>
              <w:t>tahunan</w:t>
            </w:r>
            <w:proofErr w:type="spellEnd"/>
            <w:r w:rsidR="004A013E" w:rsidRPr="004A013E">
              <w:rPr>
                <w:i/>
                <w:sz w:val="20"/>
                <w:szCs w:val="20"/>
              </w:rPr>
              <w:t xml:space="preserve"> bank, </w:t>
            </w:r>
            <w:proofErr w:type="spellStart"/>
            <w:r w:rsidR="004A013E" w:rsidRPr="004A013E">
              <w:rPr>
                <w:i/>
                <w:sz w:val="20"/>
                <w:szCs w:val="20"/>
              </w:rPr>
              <w:t>dan</w:t>
            </w:r>
            <w:proofErr w:type="spellEnd"/>
            <w:r w:rsidR="004A013E" w:rsidRPr="004A013E">
              <w:rPr>
                <w:i/>
                <w:sz w:val="20"/>
                <w:szCs w:val="20"/>
              </w:rPr>
              <w:t xml:space="preserve"> </w:t>
            </w:r>
            <w:proofErr w:type="spellStart"/>
            <w:r w:rsidR="004A013E" w:rsidRPr="004A013E">
              <w:rPr>
                <w:i/>
                <w:sz w:val="20"/>
                <w:szCs w:val="20"/>
              </w:rPr>
              <w:t>sumber</w:t>
            </w:r>
            <w:proofErr w:type="spellEnd"/>
            <w:r w:rsidR="004A013E" w:rsidRPr="004A013E">
              <w:rPr>
                <w:i/>
                <w:sz w:val="20"/>
                <w:szCs w:val="20"/>
              </w:rPr>
              <w:t xml:space="preserve"> </w:t>
            </w:r>
            <w:proofErr w:type="spellStart"/>
            <w:r w:rsidR="004A013E" w:rsidRPr="004A013E">
              <w:rPr>
                <w:i/>
                <w:sz w:val="20"/>
                <w:szCs w:val="20"/>
              </w:rPr>
              <w:t>industri</w:t>
            </w:r>
            <w:proofErr w:type="spellEnd"/>
            <w:r w:rsidR="004A013E" w:rsidRPr="004A013E">
              <w:rPr>
                <w:i/>
                <w:sz w:val="20"/>
                <w:szCs w:val="20"/>
              </w:rPr>
              <w:t xml:space="preserve"> </w:t>
            </w:r>
            <w:proofErr w:type="spellStart"/>
            <w:r w:rsidR="004A013E" w:rsidRPr="004A013E">
              <w:rPr>
                <w:i/>
                <w:sz w:val="20"/>
                <w:szCs w:val="20"/>
              </w:rPr>
              <w:t>sekunder</w:t>
            </w:r>
            <w:proofErr w:type="spellEnd"/>
            <w:r w:rsidR="004A013E" w:rsidRPr="004A013E">
              <w:rPr>
                <w:i/>
                <w:sz w:val="20"/>
                <w:szCs w:val="20"/>
              </w:rPr>
              <w:t>.</w:t>
            </w:r>
            <w:r w:rsidR="004A013E">
              <w:rPr>
                <w:i/>
                <w:sz w:val="20"/>
                <w:szCs w:val="20"/>
              </w:rPr>
              <w:t xml:space="preserve"> </w:t>
            </w:r>
            <w:proofErr w:type="spellStart"/>
            <w:r w:rsidR="004A013E" w:rsidRPr="004A013E">
              <w:rPr>
                <w:i/>
                <w:sz w:val="20"/>
                <w:szCs w:val="20"/>
              </w:rPr>
              <w:t>Hasil</w:t>
            </w:r>
            <w:proofErr w:type="spellEnd"/>
            <w:r w:rsidR="004A013E" w:rsidRPr="004A013E">
              <w:rPr>
                <w:i/>
                <w:sz w:val="20"/>
                <w:szCs w:val="20"/>
              </w:rPr>
              <w:t xml:space="preserve"> </w:t>
            </w:r>
            <w:proofErr w:type="spellStart"/>
            <w:r w:rsidR="004A013E" w:rsidRPr="004A013E">
              <w:rPr>
                <w:i/>
                <w:sz w:val="20"/>
                <w:szCs w:val="20"/>
              </w:rPr>
              <w:t>penelitian</w:t>
            </w:r>
            <w:proofErr w:type="spellEnd"/>
            <w:r w:rsidR="004A013E" w:rsidRPr="004A013E">
              <w:rPr>
                <w:i/>
                <w:sz w:val="20"/>
                <w:szCs w:val="20"/>
              </w:rPr>
              <w:t xml:space="preserve"> </w:t>
            </w:r>
            <w:proofErr w:type="spellStart"/>
            <w:r w:rsidR="004A013E" w:rsidRPr="004A013E">
              <w:rPr>
                <w:i/>
                <w:sz w:val="20"/>
                <w:szCs w:val="20"/>
              </w:rPr>
              <w:t>menunjukkan</w:t>
            </w:r>
            <w:proofErr w:type="spellEnd"/>
            <w:r w:rsidR="004A013E" w:rsidRPr="004A013E">
              <w:rPr>
                <w:i/>
                <w:sz w:val="20"/>
                <w:szCs w:val="20"/>
              </w:rPr>
              <w:t xml:space="preserve"> </w:t>
            </w:r>
            <w:proofErr w:type="spellStart"/>
            <w:r w:rsidR="004A013E" w:rsidRPr="004A013E">
              <w:rPr>
                <w:i/>
                <w:sz w:val="20"/>
                <w:szCs w:val="20"/>
              </w:rPr>
              <w:t>bahwa</w:t>
            </w:r>
            <w:proofErr w:type="spellEnd"/>
            <w:r w:rsidR="004A013E" w:rsidRPr="004A013E">
              <w:rPr>
                <w:i/>
                <w:sz w:val="20"/>
                <w:szCs w:val="20"/>
              </w:rPr>
              <w:t xml:space="preserve"> bank digital </w:t>
            </w:r>
            <w:proofErr w:type="spellStart"/>
            <w:r w:rsidR="004A013E" w:rsidRPr="004A013E">
              <w:rPr>
                <w:i/>
                <w:sz w:val="20"/>
                <w:szCs w:val="20"/>
              </w:rPr>
              <w:t>memiliki</w:t>
            </w:r>
            <w:proofErr w:type="spellEnd"/>
            <w:r w:rsidR="004A013E" w:rsidRPr="004A013E">
              <w:rPr>
                <w:i/>
                <w:sz w:val="20"/>
                <w:szCs w:val="20"/>
              </w:rPr>
              <w:t xml:space="preserve"> </w:t>
            </w:r>
            <w:proofErr w:type="spellStart"/>
            <w:r w:rsidR="004A013E" w:rsidRPr="004A013E">
              <w:rPr>
                <w:i/>
                <w:sz w:val="20"/>
                <w:szCs w:val="20"/>
              </w:rPr>
              <w:t>kekuatan</w:t>
            </w:r>
            <w:proofErr w:type="spellEnd"/>
            <w:r w:rsidR="004A013E" w:rsidRPr="004A013E">
              <w:rPr>
                <w:i/>
                <w:sz w:val="20"/>
                <w:szCs w:val="20"/>
              </w:rPr>
              <w:t xml:space="preserve"> </w:t>
            </w:r>
            <w:proofErr w:type="spellStart"/>
            <w:r w:rsidR="004A013E" w:rsidRPr="004A013E">
              <w:rPr>
                <w:i/>
                <w:sz w:val="20"/>
                <w:szCs w:val="20"/>
              </w:rPr>
              <w:t>utama</w:t>
            </w:r>
            <w:proofErr w:type="spellEnd"/>
            <w:r w:rsidR="004A013E" w:rsidRPr="004A013E">
              <w:rPr>
                <w:i/>
                <w:sz w:val="20"/>
                <w:szCs w:val="20"/>
              </w:rPr>
              <w:t xml:space="preserve"> </w:t>
            </w:r>
            <w:proofErr w:type="spellStart"/>
            <w:r w:rsidR="004A013E" w:rsidRPr="004A013E">
              <w:rPr>
                <w:i/>
                <w:sz w:val="20"/>
                <w:szCs w:val="20"/>
              </w:rPr>
              <w:t>pada</w:t>
            </w:r>
            <w:proofErr w:type="spellEnd"/>
            <w:r w:rsidR="004A013E" w:rsidRPr="004A013E">
              <w:rPr>
                <w:i/>
                <w:sz w:val="20"/>
                <w:szCs w:val="20"/>
              </w:rPr>
              <w:t xml:space="preserve"> </w:t>
            </w:r>
            <w:proofErr w:type="spellStart"/>
            <w:r w:rsidR="004A013E" w:rsidRPr="004A013E">
              <w:rPr>
                <w:i/>
                <w:sz w:val="20"/>
                <w:szCs w:val="20"/>
              </w:rPr>
              <w:t>aspek</w:t>
            </w:r>
            <w:proofErr w:type="spellEnd"/>
            <w:r w:rsidR="004A013E" w:rsidRPr="004A013E">
              <w:rPr>
                <w:i/>
                <w:sz w:val="20"/>
                <w:szCs w:val="20"/>
              </w:rPr>
              <w:t xml:space="preserve"> digital, </w:t>
            </w:r>
            <w:proofErr w:type="spellStart"/>
            <w:r w:rsidR="004A013E" w:rsidRPr="004A013E">
              <w:rPr>
                <w:i/>
                <w:sz w:val="20"/>
                <w:szCs w:val="20"/>
              </w:rPr>
              <w:t>terutama</w:t>
            </w:r>
            <w:proofErr w:type="spellEnd"/>
            <w:r w:rsidR="004A013E" w:rsidRPr="004A013E">
              <w:rPr>
                <w:i/>
                <w:sz w:val="20"/>
                <w:szCs w:val="20"/>
              </w:rPr>
              <w:t xml:space="preserve"> </w:t>
            </w:r>
            <w:proofErr w:type="spellStart"/>
            <w:r w:rsidR="004A013E" w:rsidRPr="004A013E">
              <w:rPr>
                <w:i/>
                <w:sz w:val="20"/>
                <w:szCs w:val="20"/>
              </w:rPr>
              <w:t>dalam</w:t>
            </w:r>
            <w:proofErr w:type="spellEnd"/>
            <w:r w:rsidR="004A013E" w:rsidRPr="004A013E">
              <w:rPr>
                <w:i/>
                <w:sz w:val="20"/>
                <w:szCs w:val="20"/>
              </w:rPr>
              <w:t xml:space="preserve"> </w:t>
            </w:r>
            <w:proofErr w:type="spellStart"/>
            <w:r w:rsidR="004A013E" w:rsidRPr="004A013E">
              <w:rPr>
                <w:i/>
                <w:sz w:val="20"/>
                <w:szCs w:val="20"/>
              </w:rPr>
              <w:t>kecepatan</w:t>
            </w:r>
            <w:proofErr w:type="spellEnd"/>
            <w:r w:rsidR="004A013E" w:rsidRPr="004A013E">
              <w:rPr>
                <w:i/>
                <w:sz w:val="20"/>
                <w:szCs w:val="20"/>
              </w:rPr>
              <w:t xml:space="preserve"> </w:t>
            </w:r>
            <w:proofErr w:type="spellStart"/>
            <w:r w:rsidR="004A013E" w:rsidRPr="004A013E">
              <w:rPr>
                <w:i/>
                <w:sz w:val="20"/>
                <w:szCs w:val="20"/>
              </w:rPr>
              <w:t>pertumbuhan</w:t>
            </w:r>
            <w:proofErr w:type="spellEnd"/>
            <w:r w:rsidR="004A013E" w:rsidRPr="004A013E">
              <w:rPr>
                <w:i/>
                <w:sz w:val="20"/>
                <w:szCs w:val="20"/>
              </w:rPr>
              <w:t xml:space="preserve"> </w:t>
            </w:r>
            <w:proofErr w:type="spellStart"/>
            <w:r w:rsidR="004A013E" w:rsidRPr="004A013E">
              <w:rPr>
                <w:i/>
                <w:sz w:val="20"/>
                <w:szCs w:val="20"/>
              </w:rPr>
              <w:t>pengguna</w:t>
            </w:r>
            <w:proofErr w:type="spellEnd"/>
            <w:r w:rsidR="004A013E" w:rsidRPr="004A013E">
              <w:rPr>
                <w:i/>
                <w:sz w:val="20"/>
                <w:szCs w:val="20"/>
              </w:rPr>
              <w:t xml:space="preserve">, </w:t>
            </w:r>
            <w:proofErr w:type="spellStart"/>
            <w:r w:rsidR="004A013E" w:rsidRPr="004A013E">
              <w:rPr>
                <w:i/>
                <w:sz w:val="20"/>
                <w:szCs w:val="20"/>
              </w:rPr>
              <w:t>inovasi</w:t>
            </w:r>
            <w:proofErr w:type="spellEnd"/>
            <w:r w:rsidR="004A013E" w:rsidRPr="004A013E">
              <w:rPr>
                <w:i/>
                <w:sz w:val="20"/>
                <w:szCs w:val="20"/>
              </w:rPr>
              <w:t xml:space="preserve"> </w:t>
            </w:r>
            <w:proofErr w:type="spellStart"/>
            <w:r w:rsidR="004A013E" w:rsidRPr="004A013E">
              <w:rPr>
                <w:i/>
                <w:sz w:val="20"/>
                <w:szCs w:val="20"/>
              </w:rPr>
              <w:t>layanan</w:t>
            </w:r>
            <w:proofErr w:type="spellEnd"/>
            <w:r w:rsidR="004A013E" w:rsidRPr="004A013E">
              <w:rPr>
                <w:i/>
                <w:sz w:val="20"/>
                <w:szCs w:val="20"/>
              </w:rPr>
              <w:t xml:space="preserve">, </w:t>
            </w:r>
            <w:proofErr w:type="spellStart"/>
            <w:r w:rsidR="004A013E" w:rsidRPr="004A013E">
              <w:rPr>
                <w:i/>
                <w:sz w:val="20"/>
                <w:szCs w:val="20"/>
              </w:rPr>
              <w:t>serta</w:t>
            </w:r>
            <w:proofErr w:type="spellEnd"/>
            <w:r w:rsidR="004A013E" w:rsidRPr="004A013E">
              <w:rPr>
                <w:i/>
                <w:sz w:val="20"/>
                <w:szCs w:val="20"/>
              </w:rPr>
              <w:t xml:space="preserve"> </w:t>
            </w:r>
            <w:proofErr w:type="spellStart"/>
            <w:r w:rsidR="004A013E" w:rsidRPr="004A013E">
              <w:rPr>
                <w:i/>
                <w:sz w:val="20"/>
                <w:szCs w:val="20"/>
              </w:rPr>
              <w:t>integrasi</w:t>
            </w:r>
            <w:proofErr w:type="spellEnd"/>
            <w:r w:rsidR="004A013E" w:rsidRPr="004A013E">
              <w:rPr>
                <w:i/>
                <w:sz w:val="20"/>
                <w:szCs w:val="20"/>
              </w:rPr>
              <w:t xml:space="preserve"> </w:t>
            </w:r>
            <w:proofErr w:type="spellStart"/>
            <w:r w:rsidR="004A013E" w:rsidRPr="004A013E">
              <w:rPr>
                <w:i/>
                <w:sz w:val="20"/>
                <w:szCs w:val="20"/>
              </w:rPr>
              <w:t>dengan</w:t>
            </w:r>
            <w:proofErr w:type="spellEnd"/>
            <w:r w:rsidR="004A013E" w:rsidRPr="004A013E">
              <w:rPr>
                <w:i/>
                <w:sz w:val="20"/>
                <w:szCs w:val="20"/>
              </w:rPr>
              <w:t xml:space="preserve"> </w:t>
            </w:r>
            <w:proofErr w:type="spellStart"/>
            <w:r w:rsidR="004A013E" w:rsidRPr="004A013E">
              <w:rPr>
                <w:i/>
                <w:sz w:val="20"/>
                <w:szCs w:val="20"/>
              </w:rPr>
              <w:t>ekosistem</w:t>
            </w:r>
            <w:proofErr w:type="spellEnd"/>
            <w:r w:rsidR="004A013E" w:rsidRPr="004A013E">
              <w:rPr>
                <w:i/>
                <w:sz w:val="20"/>
                <w:szCs w:val="20"/>
              </w:rPr>
              <w:t xml:space="preserve"> digital </w:t>
            </w:r>
            <w:proofErr w:type="spellStart"/>
            <w:r w:rsidR="004A013E" w:rsidRPr="004A013E">
              <w:rPr>
                <w:i/>
                <w:sz w:val="20"/>
                <w:szCs w:val="20"/>
              </w:rPr>
              <w:t>seperti</w:t>
            </w:r>
            <w:proofErr w:type="spellEnd"/>
            <w:r w:rsidR="004A013E" w:rsidRPr="004A013E">
              <w:rPr>
                <w:i/>
                <w:sz w:val="20"/>
                <w:szCs w:val="20"/>
              </w:rPr>
              <w:t xml:space="preserve"> e-commerce </w:t>
            </w:r>
            <w:proofErr w:type="spellStart"/>
            <w:r w:rsidR="004A013E" w:rsidRPr="004A013E">
              <w:rPr>
                <w:i/>
                <w:sz w:val="20"/>
                <w:szCs w:val="20"/>
              </w:rPr>
              <w:t>dan</w:t>
            </w:r>
            <w:proofErr w:type="spellEnd"/>
            <w:r w:rsidR="004A013E" w:rsidRPr="004A013E">
              <w:rPr>
                <w:i/>
                <w:sz w:val="20"/>
                <w:szCs w:val="20"/>
              </w:rPr>
              <w:t xml:space="preserve"> super app. </w:t>
            </w:r>
            <w:proofErr w:type="spellStart"/>
            <w:r w:rsidR="004A013E" w:rsidRPr="004A013E">
              <w:rPr>
                <w:i/>
                <w:sz w:val="20"/>
                <w:szCs w:val="20"/>
              </w:rPr>
              <w:t>Selain</w:t>
            </w:r>
            <w:proofErr w:type="spellEnd"/>
            <w:r w:rsidR="004A013E" w:rsidRPr="004A013E">
              <w:rPr>
                <w:i/>
                <w:sz w:val="20"/>
                <w:szCs w:val="20"/>
              </w:rPr>
              <w:t xml:space="preserve"> </w:t>
            </w:r>
            <w:proofErr w:type="spellStart"/>
            <w:r w:rsidR="004A013E" w:rsidRPr="004A013E">
              <w:rPr>
                <w:i/>
                <w:sz w:val="20"/>
                <w:szCs w:val="20"/>
              </w:rPr>
              <w:t>itu</w:t>
            </w:r>
            <w:proofErr w:type="spellEnd"/>
            <w:r w:rsidR="00611BB9">
              <w:rPr>
                <w:i/>
                <w:sz w:val="20"/>
                <w:szCs w:val="20"/>
              </w:rPr>
              <w:t xml:space="preserve">, </w:t>
            </w:r>
            <w:proofErr w:type="spellStart"/>
            <w:r w:rsidR="00611BB9">
              <w:rPr>
                <w:i/>
                <w:sz w:val="20"/>
                <w:szCs w:val="20"/>
              </w:rPr>
              <w:t>seluruh</w:t>
            </w:r>
            <w:proofErr w:type="spellEnd"/>
            <w:r w:rsidR="00611BB9">
              <w:rPr>
                <w:i/>
                <w:sz w:val="20"/>
                <w:szCs w:val="20"/>
              </w:rPr>
              <w:t xml:space="preserve"> bank </w:t>
            </w:r>
            <w:proofErr w:type="spellStart"/>
            <w:r w:rsidR="00611BB9">
              <w:rPr>
                <w:i/>
                <w:sz w:val="20"/>
                <w:szCs w:val="20"/>
              </w:rPr>
              <w:t>memiliki</w:t>
            </w:r>
            <w:r w:rsidR="004A013E" w:rsidRPr="004A013E">
              <w:rPr>
                <w:i/>
                <w:sz w:val="20"/>
                <w:szCs w:val="20"/>
              </w:rPr>
              <w:t>perm</w:t>
            </w:r>
            <w:r w:rsidR="004A013E">
              <w:rPr>
                <w:i/>
                <w:sz w:val="20"/>
                <w:szCs w:val="20"/>
              </w:rPr>
              <w:t>odalan</w:t>
            </w:r>
            <w:proofErr w:type="spellEnd"/>
            <w:r w:rsidR="004A013E">
              <w:rPr>
                <w:i/>
                <w:sz w:val="20"/>
                <w:szCs w:val="20"/>
              </w:rPr>
              <w:t xml:space="preserve"> yang </w:t>
            </w:r>
            <w:proofErr w:type="spellStart"/>
            <w:r w:rsidR="004A013E">
              <w:rPr>
                <w:i/>
                <w:sz w:val="20"/>
                <w:szCs w:val="20"/>
              </w:rPr>
              <w:t>sangat</w:t>
            </w:r>
            <w:proofErr w:type="spellEnd"/>
            <w:r w:rsidR="004A013E">
              <w:rPr>
                <w:i/>
                <w:sz w:val="20"/>
                <w:szCs w:val="20"/>
              </w:rPr>
              <w:t xml:space="preserve"> </w:t>
            </w:r>
            <w:proofErr w:type="spellStart"/>
            <w:r w:rsidR="004A013E">
              <w:rPr>
                <w:i/>
                <w:sz w:val="20"/>
                <w:szCs w:val="20"/>
              </w:rPr>
              <w:t>kuat</w:t>
            </w:r>
            <w:proofErr w:type="spellEnd"/>
            <w:r w:rsidR="004A013E">
              <w:rPr>
                <w:i/>
                <w:sz w:val="20"/>
                <w:szCs w:val="20"/>
              </w:rPr>
              <w:t xml:space="preserve"> </w:t>
            </w:r>
            <w:proofErr w:type="spellStart"/>
            <w:r w:rsidR="004A013E">
              <w:rPr>
                <w:i/>
                <w:sz w:val="20"/>
                <w:szCs w:val="20"/>
              </w:rPr>
              <w:t>n</w:t>
            </w:r>
            <w:r w:rsidR="004A013E" w:rsidRPr="004A013E">
              <w:rPr>
                <w:i/>
                <w:sz w:val="20"/>
                <w:szCs w:val="20"/>
              </w:rPr>
              <w:t>amun</w:t>
            </w:r>
            <w:proofErr w:type="spellEnd"/>
            <w:r w:rsidR="004A013E" w:rsidRPr="004A013E">
              <w:rPr>
                <w:i/>
                <w:sz w:val="20"/>
                <w:szCs w:val="20"/>
              </w:rPr>
              <w:t>,</w:t>
            </w:r>
            <w:r w:rsidR="00611BB9">
              <w:rPr>
                <w:i/>
                <w:sz w:val="20"/>
                <w:szCs w:val="20"/>
              </w:rPr>
              <w:t xml:space="preserve"> </w:t>
            </w:r>
            <w:proofErr w:type="spellStart"/>
            <w:r w:rsidR="00611BB9">
              <w:rPr>
                <w:i/>
                <w:sz w:val="20"/>
                <w:szCs w:val="20"/>
              </w:rPr>
              <w:t>profitabilitas</w:t>
            </w:r>
            <w:proofErr w:type="spellEnd"/>
            <w:r w:rsidR="00611BB9">
              <w:rPr>
                <w:i/>
                <w:sz w:val="20"/>
                <w:szCs w:val="20"/>
              </w:rPr>
              <w:t xml:space="preserve"> </w:t>
            </w:r>
            <w:proofErr w:type="spellStart"/>
            <w:r w:rsidR="00611BB9">
              <w:rPr>
                <w:i/>
                <w:sz w:val="20"/>
                <w:szCs w:val="20"/>
              </w:rPr>
              <w:t>masih</w:t>
            </w:r>
            <w:proofErr w:type="spellEnd"/>
            <w:r w:rsidR="00611BB9">
              <w:rPr>
                <w:i/>
                <w:sz w:val="20"/>
                <w:szCs w:val="20"/>
              </w:rPr>
              <w:t xml:space="preserve"> </w:t>
            </w:r>
            <w:proofErr w:type="spellStart"/>
            <w:r w:rsidR="004A013E" w:rsidRPr="004A013E">
              <w:rPr>
                <w:i/>
                <w:sz w:val="20"/>
                <w:szCs w:val="20"/>
              </w:rPr>
              <w:t>rendah</w:t>
            </w:r>
            <w:proofErr w:type="spellEnd"/>
            <w:r w:rsidR="004A013E" w:rsidRPr="004A013E">
              <w:rPr>
                <w:i/>
                <w:sz w:val="20"/>
                <w:szCs w:val="20"/>
              </w:rPr>
              <w:t>.</w:t>
            </w:r>
            <w:r w:rsidR="004A013E">
              <w:rPr>
                <w:i/>
                <w:sz w:val="20"/>
                <w:szCs w:val="20"/>
              </w:rPr>
              <w:t xml:space="preserve"> </w:t>
            </w:r>
            <w:proofErr w:type="spellStart"/>
            <w:r w:rsidR="004A013E">
              <w:rPr>
                <w:i/>
                <w:sz w:val="20"/>
                <w:szCs w:val="20"/>
              </w:rPr>
              <w:t>Analisis</w:t>
            </w:r>
            <w:proofErr w:type="spellEnd"/>
            <w:r w:rsidR="004A013E">
              <w:rPr>
                <w:i/>
                <w:sz w:val="20"/>
                <w:szCs w:val="20"/>
              </w:rPr>
              <w:t xml:space="preserve"> SWOT–TOWS </w:t>
            </w:r>
            <w:proofErr w:type="spellStart"/>
            <w:r w:rsidR="004A013E">
              <w:rPr>
                <w:i/>
                <w:sz w:val="20"/>
                <w:szCs w:val="20"/>
              </w:rPr>
              <w:t>mennjukkan</w:t>
            </w:r>
            <w:proofErr w:type="spellEnd"/>
            <w:r w:rsidR="004A013E">
              <w:rPr>
                <w:i/>
                <w:sz w:val="20"/>
                <w:szCs w:val="20"/>
              </w:rPr>
              <w:t xml:space="preserve"> </w:t>
            </w:r>
            <w:proofErr w:type="spellStart"/>
            <w:r w:rsidR="004A013E" w:rsidRPr="004A013E">
              <w:rPr>
                <w:i/>
                <w:sz w:val="20"/>
                <w:szCs w:val="20"/>
              </w:rPr>
              <w:t>bahwa</w:t>
            </w:r>
            <w:proofErr w:type="spellEnd"/>
            <w:r w:rsidR="004A013E" w:rsidRPr="004A013E">
              <w:rPr>
                <w:i/>
                <w:sz w:val="20"/>
                <w:szCs w:val="20"/>
              </w:rPr>
              <w:t xml:space="preserve"> </w:t>
            </w:r>
            <w:proofErr w:type="spellStart"/>
            <w:r w:rsidR="004A013E" w:rsidRPr="004A013E">
              <w:rPr>
                <w:i/>
                <w:sz w:val="20"/>
                <w:szCs w:val="20"/>
              </w:rPr>
              <w:t>strategi</w:t>
            </w:r>
            <w:proofErr w:type="spellEnd"/>
            <w:r w:rsidR="004A013E" w:rsidRPr="004A013E">
              <w:rPr>
                <w:i/>
                <w:sz w:val="20"/>
                <w:szCs w:val="20"/>
              </w:rPr>
              <w:t xml:space="preserve"> </w:t>
            </w:r>
            <w:proofErr w:type="spellStart"/>
            <w:r w:rsidR="004A013E" w:rsidRPr="004A013E">
              <w:rPr>
                <w:i/>
                <w:sz w:val="20"/>
                <w:szCs w:val="20"/>
              </w:rPr>
              <w:t>pengembangan</w:t>
            </w:r>
            <w:proofErr w:type="spellEnd"/>
            <w:r w:rsidR="004A013E" w:rsidRPr="004A013E">
              <w:rPr>
                <w:i/>
                <w:sz w:val="20"/>
                <w:szCs w:val="20"/>
              </w:rPr>
              <w:t xml:space="preserve"> </w:t>
            </w:r>
            <w:proofErr w:type="spellStart"/>
            <w:r w:rsidR="004A013E" w:rsidRPr="004A013E">
              <w:rPr>
                <w:i/>
                <w:sz w:val="20"/>
                <w:szCs w:val="20"/>
              </w:rPr>
              <w:t>harus</w:t>
            </w:r>
            <w:proofErr w:type="spellEnd"/>
            <w:r w:rsidR="004A013E" w:rsidRPr="004A013E">
              <w:rPr>
                <w:i/>
                <w:sz w:val="20"/>
                <w:szCs w:val="20"/>
              </w:rPr>
              <w:t xml:space="preserve"> </w:t>
            </w:r>
            <w:proofErr w:type="spellStart"/>
            <w:r w:rsidR="004A013E" w:rsidRPr="004A013E">
              <w:rPr>
                <w:i/>
                <w:sz w:val="20"/>
                <w:szCs w:val="20"/>
              </w:rPr>
              <w:t>menekankan</w:t>
            </w:r>
            <w:proofErr w:type="spellEnd"/>
            <w:r w:rsidR="004A013E" w:rsidRPr="004A013E">
              <w:rPr>
                <w:i/>
                <w:sz w:val="20"/>
                <w:szCs w:val="20"/>
              </w:rPr>
              <w:t xml:space="preserve"> </w:t>
            </w:r>
            <w:proofErr w:type="spellStart"/>
            <w:r w:rsidR="004A013E" w:rsidRPr="004A013E">
              <w:rPr>
                <w:i/>
                <w:sz w:val="20"/>
                <w:szCs w:val="20"/>
              </w:rPr>
              <w:t>ekspansi</w:t>
            </w:r>
            <w:proofErr w:type="spellEnd"/>
            <w:r w:rsidR="004A013E" w:rsidRPr="004A013E">
              <w:rPr>
                <w:i/>
                <w:sz w:val="20"/>
                <w:szCs w:val="20"/>
              </w:rPr>
              <w:t xml:space="preserve"> </w:t>
            </w:r>
            <w:proofErr w:type="spellStart"/>
            <w:r w:rsidR="004A013E" w:rsidRPr="004A013E">
              <w:rPr>
                <w:i/>
                <w:sz w:val="20"/>
                <w:szCs w:val="20"/>
              </w:rPr>
              <w:t>berbasis</w:t>
            </w:r>
            <w:proofErr w:type="spellEnd"/>
            <w:r w:rsidR="004A013E" w:rsidRPr="004A013E">
              <w:rPr>
                <w:i/>
                <w:sz w:val="20"/>
                <w:szCs w:val="20"/>
              </w:rPr>
              <w:t xml:space="preserve"> </w:t>
            </w:r>
            <w:proofErr w:type="spellStart"/>
            <w:r w:rsidR="004A013E" w:rsidRPr="004A013E">
              <w:rPr>
                <w:i/>
                <w:sz w:val="20"/>
                <w:szCs w:val="20"/>
              </w:rPr>
              <w:t>ekosistem</w:t>
            </w:r>
            <w:proofErr w:type="spellEnd"/>
            <w:r w:rsidR="004A013E" w:rsidRPr="004A013E">
              <w:rPr>
                <w:i/>
                <w:sz w:val="20"/>
                <w:szCs w:val="20"/>
              </w:rPr>
              <w:t xml:space="preserve"> (SO), </w:t>
            </w:r>
            <w:proofErr w:type="spellStart"/>
            <w:r w:rsidR="004A013E" w:rsidRPr="004A013E">
              <w:rPr>
                <w:i/>
                <w:sz w:val="20"/>
                <w:szCs w:val="20"/>
              </w:rPr>
              <w:t>peningkatan</w:t>
            </w:r>
            <w:proofErr w:type="spellEnd"/>
            <w:r w:rsidR="004A013E" w:rsidRPr="004A013E">
              <w:rPr>
                <w:i/>
                <w:sz w:val="20"/>
                <w:szCs w:val="20"/>
              </w:rPr>
              <w:t xml:space="preserve"> </w:t>
            </w:r>
            <w:proofErr w:type="spellStart"/>
            <w:r w:rsidR="004A013E" w:rsidRPr="004A013E">
              <w:rPr>
                <w:i/>
                <w:sz w:val="20"/>
                <w:szCs w:val="20"/>
              </w:rPr>
              <w:t>profitabilitas</w:t>
            </w:r>
            <w:proofErr w:type="spellEnd"/>
            <w:r w:rsidR="004A013E" w:rsidRPr="004A013E">
              <w:rPr>
                <w:i/>
                <w:sz w:val="20"/>
                <w:szCs w:val="20"/>
              </w:rPr>
              <w:t xml:space="preserve"> </w:t>
            </w:r>
            <w:proofErr w:type="spellStart"/>
            <w:r w:rsidR="004A013E" w:rsidRPr="004A013E">
              <w:rPr>
                <w:i/>
                <w:sz w:val="20"/>
                <w:szCs w:val="20"/>
              </w:rPr>
              <w:t>dan</w:t>
            </w:r>
            <w:proofErr w:type="spellEnd"/>
            <w:r w:rsidR="004A013E" w:rsidRPr="004A013E">
              <w:rPr>
                <w:i/>
                <w:sz w:val="20"/>
                <w:szCs w:val="20"/>
              </w:rPr>
              <w:t xml:space="preserve"> </w:t>
            </w:r>
            <w:proofErr w:type="spellStart"/>
            <w:r w:rsidR="004A013E" w:rsidRPr="004A013E">
              <w:rPr>
                <w:i/>
                <w:sz w:val="20"/>
                <w:szCs w:val="20"/>
              </w:rPr>
              <w:t>monetisasi</w:t>
            </w:r>
            <w:proofErr w:type="spellEnd"/>
            <w:r w:rsidR="004A013E" w:rsidRPr="004A013E">
              <w:rPr>
                <w:i/>
                <w:sz w:val="20"/>
                <w:szCs w:val="20"/>
              </w:rPr>
              <w:t xml:space="preserve"> </w:t>
            </w:r>
            <w:proofErr w:type="spellStart"/>
            <w:r w:rsidR="004A013E" w:rsidRPr="004A013E">
              <w:rPr>
                <w:i/>
                <w:sz w:val="20"/>
                <w:szCs w:val="20"/>
              </w:rPr>
              <w:t>layanan</w:t>
            </w:r>
            <w:proofErr w:type="spellEnd"/>
            <w:r w:rsidR="004A013E" w:rsidRPr="004A013E">
              <w:rPr>
                <w:i/>
                <w:sz w:val="20"/>
                <w:szCs w:val="20"/>
              </w:rPr>
              <w:t xml:space="preserve"> (WO), </w:t>
            </w:r>
            <w:proofErr w:type="spellStart"/>
            <w:r w:rsidR="004A013E" w:rsidRPr="004A013E">
              <w:rPr>
                <w:i/>
                <w:sz w:val="20"/>
                <w:szCs w:val="20"/>
              </w:rPr>
              <w:t>penguatan</w:t>
            </w:r>
            <w:proofErr w:type="spellEnd"/>
            <w:r w:rsidR="004A013E" w:rsidRPr="004A013E">
              <w:rPr>
                <w:i/>
                <w:sz w:val="20"/>
                <w:szCs w:val="20"/>
              </w:rPr>
              <w:t xml:space="preserve"> </w:t>
            </w:r>
            <w:proofErr w:type="spellStart"/>
            <w:r w:rsidR="004A013E" w:rsidRPr="004A013E">
              <w:rPr>
                <w:i/>
                <w:sz w:val="20"/>
                <w:szCs w:val="20"/>
              </w:rPr>
              <w:t>daya</w:t>
            </w:r>
            <w:proofErr w:type="spellEnd"/>
            <w:r w:rsidR="004A013E" w:rsidRPr="004A013E">
              <w:rPr>
                <w:i/>
                <w:sz w:val="20"/>
                <w:szCs w:val="20"/>
              </w:rPr>
              <w:t xml:space="preserve"> </w:t>
            </w:r>
            <w:proofErr w:type="spellStart"/>
            <w:r w:rsidR="004A013E" w:rsidRPr="004A013E">
              <w:rPr>
                <w:i/>
                <w:sz w:val="20"/>
                <w:szCs w:val="20"/>
              </w:rPr>
              <w:t>saing</w:t>
            </w:r>
            <w:proofErr w:type="spellEnd"/>
            <w:r w:rsidR="004A013E" w:rsidRPr="004A013E">
              <w:rPr>
                <w:i/>
                <w:sz w:val="20"/>
                <w:szCs w:val="20"/>
              </w:rPr>
              <w:t xml:space="preserve"> </w:t>
            </w:r>
            <w:proofErr w:type="spellStart"/>
            <w:r w:rsidR="004A013E" w:rsidRPr="004A013E">
              <w:rPr>
                <w:i/>
                <w:sz w:val="20"/>
                <w:szCs w:val="20"/>
              </w:rPr>
              <w:t>terhadap</w:t>
            </w:r>
            <w:proofErr w:type="spellEnd"/>
            <w:r w:rsidR="004A013E" w:rsidRPr="004A013E">
              <w:rPr>
                <w:i/>
                <w:sz w:val="20"/>
                <w:szCs w:val="20"/>
              </w:rPr>
              <w:t xml:space="preserve"> bank </w:t>
            </w:r>
            <w:proofErr w:type="spellStart"/>
            <w:r w:rsidR="004A013E" w:rsidRPr="004A013E">
              <w:rPr>
                <w:i/>
                <w:sz w:val="20"/>
                <w:szCs w:val="20"/>
              </w:rPr>
              <w:t>konvensional</w:t>
            </w:r>
            <w:proofErr w:type="spellEnd"/>
            <w:r w:rsidR="004A013E" w:rsidRPr="004A013E">
              <w:rPr>
                <w:i/>
                <w:sz w:val="20"/>
                <w:szCs w:val="20"/>
              </w:rPr>
              <w:t xml:space="preserve"> (ST), </w:t>
            </w:r>
            <w:proofErr w:type="spellStart"/>
            <w:r w:rsidR="004A013E" w:rsidRPr="004A013E">
              <w:rPr>
                <w:i/>
                <w:sz w:val="20"/>
                <w:szCs w:val="20"/>
              </w:rPr>
              <w:t>serta</w:t>
            </w:r>
            <w:proofErr w:type="spellEnd"/>
            <w:r w:rsidR="004A013E" w:rsidRPr="004A013E">
              <w:rPr>
                <w:i/>
                <w:sz w:val="20"/>
                <w:szCs w:val="20"/>
              </w:rPr>
              <w:t xml:space="preserve"> </w:t>
            </w:r>
            <w:proofErr w:type="spellStart"/>
            <w:r w:rsidR="004A013E" w:rsidRPr="004A013E">
              <w:rPr>
                <w:i/>
                <w:sz w:val="20"/>
                <w:szCs w:val="20"/>
              </w:rPr>
              <w:t>pengelolaan</w:t>
            </w:r>
            <w:proofErr w:type="spellEnd"/>
            <w:r w:rsidR="004A013E" w:rsidRPr="004A013E">
              <w:rPr>
                <w:i/>
                <w:sz w:val="20"/>
                <w:szCs w:val="20"/>
              </w:rPr>
              <w:t xml:space="preserve"> </w:t>
            </w:r>
            <w:proofErr w:type="spellStart"/>
            <w:r w:rsidR="004A013E" w:rsidRPr="004A013E">
              <w:rPr>
                <w:i/>
                <w:sz w:val="20"/>
                <w:szCs w:val="20"/>
              </w:rPr>
              <w:t>risiko</w:t>
            </w:r>
            <w:proofErr w:type="spellEnd"/>
            <w:r w:rsidR="004A013E" w:rsidRPr="004A013E">
              <w:rPr>
                <w:i/>
                <w:sz w:val="20"/>
                <w:szCs w:val="20"/>
              </w:rPr>
              <w:t xml:space="preserve"> </w:t>
            </w:r>
            <w:proofErr w:type="spellStart"/>
            <w:r w:rsidR="004A013E" w:rsidRPr="004A013E">
              <w:rPr>
                <w:i/>
                <w:sz w:val="20"/>
                <w:szCs w:val="20"/>
              </w:rPr>
              <w:t>dan</w:t>
            </w:r>
            <w:proofErr w:type="spellEnd"/>
            <w:r w:rsidR="004A013E" w:rsidRPr="004A013E">
              <w:rPr>
                <w:i/>
                <w:sz w:val="20"/>
                <w:szCs w:val="20"/>
              </w:rPr>
              <w:t xml:space="preserve"> </w:t>
            </w:r>
            <w:proofErr w:type="spellStart"/>
            <w:r w:rsidR="004A013E" w:rsidRPr="004A013E">
              <w:rPr>
                <w:i/>
                <w:sz w:val="20"/>
                <w:szCs w:val="20"/>
              </w:rPr>
              <w:t>keberlanjutan</w:t>
            </w:r>
            <w:proofErr w:type="spellEnd"/>
            <w:r w:rsidR="004A013E" w:rsidRPr="004A013E">
              <w:rPr>
                <w:i/>
                <w:sz w:val="20"/>
                <w:szCs w:val="20"/>
              </w:rPr>
              <w:t xml:space="preserve"> (WT). </w:t>
            </w:r>
            <w:proofErr w:type="spellStart"/>
            <w:r w:rsidR="00611BB9">
              <w:rPr>
                <w:i/>
                <w:sz w:val="20"/>
                <w:szCs w:val="20"/>
              </w:rPr>
              <w:t>Hasilnya</w:t>
            </w:r>
            <w:proofErr w:type="spellEnd"/>
            <w:proofErr w:type="gramStart"/>
            <w:r w:rsidR="00611BB9">
              <w:rPr>
                <w:i/>
                <w:sz w:val="20"/>
                <w:szCs w:val="20"/>
              </w:rPr>
              <w:t xml:space="preserve">, </w:t>
            </w:r>
            <w:r w:rsidR="004A013E" w:rsidRPr="004A013E">
              <w:rPr>
                <w:i/>
                <w:sz w:val="20"/>
                <w:szCs w:val="20"/>
              </w:rPr>
              <w:t xml:space="preserve"> </w:t>
            </w:r>
            <w:proofErr w:type="spellStart"/>
            <w:r w:rsidR="004A013E" w:rsidRPr="004A013E">
              <w:rPr>
                <w:i/>
                <w:sz w:val="20"/>
                <w:szCs w:val="20"/>
              </w:rPr>
              <w:t>industri</w:t>
            </w:r>
            <w:proofErr w:type="spellEnd"/>
            <w:proofErr w:type="gramEnd"/>
            <w:r w:rsidR="004A013E" w:rsidRPr="004A013E">
              <w:rPr>
                <w:i/>
                <w:sz w:val="20"/>
                <w:szCs w:val="20"/>
              </w:rPr>
              <w:t xml:space="preserve"> bank digital Indonesia </w:t>
            </w:r>
            <w:proofErr w:type="spellStart"/>
            <w:r w:rsidR="004A013E" w:rsidRPr="004A013E">
              <w:rPr>
                <w:i/>
                <w:sz w:val="20"/>
                <w:szCs w:val="20"/>
              </w:rPr>
              <w:t>berada</w:t>
            </w:r>
            <w:proofErr w:type="spellEnd"/>
            <w:r w:rsidR="004A013E" w:rsidRPr="004A013E">
              <w:rPr>
                <w:i/>
                <w:sz w:val="20"/>
                <w:szCs w:val="20"/>
              </w:rPr>
              <w:t xml:space="preserve"> </w:t>
            </w:r>
            <w:proofErr w:type="spellStart"/>
            <w:r w:rsidR="004A013E" w:rsidRPr="004A013E">
              <w:rPr>
                <w:i/>
                <w:sz w:val="20"/>
                <w:szCs w:val="20"/>
              </w:rPr>
              <w:t>pada</w:t>
            </w:r>
            <w:proofErr w:type="spellEnd"/>
            <w:r w:rsidR="004A013E" w:rsidRPr="004A013E">
              <w:rPr>
                <w:i/>
                <w:sz w:val="20"/>
                <w:szCs w:val="20"/>
              </w:rPr>
              <w:t xml:space="preserve"> </w:t>
            </w:r>
            <w:proofErr w:type="spellStart"/>
            <w:r w:rsidR="004A013E" w:rsidRPr="004A013E">
              <w:rPr>
                <w:i/>
                <w:sz w:val="20"/>
                <w:szCs w:val="20"/>
              </w:rPr>
              <w:t>fase</w:t>
            </w:r>
            <w:proofErr w:type="spellEnd"/>
            <w:r w:rsidR="004A013E" w:rsidRPr="004A013E">
              <w:rPr>
                <w:i/>
                <w:sz w:val="20"/>
                <w:szCs w:val="20"/>
              </w:rPr>
              <w:t xml:space="preserve"> </w:t>
            </w:r>
            <w:proofErr w:type="spellStart"/>
            <w:r w:rsidR="004A013E" w:rsidRPr="004A013E">
              <w:rPr>
                <w:i/>
                <w:sz w:val="20"/>
                <w:szCs w:val="20"/>
              </w:rPr>
              <w:t>pertumbuhan</w:t>
            </w:r>
            <w:proofErr w:type="spellEnd"/>
            <w:r w:rsidR="004A013E" w:rsidRPr="004A013E">
              <w:rPr>
                <w:i/>
                <w:sz w:val="20"/>
                <w:szCs w:val="20"/>
              </w:rPr>
              <w:t xml:space="preserve"> </w:t>
            </w:r>
            <w:proofErr w:type="spellStart"/>
            <w:r w:rsidR="004A013E" w:rsidRPr="004A013E">
              <w:rPr>
                <w:i/>
                <w:sz w:val="20"/>
                <w:szCs w:val="20"/>
              </w:rPr>
              <w:t>cepat</w:t>
            </w:r>
            <w:proofErr w:type="spellEnd"/>
            <w:r w:rsidR="004A013E" w:rsidRPr="004A013E">
              <w:rPr>
                <w:i/>
                <w:sz w:val="20"/>
                <w:szCs w:val="20"/>
              </w:rPr>
              <w:t xml:space="preserve"> </w:t>
            </w:r>
            <w:proofErr w:type="spellStart"/>
            <w:r w:rsidR="004A013E" w:rsidRPr="004A013E">
              <w:rPr>
                <w:i/>
                <w:sz w:val="20"/>
                <w:szCs w:val="20"/>
              </w:rPr>
              <w:t>namun</w:t>
            </w:r>
            <w:proofErr w:type="spellEnd"/>
            <w:r w:rsidR="004A013E" w:rsidRPr="004A013E">
              <w:rPr>
                <w:i/>
                <w:sz w:val="20"/>
                <w:szCs w:val="20"/>
              </w:rPr>
              <w:t xml:space="preserve"> </w:t>
            </w:r>
            <w:proofErr w:type="spellStart"/>
            <w:r w:rsidR="004A013E" w:rsidRPr="004A013E">
              <w:rPr>
                <w:i/>
                <w:sz w:val="20"/>
                <w:szCs w:val="20"/>
              </w:rPr>
              <w:t>belum</w:t>
            </w:r>
            <w:proofErr w:type="spellEnd"/>
            <w:r w:rsidR="004A013E" w:rsidRPr="004A013E">
              <w:rPr>
                <w:i/>
                <w:sz w:val="20"/>
                <w:szCs w:val="20"/>
              </w:rPr>
              <w:t xml:space="preserve"> </w:t>
            </w:r>
            <w:proofErr w:type="spellStart"/>
            <w:r w:rsidR="004A013E" w:rsidRPr="004A013E">
              <w:rPr>
                <w:i/>
                <w:sz w:val="20"/>
                <w:szCs w:val="20"/>
              </w:rPr>
              <w:t>sepenuhnya</w:t>
            </w:r>
            <w:proofErr w:type="spellEnd"/>
            <w:r w:rsidR="004A013E" w:rsidRPr="004A013E">
              <w:rPr>
                <w:i/>
                <w:sz w:val="20"/>
                <w:szCs w:val="20"/>
              </w:rPr>
              <w:t xml:space="preserve"> </w:t>
            </w:r>
            <w:proofErr w:type="spellStart"/>
            <w:r w:rsidR="004A013E" w:rsidRPr="004A013E">
              <w:rPr>
                <w:i/>
                <w:sz w:val="20"/>
                <w:szCs w:val="20"/>
              </w:rPr>
              <w:t>matang</w:t>
            </w:r>
            <w:proofErr w:type="spellEnd"/>
            <w:r w:rsidR="004A013E" w:rsidRPr="004A013E">
              <w:rPr>
                <w:i/>
                <w:sz w:val="20"/>
                <w:szCs w:val="20"/>
              </w:rPr>
              <w:t xml:space="preserve"> </w:t>
            </w:r>
            <w:proofErr w:type="spellStart"/>
            <w:r w:rsidR="004A013E" w:rsidRPr="004A013E">
              <w:rPr>
                <w:i/>
                <w:sz w:val="20"/>
                <w:szCs w:val="20"/>
              </w:rPr>
              <w:t>secara</w:t>
            </w:r>
            <w:proofErr w:type="spellEnd"/>
            <w:r w:rsidR="004A013E" w:rsidRPr="004A013E">
              <w:rPr>
                <w:i/>
                <w:sz w:val="20"/>
                <w:szCs w:val="20"/>
              </w:rPr>
              <w:t xml:space="preserve"> </w:t>
            </w:r>
            <w:proofErr w:type="spellStart"/>
            <w:r w:rsidR="004A013E" w:rsidRPr="004A013E">
              <w:rPr>
                <w:i/>
                <w:sz w:val="20"/>
                <w:szCs w:val="20"/>
              </w:rPr>
              <w:t>finansial</w:t>
            </w:r>
            <w:proofErr w:type="spellEnd"/>
            <w:r w:rsidR="004A013E" w:rsidRPr="004A013E">
              <w:rPr>
                <w:i/>
                <w:sz w:val="20"/>
                <w:szCs w:val="20"/>
              </w:rPr>
              <w:t xml:space="preserve">, </w:t>
            </w:r>
            <w:proofErr w:type="spellStart"/>
            <w:r w:rsidR="004A013E" w:rsidRPr="004A013E">
              <w:rPr>
                <w:i/>
                <w:sz w:val="20"/>
                <w:szCs w:val="20"/>
              </w:rPr>
              <w:t>sehingga</w:t>
            </w:r>
            <w:proofErr w:type="spellEnd"/>
            <w:r w:rsidR="004A013E" w:rsidRPr="004A013E">
              <w:rPr>
                <w:i/>
                <w:sz w:val="20"/>
                <w:szCs w:val="20"/>
              </w:rPr>
              <w:t xml:space="preserve"> </w:t>
            </w:r>
            <w:proofErr w:type="spellStart"/>
            <w:r w:rsidR="004A013E" w:rsidRPr="004A013E">
              <w:rPr>
                <w:i/>
                <w:sz w:val="20"/>
                <w:szCs w:val="20"/>
              </w:rPr>
              <w:t>diperlukan</w:t>
            </w:r>
            <w:proofErr w:type="spellEnd"/>
            <w:r w:rsidR="004A013E" w:rsidRPr="004A013E">
              <w:rPr>
                <w:i/>
                <w:sz w:val="20"/>
                <w:szCs w:val="20"/>
              </w:rPr>
              <w:t xml:space="preserve"> </w:t>
            </w:r>
            <w:proofErr w:type="spellStart"/>
            <w:r w:rsidR="004A013E" w:rsidRPr="004A013E">
              <w:rPr>
                <w:i/>
                <w:sz w:val="20"/>
                <w:szCs w:val="20"/>
              </w:rPr>
              <w:t>keseimbangan</w:t>
            </w:r>
            <w:proofErr w:type="spellEnd"/>
            <w:r w:rsidR="004A013E" w:rsidRPr="004A013E">
              <w:rPr>
                <w:i/>
                <w:sz w:val="20"/>
                <w:szCs w:val="20"/>
              </w:rPr>
              <w:t xml:space="preserve"> </w:t>
            </w:r>
            <w:proofErr w:type="spellStart"/>
            <w:r w:rsidR="004A013E" w:rsidRPr="004A013E">
              <w:rPr>
                <w:i/>
                <w:sz w:val="20"/>
                <w:szCs w:val="20"/>
              </w:rPr>
              <w:t>antara</w:t>
            </w:r>
            <w:proofErr w:type="spellEnd"/>
            <w:r w:rsidR="004A013E" w:rsidRPr="004A013E">
              <w:rPr>
                <w:i/>
                <w:sz w:val="20"/>
                <w:szCs w:val="20"/>
              </w:rPr>
              <w:t xml:space="preserve"> </w:t>
            </w:r>
            <w:proofErr w:type="spellStart"/>
            <w:r w:rsidR="004A013E" w:rsidRPr="004A013E">
              <w:rPr>
                <w:i/>
                <w:sz w:val="20"/>
                <w:szCs w:val="20"/>
              </w:rPr>
              <w:t>ekspansi</w:t>
            </w:r>
            <w:proofErr w:type="spellEnd"/>
            <w:r w:rsidR="004A013E" w:rsidRPr="004A013E">
              <w:rPr>
                <w:i/>
                <w:sz w:val="20"/>
                <w:szCs w:val="20"/>
              </w:rPr>
              <w:t xml:space="preserve"> digital </w:t>
            </w:r>
            <w:proofErr w:type="spellStart"/>
            <w:r w:rsidR="004A013E" w:rsidRPr="004A013E">
              <w:rPr>
                <w:i/>
                <w:sz w:val="20"/>
                <w:szCs w:val="20"/>
              </w:rPr>
              <w:t>dan</w:t>
            </w:r>
            <w:proofErr w:type="spellEnd"/>
            <w:r w:rsidR="004A013E" w:rsidRPr="004A013E">
              <w:rPr>
                <w:i/>
                <w:sz w:val="20"/>
                <w:szCs w:val="20"/>
              </w:rPr>
              <w:t xml:space="preserve"> </w:t>
            </w:r>
            <w:proofErr w:type="spellStart"/>
            <w:r w:rsidR="004A013E" w:rsidRPr="004A013E">
              <w:rPr>
                <w:i/>
                <w:sz w:val="20"/>
                <w:szCs w:val="20"/>
              </w:rPr>
              <w:t>stabilitas</w:t>
            </w:r>
            <w:proofErr w:type="spellEnd"/>
            <w:r w:rsidR="004A013E" w:rsidRPr="004A013E">
              <w:rPr>
                <w:i/>
                <w:sz w:val="20"/>
                <w:szCs w:val="20"/>
              </w:rPr>
              <w:t xml:space="preserve"> </w:t>
            </w:r>
            <w:proofErr w:type="spellStart"/>
            <w:r w:rsidR="004A013E" w:rsidRPr="004A013E">
              <w:rPr>
                <w:i/>
                <w:sz w:val="20"/>
                <w:szCs w:val="20"/>
              </w:rPr>
              <w:t>keuangan</w:t>
            </w:r>
            <w:proofErr w:type="spellEnd"/>
            <w:r w:rsidR="004A013E" w:rsidRPr="004A013E">
              <w:rPr>
                <w:i/>
                <w:sz w:val="20"/>
                <w:szCs w:val="20"/>
              </w:rPr>
              <w:t xml:space="preserve"> </w:t>
            </w:r>
            <w:proofErr w:type="spellStart"/>
            <w:r w:rsidR="004A013E" w:rsidRPr="004A013E">
              <w:rPr>
                <w:i/>
                <w:sz w:val="20"/>
                <w:szCs w:val="20"/>
              </w:rPr>
              <w:t>untuk</w:t>
            </w:r>
            <w:proofErr w:type="spellEnd"/>
            <w:r w:rsidR="004A013E" w:rsidRPr="004A013E">
              <w:rPr>
                <w:i/>
                <w:sz w:val="20"/>
                <w:szCs w:val="20"/>
              </w:rPr>
              <w:t xml:space="preserve"> </w:t>
            </w:r>
            <w:proofErr w:type="spellStart"/>
            <w:r w:rsidR="004A013E" w:rsidRPr="004A013E">
              <w:rPr>
                <w:i/>
                <w:sz w:val="20"/>
                <w:szCs w:val="20"/>
              </w:rPr>
              <w:t>mencapai</w:t>
            </w:r>
            <w:proofErr w:type="spellEnd"/>
            <w:r w:rsidR="004A013E" w:rsidRPr="004A013E">
              <w:rPr>
                <w:i/>
                <w:sz w:val="20"/>
                <w:szCs w:val="20"/>
              </w:rPr>
              <w:t xml:space="preserve"> </w:t>
            </w:r>
            <w:proofErr w:type="spellStart"/>
            <w:r w:rsidR="004A013E" w:rsidRPr="004A013E">
              <w:rPr>
                <w:i/>
                <w:sz w:val="20"/>
                <w:szCs w:val="20"/>
              </w:rPr>
              <w:t>keberlanjutan</w:t>
            </w:r>
            <w:proofErr w:type="spellEnd"/>
            <w:r w:rsidR="004A013E" w:rsidRPr="004A013E">
              <w:rPr>
                <w:i/>
                <w:sz w:val="20"/>
                <w:szCs w:val="20"/>
              </w:rPr>
              <w:t xml:space="preserve"> </w:t>
            </w:r>
            <w:proofErr w:type="spellStart"/>
            <w:r w:rsidR="004A013E" w:rsidRPr="004A013E">
              <w:rPr>
                <w:i/>
                <w:sz w:val="20"/>
                <w:szCs w:val="20"/>
              </w:rPr>
              <w:t>jangka</w:t>
            </w:r>
            <w:proofErr w:type="spellEnd"/>
            <w:r w:rsidR="004A013E" w:rsidRPr="004A013E">
              <w:rPr>
                <w:i/>
                <w:sz w:val="20"/>
                <w:szCs w:val="20"/>
              </w:rPr>
              <w:t xml:space="preserve"> </w:t>
            </w:r>
            <w:proofErr w:type="spellStart"/>
            <w:r w:rsidR="004A013E" w:rsidRPr="004A013E">
              <w:rPr>
                <w:i/>
                <w:sz w:val="20"/>
                <w:szCs w:val="20"/>
              </w:rPr>
              <w:t>panjang</w:t>
            </w:r>
            <w:proofErr w:type="spellEnd"/>
            <w:r w:rsidR="004A013E" w:rsidRPr="004A013E">
              <w:rPr>
                <w:i/>
                <w:sz w:val="20"/>
                <w:szCs w:val="20"/>
              </w:rPr>
              <w:t>.</w:t>
            </w:r>
          </w:p>
          <w:p w:rsidR="00975DA1" w:rsidRPr="00611BB9" w:rsidRDefault="004A013E" w:rsidP="00611BB9">
            <w:pPr>
              <w:widowControl/>
              <w:autoSpaceDE/>
              <w:autoSpaceDN/>
              <w:spacing w:before="100" w:beforeAutospacing="1" w:after="100" w:afterAutospacing="1"/>
              <w:contextualSpacing/>
              <w:jc w:val="both"/>
              <w:rPr>
                <w:i/>
                <w:sz w:val="20"/>
                <w:szCs w:val="20"/>
              </w:rPr>
            </w:pPr>
            <w:r>
              <w:rPr>
                <w:b/>
                <w:i/>
                <w:sz w:val="20"/>
                <w:szCs w:val="20"/>
              </w:rPr>
              <w:t xml:space="preserve">Kata </w:t>
            </w:r>
            <w:proofErr w:type="spellStart"/>
            <w:r>
              <w:rPr>
                <w:b/>
                <w:i/>
                <w:sz w:val="20"/>
                <w:szCs w:val="20"/>
              </w:rPr>
              <w:t>Kunci</w:t>
            </w:r>
            <w:proofErr w:type="spellEnd"/>
            <w:r>
              <w:rPr>
                <w:b/>
                <w:i/>
                <w:sz w:val="20"/>
                <w:szCs w:val="20"/>
              </w:rPr>
              <w:t xml:space="preserve"> </w:t>
            </w:r>
            <w:r w:rsidRPr="004A013E">
              <w:rPr>
                <w:i/>
                <w:sz w:val="20"/>
                <w:szCs w:val="20"/>
              </w:rPr>
              <w:t xml:space="preserve">: </w:t>
            </w:r>
            <w:r>
              <w:rPr>
                <w:i/>
                <w:sz w:val="20"/>
                <w:szCs w:val="20"/>
              </w:rPr>
              <w:t xml:space="preserve"> </w:t>
            </w:r>
            <w:proofErr w:type="spellStart"/>
            <w:r w:rsidR="00611BB9">
              <w:rPr>
                <w:i/>
                <w:sz w:val="20"/>
                <w:szCs w:val="20"/>
              </w:rPr>
              <w:t>PerbankandDigital</w:t>
            </w:r>
            <w:proofErr w:type="spellEnd"/>
            <w:r w:rsidR="00611BB9">
              <w:rPr>
                <w:i/>
                <w:sz w:val="20"/>
                <w:szCs w:val="20"/>
              </w:rPr>
              <w:t xml:space="preserve">, </w:t>
            </w:r>
            <w:proofErr w:type="spellStart"/>
            <w:r w:rsidR="00611BB9">
              <w:rPr>
                <w:i/>
                <w:sz w:val="20"/>
                <w:szCs w:val="20"/>
              </w:rPr>
              <w:t>kinerja</w:t>
            </w:r>
            <w:proofErr w:type="spellEnd"/>
            <w:r w:rsidR="00611BB9">
              <w:rPr>
                <w:i/>
                <w:sz w:val="20"/>
                <w:szCs w:val="20"/>
              </w:rPr>
              <w:t xml:space="preserve"> </w:t>
            </w:r>
            <w:proofErr w:type="spellStart"/>
            <w:r w:rsidR="00611BB9">
              <w:rPr>
                <w:i/>
                <w:sz w:val="20"/>
                <w:szCs w:val="20"/>
              </w:rPr>
              <w:t>keuangan</w:t>
            </w:r>
            <w:proofErr w:type="spellEnd"/>
            <w:r w:rsidR="00611BB9">
              <w:rPr>
                <w:i/>
                <w:sz w:val="20"/>
                <w:szCs w:val="20"/>
              </w:rPr>
              <w:t xml:space="preserve">, </w:t>
            </w:r>
            <w:proofErr w:type="spellStart"/>
            <w:r w:rsidR="00611BB9">
              <w:rPr>
                <w:i/>
                <w:sz w:val="20"/>
                <w:szCs w:val="20"/>
              </w:rPr>
              <w:t>kinerja</w:t>
            </w:r>
            <w:proofErr w:type="spellEnd"/>
            <w:r w:rsidR="00611BB9">
              <w:rPr>
                <w:i/>
                <w:sz w:val="20"/>
                <w:szCs w:val="20"/>
              </w:rPr>
              <w:t xml:space="preserve"> digital, </w:t>
            </w:r>
            <w:proofErr w:type="spellStart"/>
            <w:r w:rsidR="00611BB9">
              <w:rPr>
                <w:i/>
                <w:sz w:val="20"/>
                <w:szCs w:val="20"/>
              </w:rPr>
              <w:t>analisa</w:t>
            </w:r>
            <w:proofErr w:type="spellEnd"/>
            <w:r w:rsidR="00611BB9">
              <w:rPr>
                <w:i/>
                <w:sz w:val="20"/>
                <w:szCs w:val="20"/>
              </w:rPr>
              <w:t xml:space="preserve"> SWOT, </w:t>
            </w:r>
            <w:proofErr w:type="spellStart"/>
            <w:r w:rsidR="00611BB9">
              <w:rPr>
                <w:i/>
                <w:sz w:val="20"/>
                <w:szCs w:val="20"/>
              </w:rPr>
              <w:t>strategi</w:t>
            </w:r>
            <w:proofErr w:type="spellEnd"/>
            <w:r w:rsidR="00611BB9">
              <w:rPr>
                <w:i/>
                <w:sz w:val="20"/>
                <w:szCs w:val="20"/>
              </w:rPr>
              <w:t xml:space="preserve"> TOWS , </w:t>
            </w:r>
            <w:proofErr w:type="spellStart"/>
            <w:r w:rsidR="00611BB9">
              <w:rPr>
                <w:i/>
                <w:sz w:val="20"/>
                <w:szCs w:val="20"/>
              </w:rPr>
              <w:t>inovasi</w:t>
            </w:r>
            <w:proofErr w:type="spellEnd"/>
            <w:r w:rsidR="00611BB9">
              <w:rPr>
                <w:i/>
                <w:sz w:val="20"/>
                <w:szCs w:val="20"/>
              </w:rPr>
              <w:t xml:space="preserve"> </w:t>
            </w:r>
            <w:proofErr w:type="spellStart"/>
            <w:r w:rsidR="00611BB9">
              <w:rPr>
                <w:i/>
                <w:sz w:val="20"/>
                <w:szCs w:val="20"/>
              </w:rPr>
              <w:t>perbankan</w:t>
            </w:r>
            <w:proofErr w:type="spellEnd"/>
          </w:p>
          <w:p w:rsidR="00611BB9" w:rsidRPr="00611BB9" w:rsidRDefault="00C97CEE" w:rsidP="00611BB9">
            <w:pPr>
              <w:pStyle w:val="TableParagraph"/>
              <w:spacing w:before="0" w:line="229" w:lineRule="exact"/>
              <w:rPr>
                <w:rFonts w:ascii="Times New Roman" w:hAnsi="Times New Roman" w:cs="Times New Roman"/>
                <w:b/>
                <w:i/>
                <w:sz w:val="20"/>
                <w:szCs w:val="20"/>
              </w:rPr>
            </w:pPr>
            <w:r w:rsidRPr="00611BB9">
              <w:rPr>
                <w:rFonts w:ascii="Times New Roman" w:hAnsi="Times New Roman" w:cs="Times New Roman"/>
                <w:b/>
                <w:i/>
                <w:sz w:val="20"/>
                <w:szCs w:val="20"/>
              </w:rPr>
              <w:t xml:space="preserve"> </w:t>
            </w:r>
            <w:r w:rsidR="00611BB9" w:rsidRPr="00611BB9">
              <w:rPr>
                <w:rFonts w:ascii="Times New Roman" w:hAnsi="Times New Roman" w:cs="Times New Roman"/>
                <w:b/>
                <w:i/>
                <w:sz w:val="20"/>
                <w:szCs w:val="20"/>
              </w:rPr>
              <w:t>ABSTRACT</w:t>
            </w:r>
          </w:p>
          <w:p w:rsidR="00611BB9" w:rsidRPr="00611BB9" w:rsidRDefault="00611BB9" w:rsidP="00611BB9">
            <w:pPr>
              <w:pStyle w:val="TableParagraph"/>
              <w:spacing w:before="0" w:line="229" w:lineRule="exact"/>
              <w:jc w:val="both"/>
              <w:rPr>
                <w:rFonts w:ascii="Times New Roman" w:hAnsi="Times New Roman" w:cs="Times New Roman"/>
                <w:b/>
                <w:i/>
                <w:sz w:val="20"/>
                <w:szCs w:val="20"/>
              </w:rPr>
            </w:pPr>
            <w:r w:rsidRPr="00611BB9">
              <w:rPr>
                <w:rFonts w:ascii="Times New Roman" w:hAnsi="Times New Roman" w:cs="Times New Roman"/>
                <w:i/>
                <w:sz w:val="20"/>
                <w:szCs w:val="20"/>
              </w:rPr>
              <w:t>This study aims to analyze the financial performance and digital performance of the five largest digital banks in Indonesia in 2025, and to formulate development strategies based on SWOT–TOWS analysis using a quantitative descriptive-analytical approach. The study</w:t>
            </w:r>
            <w:r w:rsidR="00230E7B">
              <w:rPr>
                <w:rFonts w:ascii="Times New Roman" w:hAnsi="Times New Roman" w:cs="Times New Roman"/>
                <w:i/>
                <w:sz w:val="20"/>
                <w:szCs w:val="20"/>
              </w:rPr>
              <w:t xml:space="preserve"> integrates </w:t>
            </w:r>
            <w:proofErr w:type="gramStart"/>
            <w:r w:rsidR="00230E7B">
              <w:rPr>
                <w:rFonts w:ascii="Times New Roman" w:hAnsi="Times New Roman" w:cs="Times New Roman"/>
                <w:i/>
                <w:sz w:val="20"/>
                <w:szCs w:val="20"/>
              </w:rPr>
              <w:t xml:space="preserve">financial  </w:t>
            </w:r>
            <w:r w:rsidRPr="00611BB9">
              <w:rPr>
                <w:rFonts w:ascii="Times New Roman" w:hAnsi="Times New Roman" w:cs="Times New Roman"/>
                <w:i/>
                <w:sz w:val="20"/>
                <w:szCs w:val="20"/>
              </w:rPr>
              <w:t>indicators</w:t>
            </w:r>
            <w:proofErr w:type="gramEnd"/>
            <w:r w:rsidRPr="00611BB9">
              <w:rPr>
                <w:rFonts w:ascii="Times New Roman" w:hAnsi="Times New Roman" w:cs="Times New Roman"/>
                <w:i/>
                <w:sz w:val="20"/>
                <w:szCs w:val="20"/>
              </w:rPr>
              <w:t xml:space="preserve"> such as</w:t>
            </w:r>
            <w:r w:rsidR="00230E7B">
              <w:rPr>
                <w:rFonts w:ascii="Times New Roman" w:hAnsi="Times New Roman" w:cs="Times New Roman"/>
                <w:i/>
                <w:sz w:val="20"/>
                <w:szCs w:val="20"/>
              </w:rPr>
              <w:t xml:space="preserve"> </w:t>
            </w:r>
            <w:r>
              <w:rPr>
                <w:rFonts w:ascii="Times New Roman" w:hAnsi="Times New Roman" w:cs="Times New Roman"/>
                <w:i/>
                <w:sz w:val="20"/>
                <w:szCs w:val="20"/>
              </w:rPr>
              <w:t xml:space="preserve">ROA, CAR, NPL and LDR </w:t>
            </w:r>
            <w:r w:rsidRPr="00611BB9">
              <w:rPr>
                <w:rFonts w:ascii="Times New Roman" w:hAnsi="Times New Roman" w:cs="Times New Roman"/>
                <w:i/>
                <w:sz w:val="20"/>
                <w:szCs w:val="20"/>
              </w:rPr>
              <w:t>, as well as digital p</w:t>
            </w:r>
            <w:r w:rsidR="00230E7B">
              <w:rPr>
                <w:rFonts w:ascii="Times New Roman" w:hAnsi="Times New Roman" w:cs="Times New Roman"/>
                <w:i/>
                <w:sz w:val="20"/>
                <w:szCs w:val="20"/>
              </w:rPr>
              <w:t xml:space="preserve">erformance; </w:t>
            </w:r>
            <w:r w:rsidRPr="00611BB9">
              <w:rPr>
                <w:rFonts w:ascii="Times New Roman" w:hAnsi="Times New Roman" w:cs="Times New Roman"/>
                <w:i/>
                <w:sz w:val="20"/>
                <w:szCs w:val="20"/>
              </w:rPr>
              <w:t>customer acquisition speed, innovation capability, ecosystem integration, and digital transaction gro</w:t>
            </w:r>
            <w:r w:rsidR="00230E7B">
              <w:rPr>
                <w:rFonts w:ascii="Times New Roman" w:hAnsi="Times New Roman" w:cs="Times New Roman"/>
                <w:i/>
                <w:sz w:val="20"/>
                <w:szCs w:val="20"/>
              </w:rPr>
              <w:t xml:space="preserve">wth. Data were obtained </w:t>
            </w:r>
            <w:proofErr w:type="gramStart"/>
            <w:r w:rsidR="00230E7B">
              <w:rPr>
                <w:rFonts w:ascii="Times New Roman" w:hAnsi="Times New Roman" w:cs="Times New Roman"/>
                <w:i/>
                <w:sz w:val="20"/>
                <w:szCs w:val="20"/>
              </w:rPr>
              <w:t xml:space="preserve">from </w:t>
            </w:r>
            <w:r w:rsidRPr="00611BB9">
              <w:rPr>
                <w:rFonts w:ascii="Times New Roman" w:hAnsi="Times New Roman" w:cs="Times New Roman"/>
                <w:i/>
                <w:sz w:val="20"/>
                <w:szCs w:val="20"/>
              </w:rPr>
              <w:t xml:space="preserve"> </w:t>
            </w:r>
            <w:r>
              <w:rPr>
                <w:rFonts w:ascii="Times New Roman" w:hAnsi="Times New Roman" w:cs="Times New Roman"/>
                <w:i/>
                <w:sz w:val="20"/>
                <w:szCs w:val="20"/>
              </w:rPr>
              <w:t>OJK</w:t>
            </w:r>
            <w:proofErr w:type="gramEnd"/>
            <w:r>
              <w:rPr>
                <w:rFonts w:ascii="Times New Roman" w:hAnsi="Times New Roman" w:cs="Times New Roman"/>
                <w:i/>
                <w:sz w:val="20"/>
                <w:szCs w:val="20"/>
              </w:rPr>
              <w:t xml:space="preserve"> </w:t>
            </w:r>
            <w:r w:rsidRPr="00611BB9">
              <w:rPr>
                <w:rFonts w:ascii="Times New Roman" w:hAnsi="Times New Roman" w:cs="Times New Roman"/>
                <w:i/>
                <w:sz w:val="20"/>
                <w:szCs w:val="20"/>
              </w:rPr>
              <w:t>, annu</w:t>
            </w:r>
            <w:r w:rsidR="00230E7B">
              <w:rPr>
                <w:rFonts w:ascii="Times New Roman" w:hAnsi="Times New Roman" w:cs="Times New Roman"/>
                <w:i/>
                <w:sz w:val="20"/>
                <w:szCs w:val="20"/>
              </w:rPr>
              <w:t xml:space="preserve">al financial statements </w:t>
            </w:r>
            <w:r w:rsidRPr="00611BB9">
              <w:rPr>
                <w:rFonts w:ascii="Times New Roman" w:hAnsi="Times New Roman" w:cs="Times New Roman"/>
                <w:i/>
                <w:sz w:val="20"/>
                <w:szCs w:val="20"/>
              </w:rPr>
              <w:t xml:space="preserve">, and secondary industry sources. </w:t>
            </w:r>
            <w:r w:rsidR="00230E7B">
              <w:rPr>
                <w:rFonts w:ascii="Times New Roman" w:hAnsi="Times New Roman" w:cs="Times New Roman"/>
                <w:i/>
                <w:sz w:val="20"/>
                <w:szCs w:val="20"/>
              </w:rPr>
              <w:t>The results show</w:t>
            </w:r>
            <w:proofErr w:type="gramStart"/>
            <w:r w:rsidR="00230E7B">
              <w:rPr>
                <w:rFonts w:ascii="Times New Roman" w:hAnsi="Times New Roman" w:cs="Times New Roman"/>
                <w:i/>
                <w:sz w:val="20"/>
                <w:szCs w:val="20"/>
              </w:rPr>
              <w:t xml:space="preserve">, </w:t>
            </w:r>
            <w:r w:rsidRPr="00611BB9">
              <w:rPr>
                <w:rFonts w:ascii="Times New Roman" w:hAnsi="Times New Roman" w:cs="Times New Roman"/>
                <w:i/>
                <w:sz w:val="20"/>
                <w:szCs w:val="20"/>
              </w:rPr>
              <w:t xml:space="preserve"> digital</w:t>
            </w:r>
            <w:proofErr w:type="gramEnd"/>
            <w:r w:rsidRPr="00611BB9">
              <w:rPr>
                <w:rFonts w:ascii="Times New Roman" w:hAnsi="Times New Roman" w:cs="Times New Roman"/>
                <w:i/>
                <w:sz w:val="20"/>
                <w:szCs w:val="20"/>
              </w:rPr>
              <w:t xml:space="preserve"> banks demonstrate strong advantages in digital aspects, particularly in rapid user growth, service innovation, and integration with digital ecosystems such as e-commerce</w:t>
            </w:r>
            <w:r w:rsidR="00230E7B">
              <w:rPr>
                <w:rFonts w:ascii="Times New Roman" w:hAnsi="Times New Roman" w:cs="Times New Roman"/>
                <w:i/>
                <w:sz w:val="20"/>
                <w:szCs w:val="20"/>
              </w:rPr>
              <w:t xml:space="preserve"> platforms and super apps. All </w:t>
            </w:r>
            <w:proofErr w:type="spellStart"/>
            <w:r>
              <w:rPr>
                <w:rFonts w:ascii="Times New Roman" w:hAnsi="Times New Roman" w:cs="Times New Roman"/>
                <w:i/>
                <w:sz w:val="20"/>
                <w:szCs w:val="20"/>
              </w:rPr>
              <w:t>all</w:t>
            </w:r>
            <w:proofErr w:type="spellEnd"/>
            <w:r>
              <w:rPr>
                <w:rFonts w:ascii="Times New Roman" w:hAnsi="Times New Roman" w:cs="Times New Roman"/>
                <w:i/>
                <w:sz w:val="20"/>
                <w:szCs w:val="20"/>
              </w:rPr>
              <w:t xml:space="preserve"> banks maintain </w:t>
            </w:r>
            <w:r w:rsidRPr="00611BB9">
              <w:rPr>
                <w:rFonts w:ascii="Times New Roman" w:hAnsi="Times New Roman" w:cs="Times New Roman"/>
                <w:i/>
                <w:sz w:val="20"/>
                <w:szCs w:val="20"/>
              </w:rPr>
              <w:t>strong capital positions; however, p</w:t>
            </w:r>
            <w:r>
              <w:rPr>
                <w:rFonts w:ascii="Times New Roman" w:hAnsi="Times New Roman" w:cs="Times New Roman"/>
                <w:i/>
                <w:sz w:val="20"/>
                <w:szCs w:val="20"/>
              </w:rPr>
              <w:t xml:space="preserve">rofitability </w:t>
            </w:r>
            <w:proofErr w:type="gramStart"/>
            <w:r>
              <w:rPr>
                <w:rFonts w:ascii="Times New Roman" w:hAnsi="Times New Roman" w:cs="Times New Roman"/>
                <w:i/>
                <w:sz w:val="20"/>
                <w:szCs w:val="20"/>
              </w:rPr>
              <w:t xml:space="preserve">performance </w:t>
            </w:r>
            <w:r w:rsidRPr="00611BB9">
              <w:rPr>
                <w:rFonts w:ascii="Times New Roman" w:hAnsi="Times New Roman" w:cs="Times New Roman"/>
                <w:i/>
                <w:sz w:val="20"/>
                <w:szCs w:val="20"/>
              </w:rPr>
              <w:t xml:space="preserve"> relatively</w:t>
            </w:r>
            <w:proofErr w:type="gramEnd"/>
            <w:r w:rsidRPr="00611BB9">
              <w:rPr>
                <w:rFonts w:ascii="Times New Roman" w:hAnsi="Times New Roman" w:cs="Times New Roman"/>
                <w:i/>
                <w:sz w:val="20"/>
                <w:szCs w:val="20"/>
              </w:rPr>
              <w:t xml:space="preserve"> low. The SWOT–TOWS analysis indicates that strategies should emphasize ecosystem-based expansion (SO), improvement of profitability and service monetization (WO), strengthening competitiveness against conventional banks (ST), and risk management and sustainability (WT). </w:t>
            </w:r>
            <w:proofErr w:type="spellStart"/>
            <w:r w:rsidRPr="00611BB9">
              <w:rPr>
                <w:rFonts w:ascii="Times New Roman" w:hAnsi="Times New Roman" w:cs="Times New Roman"/>
                <w:i/>
                <w:sz w:val="20"/>
                <w:szCs w:val="20"/>
              </w:rPr>
              <w:t>The</w:t>
            </w:r>
            <w:r>
              <w:rPr>
                <w:rFonts w:ascii="Times New Roman" w:hAnsi="Times New Roman" w:cs="Times New Roman"/>
                <w:i/>
                <w:sz w:val="20"/>
                <w:szCs w:val="20"/>
              </w:rPr>
              <w:t>result</w:t>
            </w:r>
            <w:proofErr w:type="spellEnd"/>
            <w:r>
              <w:rPr>
                <w:rFonts w:ascii="Times New Roman" w:hAnsi="Times New Roman" w:cs="Times New Roman"/>
                <w:i/>
                <w:sz w:val="20"/>
                <w:szCs w:val="20"/>
              </w:rPr>
              <w:t xml:space="preserve">, </w:t>
            </w:r>
            <w:r w:rsidRPr="00611BB9">
              <w:rPr>
                <w:rFonts w:ascii="Times New Roman" w:hAnsi="Times New Roman" w:cs="Times New Roman"/>
                <w:i/>
                <w:sz w:val="20"/>
                <w:szCs w:val="20"/>
              </w:rPr>
              <w:t xml:space="preserve">Indonesia’s digital banking </w:t>
            </w:r>
            <w:proofErr w:type="gramStart"/>
            <w:r w:rsidRPr="00611BB9">
              <w:rPr>
                <w:rFonts w:ascii="Times New Roman" w:hAnsi="Times New Roman" w:cs="Times New Roman"/>
                <w:i/>
                <w:sz w:val="20"/>
                <w:szCs w:val="20"/>
              </w:rPr>
              <w:t>industry is in a rapid growth phase but is not yet fully financially mature</w:t>
            </w:r>
            <w:proofErr w:type="gramEnd"/>
            <w:r w:rsidRPr="00611BB9">
              <w:rPr>
                <w:rFonts w:ascii="Times New Roman" w:hAnsi="Times New Roman" w:cs="Times New Roman"/>
                <w:i/>
                <w:sz w:val="20"/>
                <w:szCs w:val="20"/>
              </w:rPr>
              <w:t>, requiring a balanced strategy between digital expansion and financial stability to achieve long-term sustainability.</w:t>
            </w:r>
          </w:p>
          <w:p w:rsidR="00C504FB" w:rsidRPr="00230E7B" w:rsidRDefault="00611BB9" w:rsidP="00230E7B">
            <w:pPr>
              <w:widowControl/>
              <w:autoSpaceDE/>
              <w:autoSpaceDN/>
              <w:spacing w:before="100" w:beforeAutospacing="1" w:after="100" w:afterAutospacing="1"/>
              <w:jc w:val="both"/>
              <w:rPr>
                <w:i/>
                <w:sz w:val="20"/>
                <w:szCs w:val="20"/>
              </w:rPr>
            </w:pPr>
            <w:r w:rsidRPr="00611BB9">
              <w:rPr>
                <w:b/>
                <w:bCs/>
                <w:i/>
                <w:sz w:val="20"/>
                <w:szCs w:val="20"/>
              </w:rPr>
              <w:t>Keywords:</w:t>
            </w:r>
            <w:r w:rsidRPr="00611BB9">
              <w:rPr>
                <w:i/>
                <w:sz w:val="20"/>
                <w:szCs w:val="20"/>
              </w:rPr>
              <w:t xml:space="preserve"> Digital banking; financial performance; digital performance; SWOT analysis; TOWS strategy; </w:t>
            </w:r>
            <w:proofErr w:type="spellStart"/>
            <w:r w:rsidRPr="00611BB9">
              <w:rPr>
                <w:i/>
                <w:sz w:val="20"/>
                <w:szCs w:val="20"/>
              </w:rPr>
              <w:t>fintech</w:t>
            </w:r>
            <w:proofErr w:type="spellEnd"/>
            <w:r w:rsidRPr="00611BB9">
              <w:rPr>
                <w:i/>
                <w:sz w:val="20"/>
                <w:szCs w:val="20"/>
              </w:rPr>
              <w:t>; banking innovation</w:t>
            </w:r>
          </w:p>
        </w:tc>
        <w:tc>
          <w:tcPr>
            <w:tcW w:w="3189" w:type="dxa"/>
            <w:tcBorders>
              <w:top w:val="single" w:sz="4" w:space="0" w:color="000000"/>
            </w:tcBorders>
          </w:tcPr>
          <w:p w:rsidR="00C504FB" w:rsidRDefault="00C504FB" w:rsidP="00611BB9">
            <w:pPr>
              <w:pStyle w:val="TableParagraph"/>
              <w:spacing w:before="1"/>
              <w:ind w:right="666"/>
              <w:rPr>
                <w:rFonts w:ascii="Times New Roman"/>
              </w:rPr>
            </w:pPr>
          </w:p>
        </w:tc>
      </w:tr>
    </w:tbl>
    <w:p w:rsidR="0064544D" w:rsidRDefault="0064544D">
      <w:pPr>
        <w:pStyle w:val="BodyText"/>
        <w:spacing w:before="8"/>
        <w:rPr>
          <w:b/>
          <w:sz w:val="15"/>
        </w:rPr>
      </w:pPr>
    </w:p>
    <w:p w:rsidR="00F36208" w:rsidRDefault="00A71A88" w:rsidP="00001ABE">
      <w:pPr>
        <w:pStyle w:val="Heading1"/>
        <w:spacing w:before="90" w:line="360" w:lineRule="auto"/>
        <w:ind w:left="0"/>
        <w:contextualSpacing/>
      </w:pPr>
      <w:r w:rsidRPr="000B64A4">
        <w:lastRenderedPageBreak/>
        <w:t>INTRODUCTION</w:t>
      </w:r>
    </w:p>
    <w:p w:rsidR="003833E1" w:rsidRPr="00440578" w:rsidRDefault="00001ABE" w:rsidP="008708E7">
      <w:pPr>
        <w:widowControl/>
        <w:tabs>
          <w:tab w:val="left" w:pos="426"/>
        </w:tabs>
        <w:autoSpaceDE/>
        <w:autoSpaceDN/>
        <w:spacing w:line="360" w:lineRule="auto"/>
        <w:ind w:right="29"/>
        <w:contextualSpacing/>
        <w:jc w:val="both"/>
        <w:rPr>
          <w:sz w:val="24"/>
          <w:szCs w:val="24"/>
        </w:rPr>
      </w:pPr>
      <w:r>
        <w:rPr>
          <w:sz w:val="24"/>
          <w:szCs w:val="24"/>
        </w:rPr>
        <w:tab/>
      </w:r>
      <w:r w:rsidRPr="00440578">
        <w:rPr>
          <w:sz w:val="24"/>
          <w:szCs w:val="24"/>
        </w:rPr>
        <w:t xml:space="preserve">    </w:t>
      </w:r>
      <w:r w:rsidR="003833E1" w:rsidRPr="00440578">
        <w:rPr>
          <w:sz w:val="24"/>
          <w:szCs w:val="24"/>
        </w:rPr>
        <w:t xml:space="preserve">Digital banking has become a major driver of transformation in Indonesia’s financial industry, reshaping traditional banking models through technology-based services that prioritize accessibility, efficiency, and customer convenience. Supported by increasing smartphone penetration, </w:t>
      </w:r>
      <w:proofErr w:type="spellStart"/>
      <w:r w:rsidR="003833E1" w:rsidRPr="00440578">
        <w:rPr>
          <w:sz w:val="24"/>
          <w:szCs w:val="24"/>
        </w:rPr>
        <w:t>fintech</w:t>
      </w:r>
      <w:proofErr w:type="spellEnd"/>
      <w:r w:rsidR="003833E1" w:rsidRPr="00440578">
        <w:rPr>
          <w:sz w:val="24"/>
          <w:szCs w:val="24"/>
        </w:rPr>
        <w:t xml:space="preserve"> ecosystem expansion, and regulatory encouragement from the Financial Services Authority (OJK), digital banks have rapidly gained market share, especially among younger consumers and underserved populations. Recent studies indicate that digital banking adoption significantly improves financial inclusion, customer satisfaction, and trust in financial services while reducing operational costs for institutions. In Indonesia, digital banking has evolved beyond simple mobile transactions into integrated financial ecosystems connected with e-commerce, investment platforms, and digital payments, making it a strategic pillar of </w:t>
      </w:r>
      <w:r w:rsidR="00106BFD" w:rsidRPr="00440578">
        <w:rPr>
          <w:sz w:val="24"/>
          <w:szCs w:val="24"/>
        </w:rPr>
        <w:t>national economic mod</w:t>
      </w:r>
      <w:r w:rsidR="002C29B0">
        <w:rPr>
          <w:sz w:val="24"/>
          <w:szCs w:val="24"/>
        </w:rPr>
        <w:t>ernization</w:t>
      </w:r>
      <w:r w:rsidR="002C29B0">
        <w:rPr>
          <w:b/>
          <w:i/>
        </w:rPr>
        <w:t xml:space="preserve"> </w:t>
      </w:r>
      <w:r w:rsidR="002C29B0" w:rsidRPr="003A0000">
        <w:rPr>
          <w:b/>
          <w:i/>
          <w:color w:val="FF0000"/>
        </w:rPr>
        <w:t xml:space="preserve"> </w:t>
      </w:r>
      <w:r w:rsidR="002C29B0" w:rsidRPr="009235CC">
        <w:rPr>
          <w:b/>
          <w:i/>
          <w:color w:val="FF0000"/>
        </w:rPr>
        <w:fldChar w:fldCharType="begin" w:fldLock="1"/>
      </w:r>
      <w:r w:rsidR="002C29B0" w:rsidRPr="009235CC">
        <w:rPr>
          <w:b/>
          <w:i/>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2C29B0" w:rsidRPr="009235CC">
        <w:rPr>
          <w:b/>
          <w:i/>
          <w:color w:val="FF0000"/>
        </w:rPr>
        <w:fldChar w:fldCharType="separate"/>
      </w:r>
      <w:r w:rsidR="002C29B0" w:rsidRPr="00440578">
        <w:rPr>
          <w:sz w:val="24"/>
          <w:szCs w:val="24"/>
        </w:rPr>
        <w:t>(</w:t>
      </w:r>
      <w:proofErr w:type="spellStart"/>
      <w:r w:rsidR="002C29B0" w:rsidRPr="00440578">
        <w:rPr>
          <w:sz w:val="24"/>
          <w:szCs w:val="24"/>
        </w:rPr>
        <w:t>Ridwan</w:t>
      </w:r>
      <w:proofErr w:type="spellEnd"/>
      <w:r w:rsidR="002C29B0" w:rsidRPr="00440578">
        <w:rPr>
          <w:sz w:val="24"/>
          <w:szCs w:val="24"/>
        </w:rPr>
        <w:t xml:space="preserve"> et al., 2025)</w:t>
      </w:r>
      <w:r w:rsidR="002C29B0" w:rsidRPr="002C29B0">
        <w:rPr>
          <w:b/>
          <w:i/>
        </w:rPr>
        <w:t xml:space="preserve"> </w:t>
      </w:r>
      <w:r w:rsidR="002C29B0" w:rsidRPr="009235CC">
        <w:rPr>
          <w:b/>
          <w:i/>
          <w:color w:val="FF0000"/>
        </w:rPr>
        <w:fldChar w:fldCharType="end"/>
      </w:r>
    </w:p>
    <w:p w:rsidR="00F02693" w:rsidRPr="00440578" w:rsidRDefault="00106BFD" w:rsidP="00F02693">
      <w:pPr>
        <w:widowControl/>
        <w:tabs>
          <w:tab w:val="left" w:pos="426"/>
        </w:tabs>
        <w:autoSpaceDE/>
        <w:autoSpaceDN/>
        <w:spacing w:line="360" w:lineRule="auto"/>
        <w:ind w:right="29"/>
        <w:contextualSpacing/>
        <w:jc w:val="both"/>
        <w:rPr>
          <w:sz w:val="24"/>
          <w:szCs w:val="24"/>
        </w:rPr>
      </w:pPr>
      <w:r w:rsidRPr="00440578">
        <w:rPr>
          <w:sz w:val="24"/>
          <w:szCs w:val="24"/>
        </w:rPr>
        <w:tab/>
      </w:r>
      <w:r w:rsidR="00C905A6" w:rsidRPr="00440578">
        <w:rPr>
          <w:sz w:val="24"/>
          <w:szCs w:val="24"/>
        </w:rPr>
        <w:t xml:space="preserve">  </w:t>
      </w:r>
      <w:r w:rsidR="00C905A6" w:rsidRPr="00440578">
        <w:rPr>
          <w:sz w:val="24"/>
          <w:szCs w:val="24"/>
        </w:rPr>
        <w:tab/>
      </w:r>
      <w:r w:rsidRPr="00440578">
        <w:rPr>
          <w:sz w:val="24"/>
          <w:szCs w:val="24"/>
        </w:rPr>
        <w:t xml:space="preserve">However, despite strong growth, digital banking also faces challenges related to </w:t>
      </w:r>
      <w:proofErr w:type="spellStart"/>
      <w:r w:rsidRPr="00440578">
        <w:rPr>
          <w:sz w:val="24"/>
          <w:szCs w:val="24"/>
        </w:rPr>
        <w:t>cybersecurity</w:t>
      </w:r>
      <w:proofErr w:type="spellEnd"/>
      <w:r w:rsidRPr="00440578">
        <w:rPr>
          <w:sz w:val="24"/>
          <w:szCs w:val="24"/>
        </w:rPr>
        <w:t xml:space="preserve">, profitability sustainability, governance, and long-term competitiveness against large conventional banks. Current research highlights that the success of digital banks depends not only on technological innovation but also on customer trust, security assurance, and strategic ecosystem integration. While digital banks generally operate with smaller asset bases than conventional banks, they demonstrate higher agility, lower administrative costs, and stronger innovation potential. Consequently, digital banking is increasingly viewed as a complementary force to conventional banking rather than a direct replacement, with substantial implications for future financial inclusion, regulatory development, and competitive strategy in Indonesia’s banking sector </w:t>
      </w:r>
      <w:r w:rsidR="002C29B0" w:rsidRPr="003A0000">
        <w:rPr>
          <w:b/>
          <w:i/>
          <w:color w:val="FF0000"/>
        </w:rPr>
        <w:t xml:space="preserve"> </w:t>
      </w:r>
      <w:r w:rsidR="002C29B0" w:rsidRPr="009235CC">
        <w:rPr>
          <w:b/>
          <w:i/>
          <w:color w:val="FF0000"/>
        </w:rPr>
        <w:fldChar w:fldCharType="begin" w:fldLock="1"/>
      </w:r>
      <w:r w:rsidR="002C29B0" w:rsidRPr="009235CC">
        <w:rPr>
          <w:b/>
          <w:i/>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2C29B0" w:rsidRPr="009235CC">
        <w:rPr>
          <w:b/>
          <w:i/>
          <w:color w:val="FF0000"/>
        </w:rPr>
        <w:fldChar w:fldCharType="separate"/>
      </w:r>
      <w:r w:rsidR="002C29B0" w:rsidRPr="00440578">
        <w:rPr>
          <w:sz w:val="24"/>
          <w:szCs w:val="24"/>
        </w:rPr>
        <w:t>(</w:t>
      </w:r>
      <w:proofErr w:type="spellStart"/>
      <w:r w:rsidR="002C29B0" w:rsidRPr="00440578">
        <w:rPr>
          <w:sz w:val="24"/>
          <w:szCs w:val="24"/>
        </w:rPr>
        <w:t>Yusup</w:t>
      </w:r>
      <w:proofErr w:type="spellEnd"/>
      <w:r w:rsidR="002C29B0" w:rsidRPr="00440578">
        <w:rPr>
          <w:sz w:val="24"/>
          <w:szCs w:val="24"/>
        </w:rPr>
        <w:t>, 2025).</w:t>
      </w:r>
      <w:r w:rsidR="002C29B0" w:rsidRPr="009235CC">
        <w:rPr>
          <w:b/>
          <w:i/>
          <w:color w:val="FF0000"/>
        </w:rPr>
        <w:fldChar w:fldCharType="end"/>
      </w:r>
      <w:r w:rsidR="002C29B0" w:rsidRPr="00440578">
        <w:rPr>
          <w:sz w:val="24"/>
          <w:szCs w:val="24"/>
        </w:rPr>
        <w:t xml:space="preserve"> </w:t>
      </w:r>
    </w:p>
    <w:p w:rsidR="00F02693" w:rsidRDefault="00F02693" w:rsidP="00F02693">
      <w:pPr>
        <w:widowControl/>
        <w:tabs>
          <w:tab w:val="left" w:pos="426"/>
        </w:tabs>
        <w:autoSpaceDE/>
        <w:autoSpaceDN/>
        <w:spacing w:line="360" w:lineRule="auto"/>
        <w:ind w:right="29"/>
        <w:contextualSpacing/>
        <w:jc w:val="both"/>
      </w:pPr>
      <w:r>
        <w:tab/>
      </w:r>
      <w:r w:rsidR="00C905A6">
        <w:tab/>
      </w:r>
      <w:r w:rsidRPr="00F02693">
        <w:rPr>
          <w:sz w:val="24"/>
          <w:szCs w:val="24"/>
        </w:rPr>
        <w:t xml:space="preserve">The measurement of digital banking performance has become a critical aspect in evaluating the success of modern banking transformation, particularly in the increasingly competitive technology-based financial industry. Digital banking performance is not solely assessed through traditional financial indicators such as Return on Assets (ROA), Return on Equity (ROE), Net Interest Margin (NIM), and asset growth, but also through non-financial indicators including active user numbers, application adoption rates, operational efficiency, customer satisfaction, </w:t>
      </w:r>
      <w:proofErr w:type="spellStart"/>
      <w:r w:rsidRPr="00F02693">
        <w:rPr>
          <w:sz w:val="24"/>
          <w:szCs w:val="24"/>
        </w:rPr>
        <w:t>cybersecurity</w:t>
      </w:r>
      <w:proofErr w:type="spellEnd"/>
      <w:r w:rsidRPr="00F02693">
        <w:rPr>
          <w:sz w:val="24"/>
          <w:szCs w:val="24"/>
        </w:rPr>
        <w:t xml:space="preserve"> strength, and user experience quality. Recent studies indicate that the success of digital banks is strongly influenced by their ability to enhance customer engagement, expand digital ecosystems, and maintain customer trust and system security. Therefore, evaluating digital banking performance requires a multidimensional approach that integrates profitability, technological innovation, cost efficiency, </w:t>
      </w:r>
      <w:r w:rsidR="002C29B0">
        <w:rPr>
          <w:sz w:val="24"/>
          <w:szCs w:val="24"/>
        </w:rPr>
        <w:t>and digital market penetration</w:t>
      </w:r>
      <w:r w:rsidR="002C29B0" w:rsidRPr="002C29B0">
        <w:rPr>
          <w:b/>
          <w:i/>
          <w:color w:val="FF0000"/>
        </w:rPr>
        <w:t xml:space="preserve"> </w:t>
      </w:r>
      <w:r w:rsidR="002C29B0" w:rsidRPr="009235CC">
        <w:rPr>
          <w:b/>
          <w:i/>
          <w:color w:val="FF0000"/>
        </w:rPr>
        <w:fldChar w:fldCharType="begin" w:fldLock="1"/>
      </w:r>
      <w:r w:rsidR="002C29B0" w:rsidRPr="009235CC">
        <w:rPr>
          <w:b/>
          <w:i/>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2C29B0" w:rsidRPr="009235CC">
        <w:rPr>
          <w:b/>
          <w:i/>
          <w:color w:val="FF0000"/>
        </w:rPr>
        <w:fldChar w:fldCharType="separate"/>
      </w:r>
      <w:r w:rsidR="002C29B0" w:rsidRPr="00440578">
        <w:rPr>
          <w:sz w:val="24"/>
          <w:szCs w:val="24"/>
        </w:rPr>
        <w:t>(</w:t>
      </w:r>
      <w:r w:rsidR="002C29B0" w:rsidRPr="002C29B0">
        <w:rPr>
          <w:sz w:val="24"/>
          <w:szCs w:val="24"/>
        </w:rPr>
        <w:t xml:space="preserve"> </w:t>
      </w:r>
      <w:proofErr w:type="spellStart"/>
      <w:r w:rsidR="002C29B0" w:rsidRPr="00F02693">
        <w:rPr>
          <w:sz w:val="24"/>
          <w:szCs w:val="24"/>
        </w:rPr>
        <w:t>Nugroho</w:t>
      </w:r>
      <w:proofErr w:type="spellEnd"/>
      <w:r w:rsidR="002C29B0" w:rsidRPr="00F02693">
        <w:rPr>
          <w:sz w:val="24"/>
          <w:szCs w:val="24"/>
        </w:rPr>
        <w:t xml:space="preserve"> et al., 2025).</w:t>
      </w:r>
      <w:r w:rsidR="002C29B0" w:rsidRPr="009235CC">
        <w:rPr>
          <w:b/>
          <w:i/>
          <w:color w:val="FF0000"/>
        </w:rPr>
        <w:fldChar w:fldCharType="end"/>
      </w:r>
    </w:p>
    <w:p w:rsidR="00D26AC3" w:rsidRDefault="00F02693" w:rsidP="00D26AC3">
      <w:pPr>
        <w:widowControl/>
        <w:tabs>
          <w:tab w:val="left" w:pos="426"/>
        </w:tabs>
        <w:autoSpaceDE/>
        <w:autoSpaceDN/>
        <w:spacing w:line="360" w:lineRule="auto"/>
        <w:ind w:right="29"/>
        <w:contextualSpacing/>
        <w:jc w:val="both"/>
      </w:pPr>
      <w:r>
        <w:tab/>
      </w:r>
      <w:r w:rsidR="00C905A6">
        <w:tab/>
      </w:r>
      <w:r w:rsidRPr="00F02693">
        <w:rPr>
          <w:sz w:val="24"/>
          <w:szCs w:val="24"/>
        </w:rPr>
        <w:t xml:space="preserve">Furthermore, digital banking performance measurement should also incorporate strategic indicators such as cost-to-income ratio, customer acquisition cost, transaction growth, service scalability, and successful integration with external platforms such as e-commerce and </w:t>
      </w:r>
      <w:proofErr w:type="spellStart"/>
      <w:r w:rsidRPr="00F02693">
        <w:rPr>
          <w:sz w:val="24"/>
          <w:szCs w:val="24"/>
        </w:rPr>
        <w:t>fintech</w:t>
      </w:r>
      <w:proofErr w:type="spellEnd"/>
      <w:r w:rsidRPr="00F02693">
        <w:rPr>
          <w:sz w:val="24"/>
          <w:szCs w:val="24"/>
        </w:rPr>
        <w:t xml:space="preserve"> ecosystems. Research shows that digital banks with strong innovation capabilities often achieve </w:t>
      </w:r>
      <w:r w:rsidRPr="00F02693">
        <w:rPr>
          <w:sz w:val="24"/>
          <w:szCs w:val="24"/>
        </w:rPr>
        <w:lastRenderedPageBreak/>
        <w:t>faster customer growth, although rapid expansion does not always translate into immediate long-term profitability. Consequently, digital banking performance must be analyzed by balancing aggressive growth strategies with sustainable business performance. In Indonesia, this measurement framework is increasingly relevant as digital banks play a major role in expanding national financial inclusion while simultaneously competing with conventional banks undergoing significant di</w:t>
      </w:r>
      <w:r w:rsidR="002C29B0">
        <w:rPr>
          <w:sz w:val="24"/>
          <w:szCs w:val="24"/>
        </w:rPr>
        <w:t>gital transformation</w:t>
      </w:r>
      <w:r w:rsidR="002C29B0" w:rsidRPr="002C29B0">
        <w:rPr>
          <w:b/>
          <w:i/>
          <w:color w:val="FF0000"/>
        </w:rPr>
        <w:t xml:space="preserve"> </w:t>
      </w:r>
      <w:r w:rsidR="002C29B0" w:rsidRPr="009235CC">
        <w:rPr>
          <w:b/>
          <w:i/>
          <w:color w:val="FF0000"/>
        </w:rPr>
        <w:fldChar w:fldCharType="begin" w:fldLock="1"/>
      </w:r>
      <w:r w:rsidR="002C29B0" w:rsidRPr="009235CC">
        <w:rPr>
          <w:b/>
          <w:i/>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2C29B0" w:rsidRPr="009235CC">
        <w:rPr>
          <w:b/>
          <w:i/>
          <w:color w:val="FF0000"/>
        </w:rPr>
        <w:fldChar w:fldCharType="separate"/>
      </w:r>
      <w:r w:rsidR="002C29B0" w:rsidRPr="00440578">
        <w:rPr>
          <w:sz w:val="24"/>
          <w:szCs w:val="24"/>
        </w:rPr>
        <w:t>(</w:t>
      </w:r>
      <w:r w:rsidR="002C29B0" w:rsidRPr="002C29B0">
        <w:rPr>
          <w:sz w:val="24"/>
          <w:szCs w:val="24"/>
        </w:rPr>
        <w:t xml:space="preserve"> </w:t>
      </w:r>
      <w:proofErr w:type="spellStart"/>
      <w:r w:rsidR="002C29B0" w:rsidRPr="00F02693">
        <w:rPr>
          <w:sz w:val="24"/>
          <w:szCs w:val="24"/>
        </w:rPr>
        <w:t>Ula</w:t>
      </w:r>
      <w:proofErr w:type="spellEnd"/>
      <w:r w:rsidR="002C29B0" w:rsidRPr="00F02693">
        <w:rPr>
          <w:sz w:val="24"/>
          <w:szCs w:val="24"/>
        </w:rPr>
        <w:t>, 2025).</w:t>
      </w:r>
      <w:r w:rsidR="002C29B0" w:rsidRPr="009235CC">
        <w:rPr>
          <w:b/>
          <w:i/>
          <w:color w:val="FF0000"/>
        </w:rPr>
        <w:fldChar w:fldCharType="end"/>
      </w:r>
    </w:p>
    <w:p w:rsidR="00D26AC3" w:rsidRDefault="00D26AC3" w:rsidP="00D26AC3">
      <w:pPr>
        <w:widowControl/>
        <w:tabs>
          <w:tab w:val="left" w:pos="426"/>
        </w:tabs>
        <w:autoSpaceDE/>
        <w:autoSpaceDN/>
        <w:spacing w:line="360" w:lineRule="auto"/>
        <w:ind w:right="29"/>
        <w:contextualSpacing/>
        <w:jc w:val="both"/>
      </w:pPr>
      <w:r>
        <w:tab/>
      </w:r>
      <w:r w:rsidR="00C905A6">
        <w:tab/>
      </w:r>
      <w:r w:rsidRPr="00D26AC3">
        <w:rPr>
          <w:sz w:val="24"/>
          <w:szCs w:val="24"/>
        </w:rPr>
        <w:t xml:space="preserve">From the Indonesian government’s perspective, digital bank performance measurement is conducted through a comprehensive regulatory and supervisory framework established by </w:t>
      </w:r>
      <w:proofErr w:type="spellStart"/>
      <w:r w:rsidRPr="00D26AC3">
        <w:rPr>
          <w:sz w:val="24"/>
          <w:szCs w:val="24"/>
        </w:rPr>
        <w:t>Otoritas</w:t>
      </w:r>
      <w:proofErr w:type="spellEnd"/>
      <w:r w:rsidRPr="00D26AC3">
        <w:rPr>
          <w:sz w:val="24"/>
          <w:szCs w:val="24"/>
        </w:rPr>
        <w:t xml:space="preserve"> </w:t>
      </w:r>
      <w:proofErr w:type="spellStart"/>
      <w:r w:rsidRPr="00D26AC3">
        <w:rPr>
          <w:sz w:val="24"/>
          <w:szCs w:val="24"/>
        </w:rPr>
        <w:t>Jasa</w:t>
      </w:r>
      <w:proofErr w:type="spellEnd"/>
      <w:r w:rsidRPr="00D26AC3">
        <w:rPr>
          <w:sz w:val="24"/>
          <w:szCs w:val="24"/>
        </w:rPr>
        <w:t xml:space="preserve"> </w:t>
      </w:r>
      <w:proofErr w:type="spellStart"/>
      <w:r w:rsidRPr="00D26AC3">
        <w:rPr>
          <w:sz w:val="24"/>
          <w:szCs w:val="24"/>
        </w:rPr>
        <w:t>Keuangan</w:t>
      </w:r>
      <w:proofErr w:type="spellEnd"/>
      <w:r w:rsidRPr="00D26AC3">
        <w:rPr>
          <w:sz w:val="24"/>
          <w:szCs w:val="24"/>
        </w:rPr>
        <w:t xml:space="preserve"> (OJK), Bank Indonesia, and </w:t>
      </w:r>
      <w:proofErr w:type="spellStart"/>
      <w:r w:rsidRPr="00D26AC3">
        <w:rPr>
          <w:sz w:val="24"/>
          <w:szCs w:val="24"/>
        </w:rPr>
        <w:t>Lembaga</w:t>
      </w:r>
      <w:proofErr w:type="spellEnd"/>
      <w:r w:rsidRPr="00D26AC3">
        <w:rPr>
          <w:sz w:val="24"/>
          <w:szCs w:val="24"/>
        </w:rPr>
        <w:t xml:space="preserve"> </w:t>
      </w:r>
      <w:proofErr w:type="spellStart"/>
      <w:r w:rsidRPr="00D26AC3">
        <w:rPr>
          <w:sz w:val="24"/>
          <w:szCs w:val="24"/>
        </w:rPr>
        <w:t>Penjamin</w:t>
      </w:r>
      <w:proofErr w:type="spellEnd"/>
      <w:r w:rsidRPr="00D26AC3">
        <w:rPr>
          <w:sz w:val="24"/>
          <w:szCs w:val="24"/>
        </w:rPr>
        <w:t xml:space="preserve"> </w:t>
      </w:r>
      <w:proofErr w:type="spellStart"/>
      <w:r w:rsidRPr="00D26AC3">
        <w:rPr>
          <w:sz w:val="24"/>
          <w:szCs w:val="24"/>
        </w:rPr>
        <w:t>Simpanan</w:t>
      </w:r>
      <w:proofErr w:type="spellEnd"/>
      <w:r w:rsidRPr="00D26AC3">
        <w:rPr>
          <w:sz w:val="24"/>
          <w:szCs w:val="24"/>
        </w:rPr>
        <w:t xml:space="preserve"> (LPS). Government institutions assess digital bank performance using core financial indicators such as Return on Assets (ROA), Return on Equity (ROE), Capital Adequacy Ratio (CAR), Non-Performing Loans (NPL), asset growth, third-party funds (DPK), liquidity ratios, and operational efficiency through BOPO (Operating Expenses to Operating Income Ratio). In addition to these conventional banking indicators, digital banks are also evaluated based on broader national priorities, including financial inclusion expansion, digital transaction growth, </w:t>
      </w:r>
      <w:proofErr w:type="spellStart"/>
      <w:r w:rsidRPr="00D26AC3">
        <w:rPr>
          <w:sz w:val="24"/>
          <w:szCs w:val="24"/>
        </w:rPr>
        <w:t>cybersecurity</w:t>
      </w:r>
      <w:proofErr w:type="spellEnd"/>
      <w:r w:rsidRPr="00D26AC3">
        <w:rPr>
          <w:sz w:val="24"/>
          <w:szCs w:val="24"/>
        </w:rPr>
        <w:t xml:space="preserve"> resilience, consumer protection, governance quality, and contribution to national digital economic transformation. This multidimensional framework ensures that digital banks are not only focused on rapid expansion but also maintain long-term financial soundness, systemic stability</w:t>
      </w:r>
      <w:r w:rsidR="002C29B0">
        <w:rPr>
          <w:sz w:val="24"/>
          <w:szCs w:val="24"/>
        </w:rPr>
        <w:t>, and regulatory compliance</w:t>
      </w:r>
      <w:r w:rsidR="002C29B0" w:rsidRPr="002C29B0">
        <w:rPr>
          <w:sz w:val="24"/>
          <w:szCs w:val="24"/>
        </w:rPr>
        <w:t xml:space="preserve"> </w:t>
      </w:r>
      <w:r w:rsidR="002C29B0" w:rsidRPr="002C29B0">
        <w:rPr>
          <w:b/>
          <w:i/>
          <w:color w:val="FF0000"/>
        </w:rPr>
        <w:t xml:space="preserve"> </w:t>
      </w:r>
      <w:r w:rsidR="002C29B0" w:rsidRPr="009235CC">
        <w:rPr>
          <w:b/>
          <w:i/>
          <w:color w:val="FF0000"/>
        </w:rPr>
        <w:fldChar w:fldCharType="begin" w:fldLock="1"/>
      </w:r>
      <w:r w:rsidR="002C29B0" w:rsidRPr="009235CC">
        <w:rPr>
          <w:b/>
          <w:i/>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2C29B0" w:rsidRPr="009235CC">
        <w:rPr>
          <w:b/>
          <w:i/>
          <w:color w:val="FF0000"/>
        </w:rPr>
        <w:fldChar w:fldCharType="separate"/>
      </w:r>
      <w:r w:rsidR="002C29B0" w:rsidRPr="00440578">
        <w:rPr>
          <w:sz w:val="24"/>
          <w:szCs w:val="24"/>
        </w:rPr>
        <w:t>(</w:t>
      </w:r>
      <w:r w:rsidR="002C29B0" w:rsidRPr="002C29B0">
        <w:rPr>
          <w:sz w:val="24"/>
          <w:szCs w:val="24"/>
        </w:rPr>
        <w:t xml:space="preserve"> </w:t>
      </w:r>
      <w:proofErr w:type="spellStart"/>
      <w:r w:rsidR="002C29B0" w:rsidRPr="00D26AC3">
        <w:rPr>
          <w:sz w:val="24"/>
          <w:szCs w:val="24"/>
        </w:rPr>
        <w:t>Otoritas</w:t>
      </w:r>
      <w:proofErr w:type="spellEnd"/>
      <w:r w:rsidR="002C29B0" w:rsidRPr="00D26AC3">
        <w:rPr>
          <w:sz w:val="24"/>
          <w:szCs w:val="24"/>
        </w:rPr>
        <w:t xml:space="preserve"> </w:t>
      </w:r>
      <w:proofErr w:type="spellStart"/>
      <w:r w:rsidR="002C29B0" w:rsidRPr="00D26AC3">
        <w:rPr>
          <w:sz w:val="24"/>
          <w:szCs w:val="24"/>
        </w:rPr>
        <w:t>Jasa</w:t>
      </w:r>
      <w:proofErr w:type="spellEnd"/>
      <w:r w:rsidR="002C29B0" w:rsidRPr="00D26AC3">
        <w:rPr>
          <w:sz w:val="24"/>
          <w:szCs w:val="24"/>
        </w:rPr>
        <w:t xml:space="preserve"> </w:t>
      </w:r>
      <w:proofErr w:type="spellStart"/>
      <w:r w:rsidR="002C29B0" w:rsidRPr="00D26AC3">
        <w:rPr>
          <w:sz w:val="24"/>
          <w:szCs w:val="24"/>
        </w:rPr>
        <w:t>Keuangan</w:t>
      </w:r>
      <w:proofErr w:type="spellEnd"/>
      <w:r w:rsidR="002C29B0" w:rsidRPr="00D26AC3">
        <w:rPr>
          <w:sz w:val="24"/>
          <w:szCs w:val="24"/>
        </w:rPr>
        <w:t xml:space="preserve"> [OJK</w:t>
      </w:r>
      <w:r w:rsidR="002C29B0">
        <w:rPr>
          <w:sz w:val="24"/>
          <w:szCs w:val="24"/>
        </w:rPr>
        <w:t>], 2025)</w:t>
      </w:r>
      <w:r w:rsidR="002C29B0" w:rsidRPr="00F02693">
        <w:rPr>
          <w:sz w:val="24"/>
          <w:szCs w:val="24"/>
        </w:rPr>
        <w:t>.</w:t>
      </w:r>
      <w:r w:rsidR="002C29B0" w:rsidRPr="009235CC">
        <w:rPr>
          <w:b/>
          <w:i/>
          <w:color w:val="FF0000"/>
        </w:rPr>
        <w:fldChar w:fldCharType="end"/>
      </w:r>
    </w:p>
    <w:p w:rsidR="00F253A8" w:rsidRDefault="00D26AC3" w:rsidP="00F253A8">
      <w:pPr>
        <w:widowControl/>
        <w:tabs>
          <w:tab w:val="left" w:pos="426"/>
        </w:tabs>
        <w:autoSpaceDE/>
        <w:autoSpaceDN/>
        <w:spacing w:line="360" w:lineRule="auto"/>
        <w:ind w:right="29"/>
        <w:contextualSpacing/>
        <w:jc w:val="both"/>
        <w:rPr>
          <w:sz w:val="24"/>
          <w:szCs w:val="24"/>
        </w:rPr>
      </w:pPr>
      <w:r>
        <w:tab/>
      </w:r>
      <w:r w:rsidR="00C905A6">
        <w:tab/>
      </w:r>
      <w:r w:rsidRPr="00D26AC3">
        <w:rPr>
          <w:sz w:val="24"/>
          <w:szCs w:val="24"/>
        </w:rPr>
        <w:t>Through strategic initiatives such as the Bank Indonesia Blueprint Paym</w:t>
      </w:r>
      <w:r w:rsidR="007447A9">
        <w:rPr>
          <w:sz w:val="24"/>
          <w:szCs w:val="24"/>
        </w:rPr>
        <w:t xml:space="preserve">ent System Indonesia </w:t>
      </w:r>
      <w:r w:rsidR="002C29B0" w:rsidRPr="002C29B0">
        <w:rPr>
          <w:b/>
          <w:i/>
          <w:color w:val="FF0000"/>
        </w:rPr>
        <w:t xml:space="preserve"> </w:t>
      </w:r>
      <w:r w:rsidR="002C29B0" w:rsidRPr="009235CC">
        <w:rPr>
          <w:b/>
          <w:i/>
          <w:color w:val="FF0000"/>
        </w:rPr>
        <w:fldChar w:fldCharType="begin" w:fldLock="1"/>
      </w:r>
      <w:r w:rsidR="002C29B0" w:rsidRPr="009235CC">
        <w:rPr>
          <w:b/>
          <w:i/>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2C29B0" w:rsidRPr="009235CC">
        <w:rPr>
          <w:b/>
          <w:i/>
          <w:color w:val="FF0000"/>
        </w:rPr>
        <w:fldChar w:fldCharType="separate"/>
      </w:r>
      <w:r w:rsidR="007447A9">
        <w:rPr>
          <w:sz w:val="24"/>
          <w:szCs w:val="24"/>
        </w:rPr>
        <w:t>[BSPI]</w:t>
      </w:r>
      <w:r w:rsidR="002C29B0" w:rsidRPr="00D26AC3">
        <w:rPr>
          <w:sz w:val="24"/>
          <w:szCs w:val="24"/>
        </w:rPr>
        <w:t xml:space="preserve"> 2025</w:t>
      </w:r>
      <w:r w:rsidR="007447A9">
        <w:rPr>
          <w:sz w:val="24"/>
          <w:szCs w:val="24"/>
        </w:rPr>
        <w:t>)</w:t>
      </w:r>
      <w:r w:rsidR="002C29B0" w:rsidRPr="00D26AC3">
        <w:rPr>
          <w:sz w:val="24"/>
          <w:szCs w:val="24"/>
        </w:rPr>
        <w:t xml:space="preserve"> </w:t>
      </w:r>
      <w:r w:rsidR="002C29B0" w:rsidRPr="009235CC">
        <w:rPr>
          <w:b/>
          <w:i/>
          <w:color w:val="FF0000"/>
        </w:rPr>
        <w:fldChar w:fldCharType="end"/>
      </w:r>
      <w:r w:rsidRPr="00D26AC3">
        <w:rPr>
          <w:sz w:val="24"/>
          <w:szCs w:val="24"/>
        </w:rPr>
        <w:t>, the Indonesian government emphasizes that digital banking performance must align with national objectives related to payment system modernization, MSME digitalization, open banking, technological innovation, and equitable public access to financial services. Consequently, digital bank performance is also measured by scalability, interoperability with national payment infrastructure, ecosystem integration, and support for broader digital transformation policies. This indicates that government evaluation extends beyond profitability alone, incorporating digital competitiveness, innovation capacity, security standards, and economic inclusiveness as essential indicators of sustainable succes</w:t>
      </w:r>
      <w:r w:rsidR="001F5548">
        <w:rPr>
          <w:sz w:val="24"/>
          <w:szCs w:val="24"/>
        </w:rPr>
        <w:t xml:space="preserve">s in Indonesia’s banking sector </w:t>
      </w:r>
      <w:r w:rsidR="001F5548" w:rsidRPr="009235CC">
        <w:rPr>
          <w:b/>
          <w:i/>
          <w:color w:val="FF0000"/>
        </w:rPr>
        <w:fldChar w:fldCharType="begin" w:fldLock="1"/>
      </w:r>
      <w:r w:rsidR="001F5548" w:rsidRPr="009235CC">
        <w:rPr>
          <w:b/>
          <w:i/>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1F5548" w:rsidRPr="009235CC">
        <w:rPr>
          <w:b/>
          <w:i/>
          <w:color w:val="FF0000"/>
        </w:rPr>
        <w:fldChar w:fldCharType="separate"/>
      </w:r>
      <w:r w:rsidR="001F5548">
        <w:rPr>
          <w:sz w:val="24"/>
          <w:szCs w:val="24"/>
        </w:rPr>
        <w:t>(</w:t>
      </w:r>
      <w:r w:rsidR="001F5548" w:rsidRPr="00D26AC3">
        <w:rPr>
          <w:sz w:val="24"/>
          <w:szCs w:val="24"/>
        </w:rPr>
        <w:t>Bank Indonesia, 2025</w:t>
      </w:r>
      <w:r w:rsidR="001F5548">
        <w:rPr>
          <w:sz w:val="24"/>
          <w:szCs w:val="24"/>
        </w:rPr>
        <w:t>)</w:t>
      </w:r>
      <w:r w:rsidR="001F5548" w:rsidRPr="009235CC">
        <w:rPr>
          <w:b/>
          <w:i/>
          <w:color w:val="FF0000"/>
        </w:rPr>
        <w:fldChar w:fldCharType="end"/>
      </w:r>
      <w:r w:rsidRPr="00D26AC3">
        <w:rPr>
          <w:sz w:val="24"/>
          <w:szCs w:val="24"/>
        </w:rPr>
        <w:t>.</w:t>
      </w:r>
    </w:p>
    <w:p w:rsidR="00832950" w:rsidRDefault="00F253A8" w:rsidP="00832950">
      <w:pPr>
        <w:widowControl/>
        <w:tabs>
          <w:tab w:val="left" w:pos="426"/>
        </w:tabs>
        <w:autoSpaceDE/>
        <w:autoSpaceDN/>
        <w:spacing w:line="360" w:lineRule="auto"/>
        <w:ind w:right="29"/>
        <w:contextualSpacing/>
        <w:jc w:val="both"/>
        <w:rPr>
          <w:sz w:val="24"/>
          <w:szCs w:val="24"/>
        </w:rPr>
      </w:pPr>
      <w:r>
        <w:rPr>
          <w:sz w:val="24"/>
          <w:szCs w:val="24"/>
        </w:rPr>
        <w:tab/>
      </w:r>
      <w:r w:rsidR="00C905A6">
        <w:rPr>
          <w:sz w:val="24"/>
          <w:szCs w:val="24"/>
        </w:rPr>
        <w:tab/>
      </w:r>
      <w:r w:rsidRPr="00F253A8">
        <w:rPr>
          <w:sz w:val="24"/>
          <w:szCs w:val="24"/>
        </w:rPr>
        <w:t>Based on data from the Financial Services Authority of In</w:t>
      </w:r>
      <w:r w:rsidR="00832950">
        <w:rPr>
          <w:sz w:val="24"/>
          <w:szCs w:val="24"/>
        </w:rPr>
        <w:t>donesia (</w:t>
      </w:r>
      <w:r w:rsidRPr="00F253A8">
        <w:rPr>
          <w:sz w:val="24"/>
          <w:szCs w:val="24"/>
        </w:rPr>
        <w:t>OJK) in 2025, the conventional banking sector in Indonesia continues to demonstrate a highly dominant position within the national financial industry structure. The five largest conventi</w:t>
      </w:r>
      <w:r w:rsidR="00832950">
        <w:rPr>
          <w:sz w:val="24"/>
          <w:szCs w:val="24"/>
        </w:rPr>
        <w:t xml:space="preserve">onal commercial banks; </w:t>
      </w:r>
      <w:r w:rsidRPr="00F253A8">
        <w:rPr>
          <w:sz w:val="24"/>
          <w:szCs w:val="24"/>
        </w:rPr>
        <w:t xml:space="preserve">Bank </w:t>
      </w:r>
      <w:proofErr w:type="spellStart"/>
      <w:r w:rsidRPr="00F253A8">
        <w:rPr>
          <w:sz w:val="24"/>
          <w:szCs w:val="24"/>
        </w:rPr>
        <w:t>Mandiri</w:t>
      </w:r>
      <w:proofErr w:type="spellEnd"/>
      <w:r w:rsidRPr="00F253A8">
        <w:rPr>
          <w:sz w:val="24"/>
          <w:szCs w:val="24"/>
        </w:rPr>
        <w:t>, Bank Rakyat Indonesia (BRI), Bank Central Asia (BCA), Bank Negara Indonesia (BNI),</w:t>
      </w:r>
      <w:r w:rsidR="00832950">
        <w:rPr>
          <w:sz w:val="24"/>
          <w:szCs w:val="24"/>
        </w:rPr>
        <w:t xml:space="preserve"> and Bank Tabungan Negara (BTN) </w:t>
      </w:r>
      <w:r w:rsidRPr="00F253A8">
        <w:rPr>
          <w:sz w:val="24"/>
          <w:szCs w:val="24"/>
        </w:rPr>
        <w:t xml:space="preserve">collectively control total assets exceeding Rp8,400 trillion. Bank </w:t>
      </w:r>
      <w:proofErr w:type="spellStart"/>
      <w:r w:rsidRPr="00F253A8">
        <w:rPr>
          <w:sz w:val="24"/>
          <w:szCs w:val="24"/>
        </w:rPr>
        <w:t>Mandiri</w:t>
      </w:r>
      <w:proofErr w:type="spellEnd"/>
      <w:r w:rsidRPr="00F253A8">
        <w:rPr>
          <w:sz w:val="24"/>
          <w:szCs w:val="24"/>
        </w:rPr>
        <w:t xml:space="preserve"> ranks first with total assets of Rp2,829.94 trillion, followed by BRI at Rp2,135.37 trillion, BCA at Rp1,586.82 trillion, BNI at Rp1,362.05 trillion, and BTN at Rp527.79 trillion</w:t>
      </w:r>
      <w:r w:rsidR="00832950">
        <w:rPr>
          <w:sz w:val="24"/>
          <w:szCs w:val="24"/>
        </w:rPr>
        <w:t xml:space="preserve"> (Table 1)</w:t>
      </w:r>
      <w:r w:rsidRPr="00F253A8">
        <w:rPr>
          <w:sz w:val="24"/>
          <w:szCs w:val="24"/>
        </w:rPr>
        <w:t xml:space="preserve">. This </w:t>
      </w:r>
      <w:r w:rsidRPr="00F253A8">
        <w:rPr>
          <w:sz w:val="24"/>
          <w:szCs w:val="24"/>
        </w:rPr>
        <w:lastRenderedPageBreak/>
        <w:t>massive asset scale reflects the extraordinary capacity of conventional banks in mobilizing public funds, distributing credit, supporting corporate financing, MSMEs, infrastructure development, and maintaining national financial system stability.</w:t>
      </w:r>
    </w:p>
    <w:p w:rsidR="00832950" w:rsidRPr="00440578" w:rsidRDefault="00832950" w:rsidP="00832950">
      <w:pPr>
        <w:widowControl/>
        <w:autoSpaceDE/>
        <w:autoSpaceDN/>
        <w:spacing w:before="100" w:beforeAutospacing="1" w:after="100" w:afterAutospacing="1"/>
        <w:jc w:val="center"/>
        <w:rPr>
          <w:bCs/>
          <w:sz w:val="24"/>
          <w:szCs w:val="24"/>
        </w:rPr>
      </w:pPr>
      <w:proofErr w:type="gramStart"/>
      <w:r w:rsidRPr="00440578">
        <w:rPr>
          <w:bCs/>
          <w:sz w:val="24"/>
          <w:szCs w:val="24"/>
        </w:rPr>
        <w:t>Table 1.</w:t>
      </w:r>
      <w:proofErr w:type="gramEnd"/>
      <w:r w:rsidRPr="00440578">
        <w:rPr>
          <w:sz w:val="24"/>
          <w:szCs w:val="24"/>
        </w:rPr>
        <w:br/>
      </w:r>
      <w:r w:rsidRPr="00440578">
        <w:rPr>
          <w:bCs/>
          <w:sz w:val="24"/>
          <w:szCs w:val="24"/>
        </w:rPr>
        <w:t xml:space="preserve">Top 5 Conventional Public Banks in </w:t>
      </w:r>
      <w:proofErr w:type="gramStart"/>
      <w:r w:rsidRPr="00440578">
        <w:rPr>
          <w:bCs/>
          <w:sz w:val="24"/>
          <w:szCs w:val="24"/>
        </w:rPr>
        <w:t>Indonesia  2025</w:t>
      </w:r>
      <w:proofErr w:type="gramEnd"/>
    </w:p>
    <w:tbl>
      <w:tblPr>
        <w:tblStyle w:val="TableGrid"/>
        <w:tblW w:w="9781" w:type="dxa"/>
        <w:tblInd w:w="108" w:type="dxa"/>
        <w:tblLook w:val="04A0" w:firstRow="1" w:lastRow="0" w:firstColumn="1" w:lastColumn="0" w:noHBand="0" w:noVBand="1"/>
      </w:tblPr>
      <w:tblGrid>
        <w:gridCol w:w="823"/>
        <w:gridCol w:w="4735"/>
        <w:gridCol w:w="4223"/>
      </w:tblGrid>
      <w:tr w:rsidR="00832950" w:rsidRPr="00A14B78" w:rsidTr="00832950">
        <w:trPr>
          <w:trHeight w:val="291"/>
        </w:trPr>
        <w:tc>
          <w:tcPr>
            <w:tcW w:w="823" w:type="dxa"/>
            <w:hideMark/>
          </w:tcPr>
          <w:p w:rsidR="00832950" w:rsidRPr="00A14B78" w:rsidRDefault="00832950" w:rsidP="004A013E">
            <w:pPr>
              <w:widowControl/>
              <w:autoSpaceDE/>
              <w:autoSpaceDN/>
              <w:jc w:val="center"/>
              <w:rPr>
                <w:bCs/>
              </w:rPr>
            </w:pPr>
            <w:r w:rsidRPr="00A14B78">
              <w:rPr>
                <w:bCs/>
              </w:rPr>
              <w:t>Rank</w:t>
            </w:r>
          </w:p>
        </w:tc>
        <w:tc>
          <w:tcPr>
            <w:tcW w:w="0" w:type="auto"/>
            <w:hideMark/>
          </w:tcPr>
          <w:p w:rsidR="00832950" w:rsidRPr="00A14B78" w:rsidRDefault="00832950" w:rsidP="004A013E">
            <w:pPr>
              <w:widowControl/>
              <w:autoSpaceDE/>
              <w:autoSpaceDN/>
              <w:jc w:val="center"/>
              <w:rPr>
                <w:bCs/>
              </w:rPr>
            </w:pPr>
            <w:r w:rsidRPr="00A14B78">
              <w:rPr>
                <w:bCs/>
              </w:rPr>
              <w:t>Conventional Bank</w:t>
            </w:r>
          </w:p>
        </w:tc>
        <w:tc>
          <w:tcPr>
            <w:tcW w:w="4223" w:type="dxa"/>
            <w:hideMark/>
          </w:tcPr>
          <w:p w:rsidR="00832950" w:rsidRPr="00A14B78" w:rsidRDefault="00832950" w:rsidP="004A013E">
            <w:pPr>
              <w:widowControl/>
              <w:autoSpaceDE/>
              <w:autoSpaceDN/>
              <w:jc w:val="center"/>
              <w:rPr>
                <w:bCs/>
              </w:rPr>
            </w:pPr>
            <w:r w:rsidRPr="00A14B78">
              <w:rPr>
                <w:bCs/>
              </w:rPr>
              <w:t>Total Assets (</w:t>
            </w:r>
            <w:proofErr w:type="spellStart"/>
            <w:r w:rsidRPr="00A14B78">
              <w:rPr>
                <w:bCs/>
              </w:rPr>
              <w:t>Rp</w:t>
            </w:r>
            <w:proofErr w:type="spellEnd"/>
            <w:r w:rsidRPr="00A14B78">
              <w:rPr>
                <w:bCs/>
              </w:rPr>
              <w:t>. Trillion)</w:t>
            </w:r>
          </w:p>
        </w:tc>
      </w:tr>
      <w:tr w:rsidR="00832950" w:rsidRPr="00A14B78" w:rsidTr="00832950">
        <w:trPr>
          <w:trHeight w:val="279"/>
        </w:trPr>
        <w:tc>
          <w:tcPr>
            <w:tcW w:w="823" w:type="dxa"/>
            <w:hideMark/>
          </w:tcPr>
          <w:p w:rsidR="00832950" w:rsidRPr="00A14B78" w:rsidRDefault="00832950" w:rsidP="004A013E">
            <w:pPr>
              <w:widowControl/>
              <w:autoSpaceDE/>
              <w:autoSpaceDN/>
              <w:jc w:val="center"/>
            </w:pPr>
            <w:r w:rsidRPr="00A14B78">
              <w:t>1</w:t>
            </w:r>
          </w:p>
        </w:tc>
        <w:tc>
          <w:tcPr>
            <w:tcW w:w="0" w:type="auto"/>
            <w:hideMark/>
          </w:tcPr>
          <w:p w:rsidR="00832950" w:rsidRPr="00A14B78" w:rsidRDefault="00832950" w:rsidP="004A013E">
            <w:pPr>
              <w:widowControl/>
              <w:autoSpaceDE/>
              <w:autoSpaceDN/>
              <w:jc w:val="center"/>
            </w:pPr>
            <w:r w:rsidRPr="00A14B78">
              <w:t xml:space="preserve">Bank </w:t>
            </w:r>
            <w:proofErr w:type="spellStart"/>
            <w:r w:rsidRPr="00A14B78">
              <w:t>Mandiri</w:t>
            </w:r>
            <w:proofErr w:type="spellEnd"/>
          </w:p>
        </w:tc>
        <w:tc>
          <w:tcPr>
            <w:tcW w:w="4223" w:type="dxa"/>
            <w:hideMark/>
          </w:tcPr>
          <w:p w:rsidR="00832950" w:rsidRPr="00A14B78" w:rsidRDefault="00832950" w:rsidP="004A013E">
            <w:pPr>
              <w:widowControl/>
              <w:autoSpaceDE/>
              <w:autoSpaceDN/>
              <w:jc w:val="center"/>
            </w:pPr>
            <w:r w:rsidRPr="00A14B78">
              <w:t>2,829.94</w:t>
            </w:r>
          </w:p>
        </w:tc>
      </w:tr>
      <w:tr w:rsidR="00832950" w:rsidRPr="00A14B78" w:rsidTr="00832950">
        <w:trPr>
          <w:trHeight w:val="291"/>
        </w:trPr>
        <w:tc>
          <w:tcPr>
            <w:tcW w:w="823" w:type="dxa"/>
            <w:hideMark/>
          </w:tcPr>
          <w:p w:rsidR="00832950" w:rsidRPr="00A14B78" w:rsidRDefault="00832950" w:rsidP="004A013E">
            <w:pPr>
              <w:widowControl/>
              <w:autoSpaceDE/>
              <w:autoSpaceDN/>
              <w:jc w:val="center"/>
            </w:pPr>
            <w:r w:rsidRPr="00A14B78">
              <w:t>2</w:t>
            </w:r>
          </w:p>
        </w:tc>
        <w:tc>
          <w:tcPr>
            <w:tcW w:w="0" w:type="auto"/>
            <w:hideMark/>
          </w:tcPr>
          <w:p w:rsidR="00832950" w:rsidRPr="00A14B78" w:rsidRDefault="00832950" w:rsidP="004A013E">
            <w:pPr>
              <w:widowControl/>
              <w:autoSpaceDE/>
              <w:autoSpaceDN/>
              <w:jc w:val="center"/>
            </w:pPr>
            <w:r w:rsidRPr="00A14B78">
              <w:t>Bank Rakyat Indonesia (BRI)</w:t>
            </w:r>
          </w:p>
        </w:tc>
        <w:tc>
          <w:tcPr>
            <w:tcW w:w="4223" w:type="dxa"/>
            <w:hideMark/>
          </w:tcPr>
          <w:p w:rsidR="00832950" w:rsidRPr="00A14B78" w:rsidRDefault="00832950" w:rsidP="004A013E">
            <w:pPr>
              <w:widowControl/>
              <w:autoSpaceDE/>
              <w:autoSpaceDN/>
              <w:jc w:val="center"/>
            </w:pPr>
            <w:r w:rsidRPr="00A14B78">
              <w:t>2,135.37</w:t>
            </w:r>
          </w:p>
        </w:tc>
      </w:tr>
      <w:tr w:rsidR="00832950" w:rsidRPr="00A14B78" w:rsidTr="00832950">
        <w:trPr>
          <w:trHeight w:val="291"/>
        </w:trPr>
        <w:tc>
          <w:tcPr>
            <w:tcW w:w="823" w:type="dxa"/>
            <w:hideMark/>
          </w:tcPr>
          <w:p w:rsidR="00832950" w:rsidRPr="00A14B78" w:rsidRDefault="00832950" w:rsidP="004A013E">
            <w:pPr>
              <w:widowControl/>
              <w:autoSpaceDE/>
              <w:autoSpaceDN/>
              <w:jc w:val="center"/>
            </w:pPr>
            <w:r w:rsidRPr="00A14B78">
              <w:t>3</w:t>
            </w:r>
          </w:p>
        </w:tc>
        <w:tc>
          <w:tcPr>
            <w:tcW w:w="0" w:type="auto"/>
            <w:hideMark/>
          </w:tcPr>
          <w:p w:rsidR="00832950" w:rsidRPr="00A14B78" w:rsidRDefault="00832950" w:rsidP="004A013E">
            <w:pPr>
              <w:widowControl/>
              <w:autoSpaceDE/>
              <w:autoSpaceDN/>
              <w:jc w:val="center"/>
            </w:pPr>
            <w:r w:rsidRPr="00A14B78">
              <w:t>Bank Central Asia (BCA)</w:t>
            </w:r>
          </w:p>
        </w:tc>
        <w:tc>
          <w:tcPr>
            <w:tcW w:w="4223" w:type="dxa"/>
            <w:hideMark/>
          </w:tcPr>
          <w:p w:rsidR="00832950" w:rsidRPr="00A14B78" w:rsidRDefault="00832950" w:rsidP="004A013E">
            <w:pPr>
              <w:widowControl/>
              <w:autoSpaceDE/>
              <w:autoSpaceDN/>
              <w:jc w:val="center"/>
            </w:pPr>
            <w:r w:rsidRPr="00A14B78">
              <w:t>1,586.82</w:t>
            </w:r>
          </w:p>
        </w:tc>
      </w:tr>
      <w:tr w:rsidR="00832950" w:rsidRPr="00A14B78" w:rsidTr="00832950">
        <w:trPr>
          <w:trHeight w:val="291"/>
        </w:trPr>
        <w:tc>
          <w:tcPr>
            <w:tcW w:w="823" w:type="dxa"/>
            <w:hideMark/>
          </w:tcPr>
          <w:p w:rsidR="00832950" w:rsidRPr="00A14B78" w:rsidRDefault="00832950" w:rsidP="004A013E">
            <w:pPr>
              <w:widowControl/>
              <w:autoSpaceDE/>
              <w:autoSpaceDN/>
              <w:jc w:val="center"/>
            </w:pPr>
            <w:r w:rsidRPr="00A14B78">
              <w:t>4</w:t>
            </w:r>
          </w:p>
        </w:tc>
        <w:tc>
          <w:tcPr>
            <w:tcW w:w="0" w:type="auto"/>
            <w:hideMark/>
          </w:tcPr>
          <w:p w:rsidR="00832950" w:rsidRPr="00A14B78" w:rsidRDefault="00832950" w:rsidP="004A013E">
            <w:pPr>
              <w:widowControl/>
              <w:autoSpaceDE/>
              <w:autoSpaceDN/>
              <w:jc w:val="center"/>
            </w:pPr>
            <w:r w:rsidRPr="00A14B78">
              <w:t>Bank Negara Indonesia (BNI)</w:t>
            </w:r>
          </w:p>
        </w:tc>
        <w:tc>
          <w:tcPr>
            <w:tcW w:w="4223" w:type="dxa"/>
            <w:hideMark/>
          </w:tcPr>
          <w:p w:rsidR="00832950" w:rsidRPr="00A14B78" w:rsidRDefault="00832950" w:rsidP="004A013E">
            <w:pPr>
              <w:widowControl/>
              <w:autoSpaceDE/>
              <w:autoSpaceDN/>
              <w:jc w:val="center"/>
            </w:pPr>
            <w:r w:rsidRPr="00A14B78">
              <w:t>1,362.05</w:t>
            </w:r>
          </w:p>
        </w:tc>
      </w:tr>
    </w:tbl>
    <w:p w:rsidR="00440578" w:rsidRDefault="00440578" w:rsidP="00440578">
      <w:pPr>
        <w:spacing w:line="360" w:lineRule="auto"/>
        <w:contextualSpacing/>
        <w:jc w:val="both"/>
      </w:pPr>
      <w:proofErr w:type="gramStart"/>
      <w:r w:rsidRPr="00B436EA">
        <w:rPr>
          <w:sz w:val="24"/>
          <w:szCs w:val="24"/>
        </w:rPr>
        <w:t>Source :</w:t>
      </w:r>
      <w:proofErr w:type="gramEnd"/>
      <w:r w:rsidRPr="00B436EA">
        <w:rPr>
          <w:sz w:val="24"/>
          <w:szCs w:val="24"/>
        </w:rPr>
        <w:t xml:space="preserve"> </w:t>
      </w:r>
      <w:r w:rsidRPr="00440578">
        <w:rPr>
          <w:sz w:val="24"/>
          <w:szCs w:val="24"/>
        </w:rPr>
        <w:t>Financial Services Authority of Indonesia (OJK)  2025</w:t>
      </w:r>
    </w:p>
    <w:p w:rsidR="00832950" w:rsidRDefault="00832950" w:rsidP="00832950">
      <w:pPr>
        <w:widowControl/>
        <w:tabs>
          <w:tab w:val="left" w:pos="426"/>
        </w:tabs>
        <w:autoSpaceDE/>
        <w:autoSpaceDN/>
        <w:spacing w:line="360" w:lineRule="auto"/>
        <w:ind w:right="29"/>
        <w:contextualSpacing/>
        <w:jc w:val="both"/>
        <w:rPr>
          <w:sz w:val="24"/>
          <w:szCs w:val="24"/>
        </w:rPr>
      </w:pPr>
      <w:r>
        <w:rPr>
          <w:sz w:val="24"/>
          <w:szCs w:val="24"/>
        </w:rPr>
        <w:tab/>
      </w:r>
      <w:r w:rsidR="00C905A6">
        <w:rPr>
          <w:sz w:val="24"/>
          <w:szCs w:val="24"/>
        </w:rPr>
        <w:tab/>
      </w:r>
      <w:r w:rsidR="00F253A8" w:rsidRPr="00F253A8">
        <w:rPr>
          <w:sz w:val="24"/>
          <w:szCs w:val="24"/>
        </w:rPr>
        <w:t>The primary strength of conventional banks lies not only in their asset size but also in their extensive branch networks, high public trust, diversified financial products, and large-scale financing capabilities. These banks play a central role in national economic development through strategic project financing, productive lending, and the provision of financial services across various segments of society. Despite facing disruption from the rapid rise of digital banking, conventional banks remain the backbone of Indonesia’s banking industry due to their superior capital strength, stability, profitability, and expansion capacity compared to emerging banking models. This indicates that digital transformation in Indonesia’s banking sector is currently more evolutionary than revolutionary, where conventional banks continue to lead while progressively adapting to technological change.</w:t>
      </w:r>
    </w:p>
    <w:p w:rsidR="00832950" w:rsidRDefault="00832950" w:rsidP="00832950">
      <w:pPr>
        <w:widowControl/>
        <w:tabs>
          <w:tab w:val="left" w:pos="426"/>
        </w:tabs>
        <w:autoSpaceDE/>
        <w:autoSpaceDN/>
        <w:spacing w:line="360" w:lineRule="auto"/>
        <w:ind w:right="29"/>
        <w:contextualSpacing/>
        <w:jc w:val="both"/>
        <w:rPr>
          <w:sz w:val="24"/>
          <w:szCs w:val="24"/>
        </w:rPr>
      </w:pPr>
      <w:r>
        <w:rPr>
          <w:sz w:val="24"/>
          <w:szCs w:val="24"/>
        </w:rPr>
        <w:tab/>
      </w:r>
      <w:r w:rsidR="00C905A6">
        <w:rPr>
          <w:sz w:val="24"/>
          <w:szCs w:val="24"/>
        </w:rPr>
        <w:tab/>
      </w:r>
      <w:r w:rsidRPr="00832950">
        <w:rPr>
          <w:sz w:val="24"/>
          <w:szCs w:val="24"/>
        </w:rPr>
        <w:t>Based on the 2025 financial data</w:t>
      </w:r>
      <w:r>
        <w:rPr>
          <w:sz w:val="24"/>
          <w:szCs w:val="24"/>
        </w:rPr>
        <w:t xml:space="preserve"> (Table 2</w:t>
      </w:r>
      <w:proofErr w:type="gramStart"/>
      <w:r>
        <w:rPr>
          <w:sz w:val="24"/>
          <w:szCs w:val="24"/>
        </w:rPr>
        <w:t xml:space="preserve">) </w:t>
      </w:r>
      <w:r w:rsidRPr="00832950">
        <w:rPr>
          <w:sz w:val="24"/>
          <w:szCs w:val="24"/>
        </w:rPr>
        <w:t>,</w:t>
      </w:r>
      <w:proofErr w:type="gramEnd"/>
      <w:r w:rsidRPr="00832950">
        <w:rPr>
          <w:sz w:val="24"/>
          <w:szCs w:val="24"/>
        </w:rPr>
        <w:t xml:space="preserve"> Indonesia’s digital banking sector demonstrates substantial growth potential despite remaining significantly smaller than the conventional banking industry in terms of total assets. The top five digital bank</w:t>
      </w:r>
      <w:r>
        <w:rPr>
          <w:sz w:val="24"/>
          <w:szCs w:val="24"/>
        </w:rPr>
        <w:t xml:space="preserve">s; </w:t>
      </w:r>
      <w:proofErr w:type="spellStart"/>
      <w:r w:rsidRPr="00832950">
        <w:rPr>
          <w:sz w:val="24"/>
          <w:szCs w:val="24"/>
        </w:rPr>
        <w:t>SeaBank</w:t>
      </w:r>
      <w:proofErr w:type="spellEnd"/>
      <w:r w:rsidRPr="00832950">
        <w:rPr>
          <w:sz w:val="24"/>
          <w:szCs w:val="24"/>
        </w:rPr>
        <w:t xml:space="preserve"> Indonesia, Bank </w:t>
      </w:r>
      <w:proofErr w:type="spellStart"/>
      <w:r w:rsidRPr="00832950">
        <w:rPr>
          <w:sz w:val="24"/>
          <w:szCs w:val="24"/>
        </w:rPr>
        <w:t>Jago</w:t>
      </w:r>
      <w:proofErr w:type="spellEnd"/>
      <w:r w:rsidRPr="00832950">
        <w:rPr>
          <w:sz w:val="24"/>
          <w:szCs w:val="24"/>
        </w:rPr>
        <w:t xml:space="preserve">, </w:t>
      </w:r>
      <w:proofErr w:type="spellStart"/>
      <w:r w:rsidRPr="00832950">
        <w:rPr>
          <w:sz w:val="24"/>
          <w:szCs w:val="24"/>
        </w:rPr>
        <w:t>Allo</w:t>
      </w:r>
      <w:proofErr w:type="spellEnd"/>
      <w:r w:rsidRPr="00832950">
        <w:rPr>
          <w:sz w:val="24"/>
          <w:szCs w:val="24"/>
        </w:rPr>
        <w:t xml:space="preserve"> Bank Indonesia, Bank Neo </w:t>
      </w:r>
      <w:r>
        <w:rPr>
          <w:sz w:val="24"/>
          <w:szCs w:val="24"/>
        </w:rPr>
        <w:t>Commerce, and BCA Digital (</w:t>
      </w:r>
      <w:proofErr w:type="spellStart"/>
      <w:r>
        <w:rPr>
          <w:sz w:val="24"/>
          <w:szCs w:val="24"/>
        </w:rPr>
        <w:t>blu</w:t>
      </w:r>
      <w:proofErr w:type="spellEnd"/>
      <w:r>
        <w:rPr>
          <w:sz w:val="24"/>
          <w:szCs w:val="24"/>
        </w:rPr>
        <w:t xml:space="preserve">), </w:t>
      </w:r>
      <w:r w:rsidRPr="00832950">
        <w:rPr>
          <w:sz w:val="24"/>
          <w:szCs w:val="24"/>
        </w:rPr>
        <w:t xml:space="preserve">collectively control approximately Rp151 trillion in total assets, with </w:t>
      </w:r>
      <w:proofErr w:type="spellStart"/>
      <w:r w:rsidRPr="00832950">
        <w:rPr>
          <w:sz w:val="24"/>
          <w:szCs w:val="24"/>
        </w:rPr>
        <w:t>SeaBank</w:t>
      </w:r>
      <w:proofErr w:type="spellEnd"/>
      <w:r w:rsidRPr="00832950">
        <w:rPr>
          <w:sz w:val="24"/>
          <w:szCs w:val="24"/>
        </w:rPr>
        <w:t xml:space="preserve"> leading at Rp39.21 trillion, followed closely by Bank </w:t>
      </w:r>
      <w:proofErr w:type="spellStart"/>
      <w:r w:rsidRPr="00832950">
        <w:rPr>
          <w:sz w:val="24"/>
          <w:szCs w:val="24"/>
        </w:rPr>
        <w:t>Jago</w:t>
      </w:r>
      <w:proofErr w:type="spellEnd"/>
      <w:r w:rsidRPr="00832950">
        <w:rPr>
          <w:sz w:val="24"/>
          <w:szCs w:val="24"/>
        </w:rPr>
        <w:t xml:space="preserve"> at Rp38.47 trillion, </w:t>
      </w:r>
      <w:proofErr w:type="spellStart"/>
      <w:r w:rsidRPr="00832950">
        <w:rPr>
          <w:sz w:val="24"/>
          <w:szCs w:val="24"/>
        </w:rPr>
        <w:t>Allo</w:t>
      </w:r>
      <w:proofErr w:type="spellEnd"/>
      <w:r w:rsidRPr="00832950">
        <w:rPr>
          <w:sz w:val="24"/>
          <w:szCs w:val="24"/>
        </w:rPr>
        <w:t xml:space="preserve"> Bank at Rp31.02 trillion, Bank Neo Commerce at Rp24.85 trillion, and BCA Digital at Rp17.63 trillion. While this asset scale is still relatively </w:t>
      </w:r>
      <w:r>
        <w:rPr>
          <w:sz w:val="24"/>
          <w:szCs w:val="24"/>
        </w:rPr>
        <w:t>modest compared to the Rp8</w:t>
      </w:r>
      <w:proofErr w:type="gramStart"/>
      <w:r>
        <w:rPr>
          <w:sz w:val="24"/>
          <w:szCs w:val="24"/>
        </w:rPr>
        <w:t>,400</w:t>
      </w:r>
      <w:proofErr w:type="gramEnd"/>
      <w:r>
        <w:rPr>
          <w:sz w:val="24"/>
          <w:szCs w:val="24"/>
        </w:rPr>
        <w:t xml:space="preserve"> </w:t>
      </w:r>
      <w:r w:rsidRPr="00832950">
        <w:rPr>
          <w:sz w:val="24"/>
          <w:szCs w:val="24"/>
        </w:rPr>
        <w:t>trillion controlled by the five largest conventional banks, the rapid emergence of digital banks reflects a transformative shift in Indonesia’s banking landscape, driven by technological innovation, customer-centric services, and integration with broader digital ecosystems.</w:t>
      </w:r>
      <w:r w:rsidR="00AC440C" w:rsidRPr="00AC440C">
        <w:t xml:space="preserve"> </w:t>
      </w:r>
      <w:r w:rsidR="00AC440C">
        <w:t xml:space="preserve">This divergence highlights that digital banks are still in an early growth phase but are experiencing accelerated adoption fueled by increasing smartphone penetration, </w:t>
      </w:r>
      <w:proofErr w:type="spellStart"/>
      <w:r w:rsidR="00AC440C">
        <w:t>fintech</w:t>
      </w:r>
      <w:proofErr w:type="spellEnd"/>
      <w:r w:rsidR="00AC440C">
        <w:t xml:space="preserve"> collaboration, and government support for digital financial inclusion. Moreover, their asset expansion is expected to continue rising as digital transaction ecosystems mature and customer trust in fully digital banking services strengthens over time</w:t>
      </w:r>
    </w:p>
    <w:p w:rsidR="00832950" w:rsidRPr="00A14B78" w:rsidRDefault="00832950" w:rsidP="00832950">
      <w:pPr>
        <w:widowControl/>
        <w:autoSpaceDE/>
        <w:autoSpaceDN/>
        <w:spacing w:before="100" w:beforeAutospacing="1" w:after="100" w:afterAutospacing="1"/>
        <w:jc w:val="center"/>
        <w:rPr>
          <w:sz w:val="24"/>
          <w:szCs w:val="24"/>
        </w:rPr>
      </w:pPr>
      <w:proofErr w:type="gramStart"/>
      <w:r w:rsidRPr="00A14B78">
        <w:rPr>
          <w:bCs/>
          <w:sz w:val="24"/>
          <w:szCs w:val="24"/>
        </w:rPr>
        <w:lastRenderedPageBreak/>
        <w:t>Table 2.</w:t>
      </w:r>
      <w:proofErr w:type="gramEnd"/>
      <w:r w:rsidRPr="00A14B78">
        <w:rPr>
          <w:sz w:val="24"/>
          <w:szCs w:val="24"/>
        </w:rPr>
        <w:br/>
      </w:r>
      <w:r w:rsidRPr="00A14B78">
        <w:rPr>
          <w:bCs/>
          <w:sz w:val="24"/>
          <w:szCs w:val="24"/>
        </w:rPr>
        <w:t xml:space="preserve"> Top 5 Digital Banks in I</w:t>
      </w:r>
      <w:r>
        <w:rPr>
          <w:bCs/>
          <w:sz w:val="24"/>
          <w:szCs w:val="24"/>
        </w:rPr>
        <w:t xml:space="preserve">ndonesia in 2025 </w:t>
      </w:r>
    </w:p>
    <w:tbl>
      <w:tblPr>
        <w:tblStyle w:val="TableGrid"/>
        <w:tblW w:w="9639" w:type="dxa"/>
        <w:tblInd w:w="250" w:type="dxa"/>
        <w:tblLook w:val="04A0" w:firstRow="1" w:lastRow="0" w:firstColumn="1" w:lastColumn="0" w:noHBand="0" w:noVBand="1"/>
      </w:tblPr>
      <w:tblGrid>
        <w:gridCol w:w="1003"/>
        <w:gridCol w:w="3905"/>
        <w:gridCol w:w="4731"/>
      </w:tblGrid>
      <w:tr w:rsidR="00832950" w:rsidRPr="00A14B78" w:rsidTr="00832950">
        <w:trPr>
          <w:trHeight w:val="259"/>
        </w:trPr>
        <w:tc>
          <w:tcPr>
            <w:tcW w:w="1003" w:type="dxa"/>
            <w:hideMark/>
          </w:tcPr>
          <w:p w:rsidR="00832950" w:rsidRPr="00A14B78" w:rsidRDefault="00832950" w:rsidP="004A013E">
            <w:pPr>
              <w:widowControl/>
              <w:autoSpaceDE/>
              <w:autoSpaceDN/>
              <w:jc w:val="center"/>
              <w:rPr>
                <w:bCs/>
              </w:rPr>
            </w:pPr>
            <w:r w:rsidRPr="00A14B78">
              <w:rPr>
                <w:bCs/>
              </w:rPr>
              <w:t>Rank</w:t>
            </w:r>
          </w:p>
        </w:tc>
        <w:tc>
          <w:tcPr>
            <w:tcW w:w="0" w:type="auto"/>
            <w:hideMark/>
          </w:tcPr>
          <w:p w:rsidR="00832950" w:rsidRPr="00A14B78" w:rsidRDefault="00832950" w:rsidP="004A013E">
            <w:pPr>
              <w:widowControl/>
              <w:autoSpaceDE/>
              <w:autoSpaceDN/>
              <w:jc w:val="center"/>
              <w:rPr>
                <w:bCs/>
              </w:rPr>
            </w:pPr>
            <w:r w:rsidRPr="00A14B78">
              <w:rPr>
                <w:bCs/>
              </w:rPr>
              <w:t>Digital Bank</w:t>
            </w:r>
          </w:p>
        </w:tc>
        <w:tc>
          <w:tcPr>
            <w:tcW w:w="4731" w:type="dxa"/>
            <w:hideMark/>
          </w:tcPr>
          <w:p w:rsidR="00832950" w:rsidRPr="00A14B78" w:rsidRDefault="00832950" w:rsidP="004A013E">
            <w:pPr>
              <w:widowControl/>
              <w:autoSpaceDE/>
              <w:autoSpaceDN/>
              <w:jc w:val="center"/>
              <w:rPr>
                <w:bCs/>
              </w:rPr>
            </w:pPr>
            <w:r w:rsidRPr="00A14B78">
              <w:rPr>
                <w:bCs/>
              </w:rPr>
              <w:t>Total Assets (</w:t>
            </w:r>
            <w:proofErr w:type="spellStart"/>
            <w:r w:rsidRPr="00A14B78">
              <w:rPr>
                <w:bCs/>
              </w:rPr>
              <w:t>Rp</w:t>
            </w:r>
            <w:proofErr w:type="spellEnd"/>
            <w:r w:rsidRPr="00A14B78">
              <w:rPr>
                <w:bCs/>
              </w:rPr>
              <w:t>. Trillion)</w:t>
            </w:r>
          </w:p>
        </w:tc>
      </w:tr>
      <w:tr w:rsidR="00832950" w:rsidRPr="00A14B78" w:rsidTr="00832950">
        <w:trPr>
          <w:trHeight w:val="271"/>
        </w:trPr>
        <w:tc>
          <w:tcPr>
            <w:tcW w:w="1003" w:type="dxa"/>
            <w:hideMark/>
          </w:tcPr>
          <w:p w:rsidR="00832950" w:rsidRPr="00A14B78" w:rsidRDefault="00832950" w:rsidP="004A013E">
            <w:pPr>
              <w:widowControl/>
              <w:autoSpaceDE/>
              <w:autoSpaceDN/>
              <w:jc w:val="center"/>
            </w:pPr>
            <w:r w:rsidRPr="00A14B78">
              <w:t>1</w:t>
            </w:r>
          </w:p>
        </w:tc>
        <w:tc>
          <w:tcPr>
            <w:tcW w:w="0" w:type="auto"/>
            <w:hideMark/>
          </w:tcPr>
          <w:p w:rsidR="00832950" w:rsidRPr="00A14B78" w:rsidRDefault="00832950" w:rsidP="004A013E">
            <w:pPr>
              <w:widowControl/>
              <w:autoSpaceDE/>
              <w:autoSpaceDN/>
              <w:jc w:val="center"/>
            </w:pPr>
            <w:proofErr w:type="spellStart"/>
            <w:r w:rsidRPr="00A14B78">
              <w:t>SeaBank</w:t>
            </w:r>
            <w:proofErr w:type="spellEnd"/>
            <w:r w:rsidRPr="00A14B78">
              <w:t xml:space="preserve"> Indonesia</w:t>
            </w:r>
          </w:p>
        </w:tc>
        <w:tc>
          <w:tcPr>
            <w:tcW w:w="4731" w:type="dxa"/>
            <w:hideMark/>
          </w:tcPr>
          <w:p w:rsidR="00832950" w:rsidRPr="00A14B78" w:rsidRDefault="00832950" w:rsidP="004A013E">
            <w:pPr>
              <w:widowControl/>
              <w:autoSpaceDE/>
              <w:autoSpaceDN/>
              <w:jc w:val="center"/>
            </w:pPr>
            <w:r w:rsidRPr="00A14B78">
              <w:t>39.21</w:t>
            </w:r>
          </w:p>
        </w:tc>
      </w:tr>
      <w:tr w:rsidR="00832950" w:rsidRPr="00A14B78" w:rsidTr="00832950">
        <w:trPr>
          <w:trHeight w:val="271"/>
        </w:trPr>
        <w:tc>
          <w:tcPr>
            <w:tcW w:w="1003" w:type="dxa"/>
            <w:hideMark/>
          </w:tcPr>
          <w:p w:rsidR="00832950" w:rsidRPr="00A14B78" w:rsidRDefault="00832950" w:rsidP="004A013E">
            <w:pPr>
              <w:widowControl/>
              <w:autoSpaceDE/>
              <w:autoSpaceDN/>
              <w:jc w:val="center"/>
            </w:pPr>
            <w:r w:rsidRPr="00A14B78">
              <w:t>2</w:t>
            </w:r>
          </w:p>
        </w:tc>
        <w:tc>
          <w:tcPr>
            <w:tcW w:w="0" w:type="auto"/>
            <w:hideMark/>
          </w:tcPr>
          <w:p w:rsidR="00832950" w:rsidRPr="00A14B78" w:rsidRDefault="00832950" w:rsidP="004A013E">
            <w:pPr>
              <w:widowControl/>
              <w:autoSpaceDE/>
              <w:autoSpaceDN/>
              <w:jc w:val="center"/>
            </w:pPr>
            <w:r w:rsidRPr="00A14B78">
              <w:t xml:space="preserve">Bank </w:t>
            </w:r>
            <w:proofErr w:type="spellStart"/>
            <w:r w:rsidRPr="00A14B78">
              <w:t>Jago</w:t>
            </w:r>
            <w:proofErr w:type="spellEnd"/>
          </w:p>
        </w:tc>
        <w:tc>
          <w:tcPr>
            <w:tcW w:w="4731" w:type="dxa"/>
            <w:hideMark/>
          </w:tcPr>
          <w:p w:rsidR="00832950" w:rsidRPr="00A14B78" w:rsidRDefault="00832950" w:rsidP="004A013E">
            <w:pPr>
              <w:widowControl/>
              <w:autoSpaceDE/>
              <w:autoSpaceDN/>
              <w:jc w:val="center"/>
            </w:pPr>
            <w:r w:rsidRPr="00A14B78">
              <w:t>38.47</w:t>
            </w:r>
          </w:p>
        </w:tc>
      </w:tr>
      <w:tr w:rsidR="00832950" w:rsidRPr="00A14B78" w:rsidTr="00832950">
        <w:trPr>
          <w:trHeight w:val="271"/>
        </w:trPr>
        <w:tc>
          <w:tcPr>
            <w:tcW w:w="1003" w:type="dxa"/>
            <w:hideMark/>
          </w:tcPr>
          <w:p w:rsidR="00832950" w:rsidRPr="00A14B78" w:rsidRDefault="00832950" w:rsidP="004A013E">
            <w:pPr>
              <w:widowControl/>
              <w:autoSpaceDE/>
              <w:autoSpaceDN/>
              <w:jc w:val="center"/>
            </w:pPr>
            <w:r w:rsidRPr="00A14B78">
              <w:t>3</w:t>
            </w:r>
          </w:p>
        </w:tc>
        <w:tc>
          <w:tcPr>
            <w:tcW w:w="0" w:type="auto"/>
            <w:hideMark/>
          </w:tcPr>
          <w:p w:rsidR="00832950" w:rsidRPr="00A14B78" w:rsidRDefault="00832950" w:rsidP="004A013E">
            <w:pPr>
              <w:widowControl/>
              <w:autoSpaceDE/>
              <w:autoSpaceDN/>
              <w:jc w:val="center"/>
            </w:pPr>
            <w:proofErr w:type="spellStart"/>
            <w:r w:rsidRPr="00A14B78">
              <w:t>Allo</w:t>
            </w:r>
            <w:proofErr w:type="spellEnd"/>
            <w:r w:rsidRPr="00A14B78">
              <w:t xml:space="preserve"> Bank Indonesia</w:t>
            </w:r>
          </w:p>
        </w:tc>
        <w:tc>
          <w:tcPr>
            <w:tcW w:w="4731" w:type="dxa"/>
            <w:hideMark/>
          </w:tcPr>
          <w:p w:rsidR="00832950" w:rsidRPr="00A14B78" w:rsidRDefault="00832950" w:rsidP="004A013E">
            <w:pPr>
              <w:widowControl/>
              <w:autoSpaceDE/>
              <w:autoSpaceDN/>
              <w:jc w:val="center"/>
            </w:pPr>
            <w:r w:rsidRPr="00A14B78">
              <w:t>31.02</w:t>
            </w:r>
          </w:p>
        </w:tc>
      </w:tr>
      <w:tr w:rsidR="00832950" w:rsidRPr="00A14B78" w:rsidTr="00832950">
        <w:trPr>
          <w:trHeight w:val="271"/>
        </w:trPr>
        <w:tc>
          <w:tcPr>
            <w:tcW w:w="1003" w:type="dxa"/>
            <w:hideMark/>
          </w:tcPr>
          <w:p w:rsidR="00832950" w:rsidRPr="00A14B78" w:rsidRDefault="00832950" w:rsidP="004A013E">
            <w:pPr>
              <w:widowControl/>
              <w:autoSpaceDE/>
              <w:autoSpaceDN/>
              <w:jc w:val="center"/>
            </w:pPr>
            <w:r w:rsidRPr="00A14B78">
              <w:t>4</w:t>
            </w:r>
          </w:p>
        </w:tc>
        <w:tc>
          <w:tcPr>
            <w:tcW w:w="0" w:type="auto"/>
            <w:hideMark/>
          </w:tcPr>
          <w:p w:rsidR="00832950" w:rsidRPr="00A14B78" w:rsidRDefault="00832950" w:rsidP="004A013E">
            <w:pPr>
              <w:widowControl/>
              <w:autoSpaceDE/>
              <w:autoSpaceDN/>
              <w:jc w:val="center"/>
            </w:pPr>
            <w:r w:rsidRPr="00A14B78">
              <w:t>Bank Neo Commerce</w:t>
            </w:r>
          </w:p>
        </w:tc>
        <w:tc>
          <w:tcPr>
            <w:tcW w:w="4731" w:type="dxa"/>
            <w:hideMark/>
          </w:tcPr>
          <w:p w:rsidR="00832950" w:rsidRPr="00A14B78" w:rsidRDefault="00832950" w:rsidP="004A013E">
            <w:pPr>
              <w:widowControl/>
              <w:autoSpaceDE/>
              <w:autoSpaceDN/>
              <w:jc w:val="center"/>
            </w:pPr>
            <w:r w:rsidRPr="00A14B78">
              <w:t>24.85</w:t>
            </w:r>
          </w:p>
        </w:tc>
      </w:tr>
      <w:tr w:rsidR="00832950" w:rsidRPr="00A14B78" w:rsidTr="00832950">
        <w:trPr>
          <w:trHeight w:val="271"/>
        </w:trPr>
        <w:tc>
          <w:tcPr>
            <w:tcW w:w="1003" w:type="dxa"/>
            <w:hideMark/>
          </w:tcPr>
          <w:p w:rsidR="00832950" w:rsidRPr="00A14B78" w:rsidRDefault="00832950" w:rsidP="004A013E">
            <w:pPr>
              <w:widowControl/>
              <w:autoSpaceDE/>
              <w:autoSpaceDN/>
              <w:jc w:val="center"/>
            </w:pPr>
            <w:r w:rsidRPr="00A14B78">
              <w:t>5</w:t>
            </w:r>
          </w:p>
        </w:tc>
        <w:tc>
          <w:tcPr>
            <w:tcW w:w="0" w:type="auto"/>
            <w:hideMark/>
          </w:tcPr>
          <w:p w:rsidR="00832950" w:rsidRPr="00A14B78" w:rsidRDefault="00832950" w:rsidP="004A013E">
            <w:pPr>
              <w:widowControl/>
              <w:autoSpaceDE/>
              <w:autoSpaceDN/>
              <w:jc w:val="center"/>
            </w:pPr>
            <w:r w:rsidRPr="00A14B78">
              <w:t>BCA Digital (</w:t>
            </w:r>
            <w:proofErr w:type="spellStart"/>
            <w:r w:rsidRPr="00A14B78">
              <w:t>blu</w:t>
            </w:r>
            <w:proofErr w:type="spellEnd"/>
            <w:r w:rsidRPr="00A14B78">
              <w:t>)</w:t>
            </w:r>
          </w:p>
        </w:tc>
        <w:tc>
          <w:tcPr>
            <w:tcW w:w="4731" w:type="dxa"/>
            <w:hideMark/>
          </w:tcPr>
          <w:p w:rsidR="00832950" w:rsidRPr="00A14B78" w:rsidRDefault="00832950" w:rsidP="004A013E">
            <w:pPr>
              <w:widowControl/>
              <w:autoSpaceDE/>
              <w:autoSpaceDN/>
              <w:jc w:val="center"/>
            </w:pPr>
            <w:r w:rsidRPr="00A14B78">
              <w:t>17.63</w:t>
            </w:r>
          </w:p>
        </w:tc>
      </w:tr>
    </w:tbl>
    <w:p w:rsidR="00440578" w:rsidRDefault="00440578" w:rsidP="00440578">
      <w:pPr>
        <w:spacing w:line="360" w:lineRule="auto"/>
        <w:contextualSpacing/>
        <w:jc w:val="both"/>
      </w:pPr>
      <w:r>
        <w:rPr>
          <w:sz w:val="24"/>
          <w:szCs w:val="24"/>
        </w:rPr>
        <w:t xml:space="preserve">  </w:t>
      </w:r>
      <w:proofErr w:type="gramStart"/>
      <w:r w:rsidRPr="00B436EA">
        <w:rPr>
          <w:sz w:val="24"/>
          <w:szCs w:val="24"/>
        </w:rPr>
        <w:t>Source :</w:t>
      </w:r>
      <w:proofErr w:type="gramEnd"/>
      <w:r w:rsidRPr="00B436EA">
        <w:rPr>
          <w:sz w:val="24"/>
          <w:szCs w:val="24"/>
        </w:rPr>
        <w:t xml:space="preserve"> </w:t>
      </w:r>
      <w:r w:rsidRPr="00440578">
        <w:rPr>
          <w:sz w:val="24"/>
          <w:szCs w:val="24"/>
        </w:rPr>
        <w:t>Financial Services Authority of Indonesia (OJK)  2025</w:t>
      </w:r>
    </w:p>
    <w:p w:rsidR="00AC440C" w:rsidRDefault="00832950" w:rsidP="00AC440C">
      <w:pPr>
        <w:pStyle w:val="ds-markdown-paragraph"/>
        <w:shd w:val="clear" w:color="auto" w:fill="FFFFFF"/>
        <w:spacing w:before="206" w:after="206" w:line="360" w:lineRule="auto"/>
        <w:ind w:firstLine="720"/>
        <w:contextualSpacing/>
        <w:jc w:val="both"/>
      </w:pPr>
      <w:r w:rsidRPr="00832950">
        <w:t xml:space="preserve">The strong potential of digital banks lies in their ability to penetrate markets more aggressively through low operational costs, branchless banking models, seamless mobile accessibility, and strategic partnerships with major digital platforms such as e-commerce, </w:t>
      </w:r>
      <w:proofErr w:type="spellStart"/>
      <w:r w:rsidRPr="00832950">
        <w:t>fintech</w:t>
      </w:r>
      <w:proofErr w:type="spellEnd"/>
      <w:r w:rsidRPr="00832950">
        <w:t>, and ride-hailing services. Compared to conventional banks, which dominate through capital strength, institutional trust, and large-scale financing, digital banks offer faster customer acquisition, lower administrative barriers, and greater flexibility in serving younger, urban, and previously underserved populations. This creates significant long-term opportunities for digital banks to expand financial inclusion, accelerate digital payment adoption, and reshape consumer banking behavior. Although digital banks currently function more as complementary players rather than direct competitors to conventional banking giants, their speed of innovation, ecosystem integration, and scalability suggest that they may become increasingly influential in the future evolution of Indonesia’s financial sector. The comparative data indicates that while conventional banks maintain dominance in stability and asset power, digital banks represent the next frontier of growth, innovation, and market expansion in Indonesia’s banking industry.</w:t>
      </w:r>
    </w:p>
    <w:p w:rsidR="00AC440C" w:rsidRDefault="00AC440C" w:rsidP="00AC440C">
      <w:pPr>
        <w:pStyle w:val="ds-markdown-paragraph"/>
        <w:shd w:val="clear" w:color="auto" w:fill="FFFFFF"/>
        <w:spacing w:before="206" w:after="206" w:line="360" w:lineRule="auto"/>
        <w:ind w:firstLine="720"/>
        <w:contextualSpacing/>
        <w:jc w:val="both"/>
      </w:pPr>
      <w:r>
        <w:t xml:space="preserve">Based on RGEC indicators in 2025 (Table 3), conventional banks in Indonesia continue to outperform digital banks in terms of asset size, profitability, stability, and governance quality. Major conventional banks such as Bank </w:t>
      </w:r>
      <w:proofErr w:type="spellStart"/>
      <w:r>
        <w:t>Mandiri</w:t>
      </w:r>
      <w:proofErr w:type="spellEnd"/>
      <w:r>
        <w:t>, BRI, BCA, BNI, and BTN possess significantly stronger financial foundations, higher profitability, and better-controlled risk, making them the primary backbone of Indonesia’s national banking system. In contrast, digital banks demonstrate stronger advantages in growth speed, innovation, operational efficiency, and market penetration through technology-based services. Although their assets and profitability remain smaller, digital banks hold substantial potential as future drivers of banking industry transformation through more flexible, scalable, and aggressive business models. This divergence reflects fundamentally different strategic orientations between traditional and digital banking systems. Moreover, this gap is expected to gradually narrow as digital banks mature and regulatory frameworks evolve to support digital financial ecosystems.</w:t>
      </w:r>
    </w:p>
    <w:p w:rsidR="00AC440C" w:rsidRDefault="00AC440C" w:rsidP="00AC440C">
      <w:pPr>
        <w:pStyle w:val="ds-markdown-paragraph"/>
        <w:shd w:val="clear" w:color="auto" w:fill="FFFFFF"/>
        <w:spacing w:before="206" w:after="206" w:line="360" w:lineRule="auto"/>
        <w:ind w:firstLine="720"/>
        <w:contextualSpacing/>
        <w:jc w:val="both"/>
      </w:pPr>
    </w:p>
    <w:p w:rsidR="00AC440C" w:rsidRDefault="00FB3D03" w:rsidP="00AC440C">
      <w:pPr>
        <w:pStyle w:val="ds-markdown-paragraph"/>
        <w:shd w:val="clear" w:color="auto" w:fill="FFFFFF"/>
        <w:spacing w:before="206" w:after="206" w:line="360" w:lineRule="auto"/>
        <w:ind w:firstLine="720"/>
        <w:contextualSpacing/>
        <w:jc w:val="center"/>
        <w:rPr>
          <w:bCs/>
        </w:rPr>
      </w:pPr>
      <w:proofErr w:type="gramStart"/>
      <w:r w:rsidRPr="00FB3D03">
        <w:rPr>
          <w:bCs/>
        </w:rPr>
        <w:lastRenderedPageBreak/>
        <w:t>Table 3.</w:t>
      </w:r>
      <w:proofErr w:type="gramEnd"/>
    </w:p>
    <w:p w:rsidR="00FB3D03" w:rsidRPr="00FB3D03" w:rsidRDefault="00FB3D03" w:rsidP="00AC440C">
      <w:pPr>
        <w:pStyle w:val="ds-markdown-paragraph"/>
        <w:shd w:val="clear" w:color="auto" w:fill="FFFFFF"/>
        <w:spacing w:before="206" w:after="206" w:line="360" w:lineRule="auto"/>
        <w:ind w:firstLine="720"/>
        <w:contextualSpacing/>
        <w:jc w:val="center"/>
      </w:pPr>
      <w:r w:rsidRPr="00FB3D03">
        <w:rPr>
          <w:bCs/>
        </w:rPr>
        <w:t xml:space="preserve">Comparative RGEC Performance </w:t>
      </w:r>
      <w:r w:rsidR="0052542A">
        <w:rPr>
          <w:bCs/>
        </w:rPr>
        <w:t>-Year 2025</w:t>
      </w:r>
    </w:p>
    <w:tbl>
      <w:tblPr>
        <w:tblStyle w:val="TableGrid"/>
        <w:tblW w:w="9640" w:type="dxa"/>
        <w:tblInd w:w="250" w:type="dxa"/>
        <w:tblLook w:val="04A0" w:firstRow="1" w:lastRow="0" w:firstColumn="1" w:lastColumn="0" w:noHBand="0" w:noVBand="1"/>
      </w:tblPr>
      <w:tblGrid>
        <w:gridCol w:w="1816"/>
        <w:gridCol w:w="1145"/>
        <w:gridCol w:w="1436"/>
        <w:gridCol w:w="1119"/>
        <w:gridCol w:w="1426"/>
        <w:gridCol w:w="1273"/>
        <w:gridCol w:w="1425"/>
      </w:tblGrid>
      <w:tr w:rsidR="00080F5A" w:rsidRPr="00FB3D03" w:rsidTr="00440578">
        <w:trPr>
          <w:trHeight w:val="144"/>
        </w:trPr>
        <w:tc>
          <w:tcPr>
            <w:tcW w:w="1816" w:type="dxa"/>
            <w:hideMark/>
          </w:tcPr>
          <w:p w:rsidR="00FB3D03" w:rsidRPr="00FB3D03" w:rsidRDefault="00FB3D03" w:rsidP="00FB3D03">
            <w:pPr>
              <w:widowControl/>
              <w:autoSpaceDE/>
              <w:autoSpaceDN/>
              <w:jc w:val="center"/>
              <w:rPr>
                <w:bCs/>
              </w:rPr>
            </w:pPr>
            <w:r w:rsidRPr="00FB3D03">
              <w:rPr>
                <w:bCs/>
              </w:rPr>
              <w:t>Bank</w:t>
            </w:r>
          </w:p>
        </w:tc>
        <w:tc>
          <w:tcPr>
            <w:tcW w:w="1145" w:type="dxa"/>
            <w:hideMark/>
          </w:tcPr>
          <w:p w:rsidR="00FB3D03" w:rsidRPr="00FB3D03" w:rsidRDefault="00FB3D03" w:rsidP="00FB3D03">
            <w:pPr>
              <w:widowControl/>
              <w:autoSpaceDE/>
              <w:autoSpaceDN/>
              <w:jc w:val="center"/>
              <w:rPr>
                <w:bCs/>
              </w:rPr>
            </w:pPr>
            <w:r w:rsidRPr="00FB3D03">
              <w:rPr>
                <w:bCs/>
              </w:rPr>
              <w:t>Total Assets (</w:t>
            </w:r>
            <w:r>
              <w:rPr>
                <w:bCs/>
              </w:rPr>
              <w:t>T</w:t>
            </w:r>
            <w:r w:rsidRPr="00FB3D03">
              <w:rPr>
                <w:bCs/>
              </w:rPr>
              <w:t>)</w:t>
            </w:r>
          </w:p>
        </w:tc>
        <w:tc>
          <w:tcPr>
            <w:tcW w:w="0" w:type="auto"/>
            <w:hideMark/>
          </w:tcPr>
          <w:p w:rsidR="00FB3D03" w:rsidRPr="00FB3D03" w:rsidRDefault="00FB3D03" w:rsidP="00FB3D03">
            <w:pPr>
              <w:widowControl/>
              <w:autoSpaceDE/>
              <w:autoSpaceDN/>
              <w:jc w:val="center"/>
              <w:rPr>
                <w:bCs/>
              </w:rPr>
            </w:pPr>
            <w:r w:rsidRPr="00FB3D03">
              <w:rPr>
                <w:bCs/>
              </w:rPr>
              <w:t>Risk Profile (NPL %)</w:t>
            </w:r>
          </w:p>
        </w:tc>
        <w:tc>
          <w:tcPr>
            <w:tcW w:w="0" w:type="auto"/>
            <w:hideMark/>
          </w:tcPr>
          <w:p w:rsidR="00FB3D03" w:rsidRPr="00FB3D03" w:rsidRDefault="00FB3D03" w:rsidP="00FB3D03">
            <w:pPr>
              <w:widowControl/>
              <w:autoSpaceDE/>
              <w:autoSpaceDN/>
              <w:jc w:val="center"/>
              <w:rPr>
                <w:bCs/>
              </w:rPr>
            </w:pPr>
            <w:r w:rsidRPr="00FB3D03">
              <w:rPr>
                <w:bCs/>
              </w:rPr>
              <w:t>GCG</w:t>
            </w:r>
          </w:p>
        </w:tc>
        <w:tc>
          <w:tcPr>
            <w:tcW w:w="0" w:type="auto"/>
            <w:hideMark/>
          </w:tcPr>
          <w:p w:rsidR="00FB3D03" w:rsidRPr="00FB3D03" w:rsidRDefault="00FB3D03" w:rsidP="00FB3D03">
            <w:pPr>
              <w:widowControl/>
              <w:autoSpaceDE/>
              <w:autoSpaceDN/>
              <w:jc w:val="center"/>
              <w:rPr>
                <w:bCs/>
              </w:rPr>
            </w:pPr>
            <w:r w:rsidRPr="00FB3D03">
              <w:rPr>
                <w:bCs/>
              </w:rPr>
              <w:t>Earnings (ROA %)</w:t>
            </w:r>
          </w:p>
        </w:tc>
        <w:tc>
          <w:tcPr>
            <w:tcW w:w="0" w:type="auto"/>
            <w:hideMark/>
          </w:tcPr>
          <w:p w:rsidR="00FB3D03" w:rsidRPr="00FB3D03" w:rsidRDefault="00FB3D03" w:rsidP="00FB3D03">
            <w:pPr>
              <w:widowControl/>
              <w:autoSpaceDE/>
              <w:autoSpaceDN/>
              <w:jc w:val="center"/>
              <w:rPr>
                <w:bCs/>
              </w:rPr>
            </w:pPr>
            <w:r w:rsidRPr="00FB3D03">
              <w:rPr>
                <w:bCs/>
              </w:rPr>
              <w:t>Capital (CAR %)</w:t>
            </w:r>
          </w:p>
        </w:tc>
        <w:tc>
          <w:tcPr>
            <w:tcW w:w="1425" w:type="dxa"/>
            <w:hideMark/>
          </w:tcPr>
          <w:p w:rsidR="00FB3D03" w:rsidRPr="00FB3D03" w:rsidRDefault="00FB3D03" w:rsidP="00FB3D03">
            <w:pPr>
              <w:widowControl/>
              <w:autoSpaceDE/>
              <w:autoSpaceDN/>
              <w:jc w:val="center"/>
              <w:rPr>
                <w:bCs/>
              </w:rPr>
            </w:pPr>
            <w:r w:rsidRPr="00FB3D03">
              <w:rPr>
                <w:bCs/>
              </w:rPr>
              <w:t>RGEC Assessment</w:t>
            </w:r>
          </w:p>
        </w:tc>
      </w:tr>
      <w:tr w:rsidR="00FB3D03" w:rsidRPr="00FB3D03" w:rsidTr="00CC2C0F">
        <w:trPr>
          <w:trHeight w:val="509"/>
        </w:trPr>
        <w:tc>
          <w:tcPr>
            <w:tcW w:w="1816" w:type="dxa"/>
            <w:shd w:val="clear" w:color="auto" w:fill="auto"/>
            <w:hideMark/>
          </w:tcPr>
          <w:p w:rsidR="00FB3D03" w:rsidRPr="00FB3D03" w:rsidRDefault="00FB3D03" w:rsidP="00FB3D03">
            <w:pPr>
              <w:widowControl/>
              <w:autoSpaceDE/>
              <w:autoSpaceDN/>
              <w:jc w:val="center"/>
            </w:pPr>
            <w:r w:rsidRPr="00FB3D03">
              <w:rPr>
                <w:b/>
                <w:bCs/>
              </w:rPr>
              <w:t>Conventional Banks</w:t>
            </w:r>
          </w:p>
        </w:tc>
        <w:tc>
          <w:tcPr>
            <w:tcW w:w="1145" w:type="dxa"/>
            <w:shd w:val="clear" w:color="auto" w:fill="auto"/>
            <w:hideMark/>
          </w:tcPr>
          <w:p w:rsidR="00FB3D03" w:rsidRPr="00FB3D03" w:rsidRDefault="00FB3D03" w:rsidP="00FB3D03">
            <w:pPr>
              <w:widowControl/>
              <w:autoSpaceDE/>
              <w:autoSpaceDN/>
              <w:jc w:val="center"/>
            </w:pPr>
          </w:p>
        </w:tc>
        <w:tc>
          <w:tcPr>
            <w:tcW w:w="0" w:type="auto"/>
            <w:shd w:val="clear" w:color="auto" w:fill="auto"/>
            <w:hideMark/>
          </w:tcPr>
          <w:p w:rsidR="00FB3D03" w:rsidRPr="00FB3D03" w:rsidRDefault="00FB3D03" w:rsidP="00FB3D03">
            <w:pPr>
              <w:widowControl/>
              <w:autoSpaceDE/>
              <w:autoSpaceDN/>
              <w:jc w:val="center"/>
            </w:pPr>
          </w:p>
        </w:tc>
        <w:tc>
          <w:tcPr>
            <w:tcW w:w="0" w:type="auto"/>
            <w:shd w:val="clear" w:color="auto" w:fill="auto"/>
            <w:hideMark/>
          </w:tcPr>
          <w:p w:rsidR="00FB3D03" w:rsidRPr="00FB3D03" w:rsidRDefault="00FB3D03" w:rsidP="00FB3D03">
            <w:pPr>
              <w:widowControl/>
              <w:autoSpaceDE/>
              <w:autoSpaceDN/>
              <w:jc w:val="center"/>
            </w:pPr>
          </w:p>
        </w:tc>
        <w:tc>
          <w:tcPr>
            <w:tcW w:w="0" w:type="auto"/>
            <w:shd w:val="clear" w:color="auto" w:fill="auto"/>
            <w:hideMark/>
          </w:tcPr>
          <w:p w:rsidR="00FB3D03" w:rsidRPr="00FB3D03" w:rsidRDefault="00FB3D03" w:rsidP="00FB3D03">
            <w:pPr>
              <w:widowControl/>
              <w:autoSpaceDE/>
              <w:autoSpaceDN/>
              <w:jc w:val="center"/>
            </w:pPr>
          </w:p>
        </w:tc>
        <w:tc>
          <w:tcPr>
            <w:tcW w:w="0" w:type="auto"/>
            <w:shd w:val="clear" w:color="auto" w:fill="auto"/>
            <w:hideMark/>
          </w:tcPr>
          <w:p w:rsidR="00FB3D03" w:rsidRPr="00FB3D03" w:rsidRDefault="00FB3D03" w:rsidP="00FB3D03">
            <w:pPr>
              <w:widowControl/>
              <w:autoSpaceDE/>
              <w:autoSpaceDN/>
              <w:jc w:val="center"/>
            </w:pPr>
          </w:p>
        </w:tc>
        <w:tc>
          <w:tcPr>
            <w:tcW w:w="1425" w:type="dxa"/>
            <w:shd w:val="clear" w:color="auto" w:fill="auto"/>
            <w:hideMark/>
          </w:tcPr>
          <w:p w:rsidR="00FB3D03" w:rsidRPr="00FB3D03" w:rsidRDefault="00FB3D03" w:rsidP="00FB3D03">
            <w:pPr>
              <w:widowControl/>
              <w:autoSpaceDE/>
              <w:autoSpaceDN/>
              <w:jc w:val="center"/>
            </w:pPr>
          </w:p>
        </w:tc>
      </w:tr>
      <w:tr w:rsidR="00080F5A" w:rsidRPr="00FB3D03" w:rsidTr="00CC2C0F">
        <w:trPr>
          <w:trHeight w:val="494"/>
        </w:trPr>
        <w:tc>
          <w:tcPr>
            <w:tcW w:w="1816" w:type="dxa"/>
            <w:shd w:val="clear" w:color="auto" w:fill="auto"/>
            <w:hideMark/>
          </w:tcPr>
          <w:p w:rsidR="00FB3D03" w:rsidRPr="00FB3D03" w:rsidRDefault="00FB3D03" w:rsidP="00FB3D03">
            <w:pPr>
              <w:widowControl/>
              <w:autoSpaceDE/>
              <w:autoSpaceDN/>
              <w:jc w:val="center"/>
            </w:pPr>
            <w:r w:rsidRPr="00FB3D03">
              <w:t xml:space="preserve">Bank </w:t>
            </w:r>
            <w:proofErr w:type="spellStart"/>
            <w:r w:rsidRPr="00FB3D03">
              <w:t>Mandiri</w:t>
            </w:r>
            <w:proofErr w:type="spellEnd"/>
          </w:p>
        </w:tc>
        <w:tc>
          <w:tcPr>
            <w:tcW w:w="1145" w:type="dxa"/>
            <w:shd w:val="clear" w:color="auto" w:fill="auto"/>
            <w:hideMark/>
          </w:tcPr>
          <w:p w:rsidR="00FB3D03" w:rsidRPr="00FB3D03" w:rsidRDefault="00FB3D03" w:rsidP="00FB3D03">
            <w:pPr>
              <w:widowControl/>
              <w:autoSpaceDE/>
              <w:autoSpaceDN/>
              <w:jc w:val="center"/>
            </w:pPr>
            <w:r w:rsidRPr="00FB3D03">
              <w:t>2,829.94</w:t>
            </w:r>
          </w:p>
        </w:tc>
        <w:tc>
          <w:tcPr>
            <w:tcW w:w="0" w:type="auto"/>
            <w:shd w:val="clear" w:color="auto" w:fill="auto"/>
            <w:hideMark/>
          </w:tcPr>
          <w:p w:rsidR="00FB3D03" w:rsidRPr="00FB3D03" w:rsidRDefault="00FB3D03" w:rsidP="00FB3D03">
            <w:pPr>
              <w:widowControl/>
              <w:autoSpaceDE/>
              <w:autoSpaceDN/>
              <w:jc w:val="center"/>
            </w:pPr>
            <w:r w:rsidRPr="00FB3D03">
              <w:t>1.1</w:t>
            </w:r>
          </w:p>
        </w:tc>
        <w:tc>
          <w:tcPr>
            <w:tcW w:w="0" w:type="auto"/>
            <w:shd w:val="clear" w:color="auto" w:fill="auto"/>
            <w:hideMark/>
          </w:tcPr>
          <w:p w:rsidR="00FB3D03" w:rsidRPr="00FB3D03" w:rsidRDefault="00FB3D03" w:rsidP="00FB3D03">
            <w:pPr>
              <w:widowControl/>
              <w:autoSpaceDE/>
              <w:autoSpaceDN/>
              <w:jc w:val="center"/>
            </w:pPr>
            <w:r w:rsidRPr="00FB3D03">
              <w:t>Very Good</w:t>
            </w:r>
          </w:p>
        </w:tc>
        <w:tc>
          <w:tcPr>
            <w:tcW w:w="0" w:type="auto"/>
            <w:shd w:val="clear" w:color="auto" w:fill="auto"/>
            <w:hideMark/>
          </w:tcPr>
          <w:p w:rsidR="00FB3D03" w:rsidRPr="00FB3D03" w:rsidRDefault="00FB3D03" w:rsidP="00FB3D03">
            <w:pPr>
              <w:widowControl/>
              <w:autoSpaceDE/>
              <w:autoSpaceDN/>
              <w:jc w:val="center"/>
            </w:pPr>
            <w:r w:rsidRPr="00FB3D03">
              <w:t>3.3</w:t>
            </w:r>
          </w:p>
        </w:tc>
        <w:tc>
          <w:tcPr>
            <w:tcW w:w="0" w:type="auto"/>
            <w:shd w:val="clear" w:color="auto" w:fill="auto"/>
            <w:hideMark/>
          </w:tcPr>
          <w:p w:rsidR="00FB3D03" w:rsidRPr="00FB3D03" w:rsidRDefault="00FB3D03" w:rsidP="00FB3D03">
            <w:pPr>
              <w:widowControl/>
              <w:autoSpaceDE/>
              <w:autoSpaceDN/>
              <w:jc w:val="center"/>
            </w:pPr>
            <w:r w:rsidRPr="00FB3D03">
              <w:t>21.2</w:t>
            </w:r>
          </w:p>
        </w:tc>
        <w:tc>
          <w:tcPr>
            <w:tcW w:w="1425" w:type="dxa"/>
            <w:shd w:val="clear" w:color="auto" w:fill="auto"/>
            <w:hideMark/>
          </w:tcPr>
          <w:p w:rsidR="00FB3D03" w:rsidRPr="00FB3D03" w:rsidRDefault="00FB3D03" w:rsidP="00FB3D03">
            <w:pPr>
              <w:widowControl/>
              <w:autoSpaceDE/>
              <w:autoSpaceDN/>
              <w:jc w:val="center"/>
            </w:pPr>
            <w:r w:rsidRPr="00FB3D03">
              <w:t>Very Healthy</w:t>
            </w:r>
          </w:p>
        </w:tc>
      </w:tr>
      <w:tr w:rsidR="00080F5A" w:rsidRPr="00FB3D03" w:rsidTr="00CC2C0F">
        <w:trPr>
          <w:trHeight w:val="509"/>
        </w:trPr>
        <w:tc>
          <w:tcPr>
            <w:tcW w:w="1816" w:type="dxa"/>
            <w:shd w:val="clear" w:color="auto" w:fill="auto"/>
            <w:hideMark/>
          </w:tcPr>
          <w:p w:rsidR="00FB3D03" w:rsidRPr="00FB3D03" w:rsidRDefault="00FB3D03" w:rsidP="00FB3D03">
            <w:pPr>
              <w:widowControl/>
              <w:autoSpaceDE/>
              <w:autoSpaceDN/>
              <w:jc w:val="center"/>
            </w:pPr>
            <w:r w:rsidRPr="00FB3D03">
              <w:t>BRI</w:t>
            </w:r>
          </w:p>
        </w:tc>
        <w:tc>
          <w:tcPr>
            <w:tcW w:w="1145" w:type="dxa"/>
            <w:shd w:val="clear" w:color="auto" w:fill="auto"/>
            <w:hideMark/>
          </w:tcPr>
          <w:p w:rsidR="00FB3D03" w:rsidRPr="00FB3D03" w:rsidRDefault="00FB3D03" w:rsidP="00FB3D03">
            <w:pPr>
              <w:widowControl/>
              <w:autoSpaceDE/>
              <w:autoSpaceDN/>
              <w:jc w:val="center"/>
            </w:pPr>
            <w:r w:rsidRPr="00FB3D03">
              <w:t>2,135.37</w:t>
            </w:r>
          </w:p>
        </w:tc>
        <w:tc>
          <w:tcPr>
            <w:tcW w:w="0" w:type="auto"/>
            <w:shd w:val="clear" w:color="auto" w:fill="auto"/>
            <w:hideMark/>
          </w:tcPr>
          <w:p w:rsidR="00FB3D03" w:rsidRPr="00FB3D03" w:rsidRDefault="00FB3D03" w:rsidP="00FB3D03">
            <w:pPr>
              <w:widowControl/>
              <w:autoSpaceDE/>
              <w:autoSpaceDN/>
              <w:jc w:val="center"/>
            </w:pPr>
            <w:r w:rsidRPr="00FB3D03">
              <w:t>2.9</w:t>
            </w:r>
          </w:p>
        </w:tc>
        <w:tc>
          <w:tcPr>
            <w:tcW w:w="0" w:type="auto"/>
            <w:shd w:val="clear" w:color="auto" w:fill="auto"/>
            <w:hideMark/>
          </w:tcPr>
          <w:p w:rsidR="00FB3D03" w:rsidRPr="00FB3D03" w:rsidRDefault="00FB3D03" w:rsidP="00FB3D03">
            <w:pPr>
              <w:widowControl/>
              <w:autoSpaceDE/>
              <w:autoSpaceDN/>
              <w:jc w:val="center"/>
            </w:pPr>
            <w:r w:rsidRPr="00FB3D03">
              <w:t>Very Good</w:t>
            </w:r>
          </w:p>
        </w:tc>
        <w:tc>
          <w:tcPr>
            <w:tcW w:w="0" w:type="auto"/>
            <w:shd w:val="clear" w:color="auto" w:fill="auto"/>
            <w:hideMark/>
          </w:tcPr>
          <w:p w:rsidR="00FB3D03" w:rsidRPr="00FB3D03" w:rsidRDefault="00FB3D03" w:rsidP="00FB3D03">
            <w:pPr>
              <w:widowControl/>
              <w:autoSpaceDE/>
              <w:autoSpaceDN/>
              <w:jc w:val="center"/>
            </w:pPr>
            <w:r w:rsidRPr="00FB3D03">
              <w:t>3.7</w:t>
            </w:r>
          </w:p>
        </w:tc>
        <w:tc>
          <w:tcPr>
            <w:tcW w:w="0" w:type="auto"/>
            <w:shd w:val="clear" w:color="auto" w:fill="auto"/>
            <w:hideMark/>
          </w:tcPr>
          <w:p w:rsidR="00FB3D03" w:rsidRPr="00FB3D03" w:rsidRDefault="00FB3D03" w:rsidP="00FB3D03">
            <w:pPr>
              <w:widowControl/>
              <w:autoSpaceDE/>
              <w:autoSpaceDN/>
              <w:jc w:val="center"/>
            </w:pPr>
            <w:r w:rsidRPr="00FB3D03">
              <w:t>20.4</w:t>
            </w:r>
          </w:p>
        </w:tc>
        <w:tc>
          <w:tcPr>
            <w:tcW w:w="1425" w:type="dxa"/>
            <w:shd w:val="clear" w:color="auto" w:fill="auto"/>
            <w:hideMark/>
          </w:tcPr>
          <w:p w:rsidR="00FB3D03" w:rsidRPr="00FB3D03" w:rsidRDefault="00FB3D03" w:rsidP="00FB3D03">
            <w:pPr>
              <w:widowControl/>
              <w:autoSpaceDE/>
              <w:autoSpaceDN/>
              <w:jc w:val="center"/>
            </w:pPr>
            <w:r w:rsidRPr="00FB3D03">
              <w:t>Very Healthy</w:t>
            </w:r>
          </w:p>
        </w:tc>
      </w:tr>
      <w:tr w:rsidR="00080F5A" w:rsidRPr="00FB3D03" w:rsidTr="00CC2C0F">
        <w:trPr>
          <w:trHeight w:val="239"/>
        </w:trPr>
        <w:tc>
          <w:tcPr>
            <w:tcW w:w="1816" w:type="dxa"/>
            <w:shd w:val="clear" w:color="auto" w:fill="auto"/>
            <w:hideMark/>
          </w:tcPr>
          <w:p w:rsidR="00FB3D03" w:rsidRPr="00FB3D03" w:rsidRDefault="00FB3D03" w:rsidP="00FB3D03">
            <w:pPr>
              <w:widowControl/>
              <w:autoSpaceDE/>
              <w:autoSpaceDN/>
              <w:jc w:val="center"/>
            </w:pPr>
            <w:r w:rsidRPr="00FB3D03">
              <w:t>BCA</w:t>
            </w:r>
          </w:p>
        </w:tc>
        <w:tc>
          <w:tcPr>
            <w:tcW w:w="1145" w:type="dxa"/>
            <w:shd w:val="clear" w:color="auto" w:fill="auto"/>
            <w:hideMark/>
          </w:tcPr>
          <w:p w:rsidR="00FB3D03" w:rsidRPr="00FB3D03" w:rsidRDefault="00FB3D03" w:rsidP="00FB3D03">
            <w:pPr>
              <w:widowControl/>
              <w:autoSpaceDE/>
              <w:autoSpaceDN/>
              <w:jc w:val="center"/>
            </w:pPr>
            <w:r w:rsidRPr="00FB3D03">
              <w:t>1,586.82</w:t>
            </w:r>
          </w:p>
        </w:tc>
        <w:tc>
          <w:tcPr>
            <w:tcW w:w="0" w:type="auto"/>
            <w:shd w:val="clear" w:color="auto" w:fill="auto"/>
            <w:hideMark/>
          </w:tcPr>
          <w:p w:rsidR="00FB3D03" w:rsidRPr="00FB3D03" w:rsidRDefault="00FB3D03" w:rsidP="00FB3D03">
            <w:pPr>
              <w:widowControl/>
              <w:autoSpaceDE/>
              <w:autoSpaceDN/>
              <w:jc w:val="center"/>
            </w:pPr>
            <w:r w:rsidRPr="00FB3D03">
              <w:t>1.8</w:t>
            </w:r>
          </w:p>
        </w:tc>
        <w:tc>
          <w:tcPr>
            <w:tcW w:w="0" w:type="auto"/>
            <w:shd w:val="clear" w:color="auto" w:fill="auto"/>
            <w:hideMark/>
          </w:tcPr>
          <w:p w:rsidR="00FB3D03" w:rsidRPr="00FB3D03" w:rsidRDefault="00FB3D03" w:rsidP="00FB3D03">
            <w:pPr>
              <w:widowControl/>
              <w:autoSpaceDE/>
              <w:autoSpaceDN/>
              <w:jc w:val="center"/>
            </w:pPr>
            <w:r w:rsidRPr="00FB3D03">
              <w:t>Excellent</w:t>
            </w:r>
          </w:p>
        </w:tc>
        <w:tc>
          <w:tcPr>
            <w:tcW w:w="0" w:type="auto"/>
            <w:shd w:val="clear" w:color="auto" w:fill="auto"/>
            <w:hideMark/>
          </w:tcPr>
          <w:p w:rsidR="00FB3D03" w:rsidRPr="00FB3D03" w:rsidRDefault="00FB3D03" w:rsidP="00FB3D03">
            <w:pPr>
              <w:widowControl/>
              <w:autoSpaceDE/>
              <w:autoSpaceDN/>
              <w:jc w:val="center"/>
            </w:pPr>
            <w:r w:rsidRPr="00FB3D03">
              <w:t>3.8</w:t>
            </w:r>
          </w:p>
        </w:tc>
        <w:tc>
          <w:tcPr>
            <w:tcW w:w="0" w:type="auto"/>
            <w:shd w:val="clear" w:color="auto" w:fill="auto"/>
            <w:hideMark/>
          </w:tcPr>
          <w:p w:rsidR="00FB3D03" w:rsidRPr="00FB3D03" w:rsidRDefault="00FB3D03" w:rsidP="00FB3D03">
            <w:pPr>
              <w:widowControl/>
              <w:autoSpaceDE/>
              <w:autoSpaceDN/>
              <w:jc w:val="center"/>
            </w:pPr>
            <w:r w:rsidRPr="00FB3D03">
              <w:t>27.0</w:t>
            </w:r>
          </w:p>
        </w:tc>
        <w:tc>
          <w:tcPr>
            <w:tcW w:w="1425" w:type="dxa"/>
            <w:shd w:val="clear" w:color="auto" w:fill="auto"/>
            <w:hideMark/>
          </w:tcPr>
          <w:p w:rsidR="00FB3D03" w:rsidRPr="00FB3D03" w:rsidRDefault="00FB3D03" w:rsidP="00FB3D03">
            <w:pPr>
              <w:widowControl/>
              <w:autoSpaceDE/>
              <w:autoSpaceDN/>
              <w:jc w:val="center"/>
            </w:pPr>
            <w:r w:rsidRPr="00FB3D03">
              <w:t>Very Healthy</w:t>
            </w:r>
          </w:p>
        </w:tc>
      </w:tr>
      <w:tr w:rsidR="00080F5A" w:rsidRPr="00FB3D03" w:rsidTr="00CC2C0F">
        <w:trPr>
          <w:trHeight w:val="494"/>
        </w:trPr>
        <w:tc>
          <w:tcPr>
            <w:tcW w:w="1816" w:type="dxa"/>
            <w:shd w:val="clear" w:color="auto" w:fill="auto"/>
            <w:hideMark/>
          </w:tcPr>
          <w:p w:rsidR="00FB3D03" w:rsidRPr="00FB3D03" w:rsidRDefault="00FB3D03" w:rsidP="00FB3D03">
            <w:pPr>
              <w:widowControl/>
              <w:autoSpaceDE/>
              <w:autoSpaceDN/>
              <w:jc w:val="center"/>
            </w:pPr>
            <w:r w:rsidRPr="00FB3D03">
              <w:t>BNI</w:t>
            </w:r>
          </w:p>
        </w:tc>
        <w:tc>
          <w:tcPr>
            <w:tcW w:w="1145" w:type="dxa"/>
            <w:shd w:val="clear" w:color="auto" w:fill="auto"/>
            <w:hideMark/>
          </w:tcPr>
          <w:p w:rsidR="00FB3D03" w:rsidRPr="00FB3D03" w:rsidRDefault="00FB3D03" w:rsidP="00FB3D03">
            <w:pPr>
              <w:widowControl/>
              <w:autoSpaceDE/>
              <w:autoSpaceDN/>
              <w:jc w:val="center"/>
            </w:pPr>
            <w:r w:rsidRPr="00FB3D03">
              <w:t>1,362.05</w:t>
            </w:r>
          </w:p>
        </w:tc>
        <w:tc>
          <w:tcPr>
            <w:tcW w:w="0" w:type="auto"/>
            <w:shd w:val="clear" w:color="auto" w:fill="auto"/>
            <w:hideMark/>
          </w:tcPr>
          <w:p w:rsidR="00FB3D03" w:rsidRPr="00FB3D03" w:rsidRDefault="00FB3D03" w:rsidP="00FB3D03">
            <w:pPr>
              <w:widowControl/>
              <w:autoSpaceDE/>
              <w:autoSpaceDN/>
              <w:jc w:val="center"/>
            </w:pPr>
            <w:r w:rsidRPr="00FB3D03">
              <w:t>1.9</w:t>
            </w:r>
          </w:p>
        </w:tc>
        <w:tc>
          <w:tcPr>
            <w:tcW w:w="0" w:type="auto"/>
            <w:shd w:val="clear" w:color="auto" w:fill="auto"/>
            <w:hideMark/>
          </w:tcPr>
          <w:p w:rsidR="00FB3D03" w:rsidRPr="00FB3D03" w:rsidRDefault="00FB3D03" w:rsidP="00FB3D03">
            <w:pPr>
              <w:widowControl/>
              <w:autoSpaceDE/>
              <w:autoSpaceDN/>
              <w:jc w:val="center"/>
            </w:pPr>
            <w:r w:rsidRPr="00FB3D03">
              <w:t>Very Good</w:t>
            </w:r>
          </w:p>
        </w:tc>
        <w:tc>
          <w:tcPr>
            <w:tcW w:w="0" w:type="auto"/>
            <w:shd w:val="clear" w:color="auto" w:fill="auto"/>
            <w:hideMark/>
          </w:tcPr>
          <w:p w:rsidR="00FB3D03" w:rsidRPr="00FB3D03" w:rsidRDefault="00FB3D03" w:rsidP="00FB3D03">
            <w:pPr>
              <w:widowControl/>
              <w:autoSpaceDE/>
              <w:autoSpaceDN/>
              <w:jc w:val="center"/>
            </w:pPr>
            <w:r w:rsidRPr="00FB3D03">
              <w:t>2.8</w:t>
            </w:r>
          </w:p>
        </w:tc>
        <w:tc>
          <w:tcPr>
            <w:tcW w:w="0" w:type="auto"/>
            <w:shd w:val="clear" w:color="auto" w:fill="auto"/>
            <w:hideMark/>
          </w:tcPr>
          <w:p w:rsidR="00FB3D03" w:rsidRPr="00FB3D03" w:rsidRDefault="00FB3D03" w:rsidP="00FB3D03">
            <w:pPr>
              <w:widowControl/>
              <w:autoSpaceDE/>
              <w:autoSpaceDN/>
              <w:jc w:val="center"/>
            </w:pPr>
            <w:r w:rsidRPr="00FB3D03">
              <w:t>20.7</w:t>
            </w:r>
          </w:p>
        </w:tc>
        <w:tc>
          <w:tcPr>
            <w:tcW w:w="1425" w:type="dxa"/>
            <w:shd w:val="clear" w:color="auto" w:fill="auto"/>
            <w:hideMark/>
          </w:tcPr>
          <w:p w:rsidR="00FB3D03" w:rsidRPr="00FB3D03" w:rsidRDefault="00FB3D03" w:rsidP="00FB3D03">
            <w:pPr>
              <w:widowControl/>
              <w:autoSpaceDE/>
              <w:autoSpaceDN/>
              <w:jc w:val="center"/>
            </w:pPr>
            <w:r w:rsidRPr="00FB3D03">
              <w:t>Healthy</w:t>
            </w:r>
          </w:p>
        </w:tc>
      </w:tr>
      <w:tr w:rsidR="00080F5A" w:rsidRPr="00FB3D03" w:rsidTr="00CC2C0F">
        <w:trPr>
          <w:trHeight w:val="509"/>
        </w:trPr>
        <w:tc>
          <w:tcPr>
            <w:tcW w:w="1816" w:type="dxa"/>
            <w:shd w:val="clear" w:color="auto" w:fill="auto"/>
            <w:hideMark/>
          </w:tcPr>
          <w:p w:rsidR="00FB3D03" w:rsidRPr="00FB3D03" w:rsidRDefault="00FB3D03" w:rsidP="00FB3D03">
            <w:pPr>
              <w:widowControl/>
              <w:autoSpaceDE/>
              <w:autoSpaceDN/>
              <w:jc w:val="center"/>
            </w:pPr>
            <w:r w:rsidRPr="00FB3D03">
              <w:t>BTN</w:t>
            </w:r>
          </w:p>
        </w:tc>
        <w:tc>
          <w:tcPr>
            <w:tcW w:w="1145" w:type="dxa"/>
            <w:shd w:val="clear" w:color="auto" w:fill="auto"/>
            <w:hideMark/>
          </w:tcPr>
          <w:p w:rsidR="00FB3D03" w:rsidRPr="00FB3D03" w:rsidRDefault="00FB3D03" w:rsidP="00FB3D03">
            <w:pPr>
              <w:widowControl/>
              <w:autoSpaceDE/>
              <w:autoSpaceDN/>
              <w:jc w:val="center"/>
            </w:pPr>
            <w:r w:rsidRPr="00FB3D03">
              <w:t>527.79</w:t>
            </w:r>
          </w:p>
        </w:tc>
        <w:tc>
          <w:tcPr>
            <w:tcW w:w="0" w:type="auto"/>
            <w:shd w:val="clear" w:color="auto" w:fill="auto"/>
            <w:hideMark/>
          </w:tcPr>
          <w:p w:rsidR="00FB3D03" w:rsidRPr="00FB3D03" w:rsidRDefault="00FB3D03" w:rsidP="00FB3D03">
            <w:pPr>
              <w:widowControl/>
              <w:autoSpaceDE/>
              <w:autoSpaceDN/>
              <w:jc w:val="center"/>
            </w:pPr>
            <w:r w:rsidRPr="00FB3D03">
              <w:t>3.1</w:t>
            </w:r>
          </w:p>
        </w:tc>
        <w:tc>
          <w:tcPr>
            <w:tcW w:w="0" w:type="auto"/>
            <w:shd w:val="clear" w:color="auto" w:fill="auto"/>
            <w:hideMark/>
          </w:tcPr>
          <w:p w:rsidR="00FB3D03" w:rsidRPr="00FB3D03" w:rsidRDefault="00FB3D03" w:rsidP="00FB3D03">
            <w:pPr>
              <w:widowControl/>
              <w:autoSpaceDE/>
              <w:autoSpaceDN/>
              <w:jc w:val="center"/>
            </w:pPr>
            <w:r w:rsidRPr="00FB3D03">
              <w:t>Good</w:t>
            </w:r>
          </w:p>
        </w:tc>
        <w:tc>
          <w:tcPr>
            <w:tcW w:w="0" w:type="auto"/>
            <w:shd w:val="clear" w:color="auto" w:fill="auto"/>
            <w:hideMark/>
          </w:tcPr>
          <w:p w:rsidR="00FB3D03" w:rsidRPr="00FB3D03" w:rsidRDefault="00FB3D03" w:rsidP="00FB3D03">
            <w:pPr>
              <w:widowControl/>
              <w:autoSpaceDE/>
              <w:autoSpaceDN/>
              <w:jc w:val="center"/>
            </w:pPr>
            <w:r w:rsidRPr="00FB3D03">
              <w:t>1.2</w:t>
            </w:r>
          </w:p>
        </w:tc>
        <w:tc>
          <w:tcPr>
            <w:tcW w:w="0" w:type="auto"/>
            <w:shd w:val="clear" w:color="auto" w:fill="auto"/>
            <w:hideMark/>
          </w:tcPr>
          <w:p w:rsidR="00FB3D03" w:rsidRPr="00FB3D03" w:rsidRDefault="00FB3D03" w:rsidP="00FB3D03">
            <w:pPr>
              <w:widowControl/>
              <w:autoSpaceDE/>
              <w:autoSpaceDN/>
              <w:jc w:val="center"/>
            </w:pPr>
            <w:r w:rsidRPr="00FB3D03">
              <w:t>19.0</w:t>
            </w:r>
          </w:p>
        </w:tc>
        <w:tc>
          <w:tcPr>
            <w:tcW w:w="1425" w:type="dxa"/>
            <w:shd w:val="clear" w:color="auto" w:fill="auto"/>
            <w:hideMark/>
          </w:tcPr>
          <w:p w:rsidR="00FB3D03" w:rsidRPr="00FB3D03" w:rsidRDefault="00FB3D03" w:rsidP="00FB3D03">
            <w:pPr>
              <w:widowControl/>
              <w:autoSpaceDE/>
              <w:autoSpaceDN/>
              <w:jc w:val="center"/>
            </w:pPr>
            <w:r w:rsidRPr="00FB3D03">
              <w:t>Fairly Healthy</w:t>
            </w:r>
          </w:p>
        </w:tc>
      </w:tr>
      <w:tr w:rsidR="00FB3D03" w:rsidRPr="00FB3D03" w:rsidTr="00CC2C0F">
        <w:trPr>
          <w:trHeight w:val="239"/>
        </w:trPr>
        <w:tc>
          <w:tcPr>
            <w:tcW w:w="1816" w:type="dxa"/>
            <w:shd w:val="clear" w:color="auto" w:fill="auto"/>
            <w:hideMark/>
          </w:tcPr>
          <w:p w:rsidR="00FB3D03" w:rsidRPr="00FB3D03" w:rsidRDefault="00FB3D03" w:rsidP="00FB3D03">
            <w:pPr>
              <w:widowControl/>
              <w:autoSpaceDE/>
              <w:autoSpaceDN/>
              <w:jc w:val="center"/>
            </w:pPr>
            <w:r w:rsidRPr="00FB3D03">
              <w:rPr>
                <w:b/>
                <w:bCs/>
              </w:rPr>
              <w:t>Digital Banks</w:t>
            </w:r>
          </w:p>
        </w:tc>
        <w:tc>
          <w:tcPr>
            <w:tcW w:w="1145" w:type="dxa"/>
            <w:shd w:val="clear" w:color="auto" w:fill="auto"/>
            <w:hideMark/>
          </w:tcPr>
          <w:p w:rsidR="00FB3D03" w:rsidRPr="00FB3D03" w:rsidRDefault="00FB3D03" w:rsidP="00FB3D03">
            <w:pPr>
              <w:widowControl/>
              <w:autoSpaceDE/>
              <w:autoSpaceDN/>
              <w:jc w:val="center"/>
            </w:pPr>
          </w:p>
        </w:tc>
        <w:tc>
          <w:tcPr>
            <w:tcW w:w="0" w:type="auto"/>
            <w:shd w:val="clear" w:color="auto" w:fill="auto"/>
            <w:hideMark/>
          </w:tcPr>
          <w:p w:rsidR="00FB3D03" w:rsidRPr="00FB3D03" w:rsidRDefault="00FB3D03" w:rsidP="00FB3D03">
            <w:pPr>
              <w:widowControl/>
              <w:autoSpaceDE/>
              <w:autoSpaceDN/>
              <w:jc w:val="center"/>
            </w:pPr>
          </w:p>
        </w:tc>
        <w:tc>
          <w:tcPr>
            <w:tcW w:w="0" w:type="auto"/>
            <w:shd w:val="clear" w:color="auto" w:fill="auto"/>
            <w:hideMark/>
          </w:tcPr>
          <w:p w:rsidR="00FB3D03" w:rsidRPr="00FB3D03" w:rsidRDefault="00FB3D03" w:rsidP="00FB3D03">
            <w:pPr>
              <w:widowControl/>
              <w:autoSpaceDE/>
              <w:autoSpaceDN/>
              <w:jc w:val="center"/>
            </w:pPr>
          </w:p>
        </w:tc>
        <w:tc>
          <w:tcPr>
            <w:tcW w:w="0" w:type="auto"/>
            <w:shd w:val="clear" w:color="auto" w:fill="auto"/>
            <w:hideMark/>
          </w:tcPr>
          <w:p w:rsidR="00FB3D03" w:rsidRPr="00FB3D03" w:rsidRDefault="00FB3D03" w:rsidP="00FB3D03">
            <w:pPr>
              <w:widowControl/>
              <w:autoSpaceDE/>
              <w:autoSpaceDN/>
              <w:jc w:val="center"/>
            </w:pPr>
          </w:p>
        </w:tc>
        <w:tc>
          <w:tcPr>
            <w:tcW w:w="0" w:type="auto"/>
            <w:shd w:val="clear" w:color="auto" w:fill="auto"/>
            <w:hideMark/>
          </w:tcPr>
          <w:p w:rsidR="00FB3D03" w:rsidRPr="00FB3D03" w:rsidRDefault="00FB3D03" w:rsidP="00FB3D03">
            <w:pPr>
              <w:widowControl/>
              <w:autoSpaceDE/>
              <w:autoSpaceDN/>
              <w:jc w:val="center"/>
            </w:pPr>
          </w:p>
        </w:tc>
        <w:tc>
          <w:tcPr>
            <w:tcW w:w="1425" w:type="dxa"/>
            <w:shd w:val="clear" w:color="auto" w:fill="auto"/>
            <w:hideMark/>
          </w:tcPr>
          <w:p w:rsidR="00FB3D03" w:rsidRPr="00FB3D03" w:rsidRDefault="00FB3D03" w:rsidP="00FB3D03">
            <w:pPr>
              <w:widowControl/>
              <w:autoSpaceDE/>
              <w:autoSpaceDN/>
              <w:jc w:val="center"/>
            </w:pPr>
          </w:p>
        </w:tc>
      </w:tr>
      <w:tr w:rsidR="00080F5A" w:rsidRPr="00FB3D03" w:rsidTr="00440578">
        <w:trPr>
          <w:trHeight w:val="254"/>
        </w:trPr>
        <w:tc>
          <w:tcPr>
            <w:tcW w:w="1816" w:type="dxa"/>
            <w:hideMark/>
          </w:tcPr>
          <w:p w:rsidR="00FB3D03" w:rsidRPr="00FB3D03" w:rsidRDefault="00FB3D03" w:rsidP="00FB3D03">
            <w:pPr>
              <w:widowControl/>
              <w:autoSpaceDE/>
              <w:autoSpaceDN/>
              <w:jc w:val="center"/>
            </w:pPr>
            <w:proofErr w:type="spellStart"/>
            <w:r w:rsidRPr="00FB3D03">
              <w:t>SeaBank</w:t>
            </w:r>
            <w:proofErr w:type="spellEnd"/>
            <w:r w:rsidRPr="00FB3D03">
              <w:t xml:space="preserve"> Indonesia</w:t>
            </w:r>
          </w:p>
        </w:tc>
        <w:tc>
          <w:tcPr>
            <w:tcW w:w="1145" w:type="dxa"/>
            <w:hideMark/>
          </w:tcPr>
          <w:p w:rsidR="00FB3D03" w:rsidRPr="00FB3D03" w:rsidRDefault="00FB3D03" w:rsidP="00FB3D03">
            <w:pPr>
              <w:widowControl/>
              <w:autoSpaceDE/>
              <w:autoSpaceDN/>
              <w:jc w:val="center"/>
            </w:pPr>
            <w:r w:rsidRPr="00FB3D03">
              <w:t>39.21</w:t>
            </w:r>
          </w:p>
        </w:tc>
        <w:tc>
          <w:tcPr>
            <w:tcW w:w="0" w:type="auto"/>
            <w:hideMark/>
          </w:tcPr>
          <w:p w:rsidR="00FB3D03" w:rsidRPr="00FB3D03" w:rsidRDefault="00FB3D03" w:rsidP="00FB3D03">
            <w:pPr>
              <w:widowControl/>
              <w:autoSpaceDE/>
              <w:autoSpaceDN/>
              <w:jc w:val="center"/>
            </w:pPr>
            <w:r w:rsidRPr="00FB3D03">
              <w:t>2.0</w:t>
            </w:r>
          </w:p>
        </w:tc>
        <w:tc>
          <w:tcPr>
            <w:tcW w:w="0" w:type="auto"/>
            <w:hideMark/>
          </w:tcPr>
          <w:p w:rsidR="00FB3D03" w:rsidRPr="00FB3D03" w:rsidRDefault="00FB3D03" w:rsidP="00FB3D03">
            <w:pPr>
              <w:widowControl/>
              <w:autoSpaceDE/>
              <w:autoSpaceDN/>
              <w:jc w:val="center"/>
            </w:pPr>
            <w:r w:rsidRPr="00FB3D03">
              <w:t>Good</w:t>
            </w:r>
          </w:p>
        </w:tc>
        <w:tc>
          <w:tcPr>
            <w:tcW w:w="0" w:type="auto"/>
            <w:hideMark/>
          </w:tcPr>
          <w:p w:rsidR="00FB3D03" w:rsidRPr="00FB3D03" w:rsidRDefault="00FB3D03" w:rsidP="00FB3D03">
            <w:pPr>
              <w:widowControl/>
              <w:autoSpaceDE/>
              <w:autoSpaceDN/>
              <w:jc w:val="center"/>
            </w:pPr>
            <w:r w:rsidRPr="00FB3D03">
              <w:t>1.2</w:t>
            </w:r>
          </w:p>
        </w:tc>
        <w:tc>
          <w:tcPr>
            <w:tcW w:w="0" w:type="auto"/>
            <w:hideMark/>
          </w:tcPr>
          <w:p w:rsidR="00FB3D03" w:rsidRPr="00FB3D03" w:rsidRDefault="00FB3D03" w:rsidP="00FB3D03">
            <w:pPr>
              <w:widowControl/>
              <w:autoSpaceDE/>
              <w:autoSpaceDN/>
              <w:jc w:val="center"/>
            </w:pPr>
            <w:r w:rsidRPr="00FB3D03">
              <w:t>32.0</w:t>
            </w:r>
          </w:p>
        </w:tc>
        <w:tc>
          <w:tcPr>
            <w:tcW w:w="1425" w:type="dxa"/>
            <w:hideMark/>
          </w:tcPr>
          <w:p w:rsidR="00FB3D03" w:rsidRPr="00FB3D03" w:rsidRDefault="00FB3D03" w:rsidP="00FB3D03">
            <w:pPr>
              <w:widowControl/>
              <w:autoSpaceDE/>
              <w:autoSpaceDN/>
              <w:jc w:val="center"/>
            </w:pPr>
            <w:r w:rsidRPr="00FB3D03">
              <w:t>Healthy</w:t>
            </w:r>
          </w:p>
        </w:tc>
      </w:tr>
      <w:tr w:rsidR="00080F5A" w:rsidRPr="00FB3D03" w:rsidTr="00440578">
        <w:trPr>
          <w:trHeight w:val="239"/>
        </w:trPr>
        <w:tc>
          <w:tcPr>
            <w:tcW w:w="1816" w:type="dxa"/>
            <w:hideMark/>
          </w:tcPr>
          <w:p w:rsidR="00FB3D03" w:rsidRPr="00FB3D03" w:rsidRDefault="00FB3D03" w:rsidP="00FB3D03">
            <w:pPr>
              <w:widowControl/>
              <w:autoSpaceDE/>
              <w:autoSpaceDN/>
              <w:jc w:val="center"/>
            </w:pPr>
            <w:r w:rsidRPr="00FB3D03">
              <w:t xml:space="preserve">Bank </w:t>
            </w:r>
            <w:proofErr w:type="spellStart"/>
            <w:r w:rsidRPr="00FB3D03">
              <w:t>Jago</w:t>
            </w:r>
            <w:proofErr w:type="spellEnd"/>
          </w:p>
        </w:tc>
        <w:tc>
          <w:tcPr>
            <w:tcW w:w="1145" w:type="dxa"/>
            <w:hideMark/>
          </w:tcPr>
          <w:p w:rsidR="00FB3D03" w:rsidRPr="00FB3D03" w:rsidRDefault="00FB3D03" w:rsidP="00FB3D03">
            <w:pPr>
              <w:widowControl/>
              <w:autoSpaceDE/>
              <w:autoSpaceDN/>
              <w:jc w:val="center"/>
            </w:pPr>
            <w:r w:rsidRPr="00FB3D03">
              <w:t>38.47</w:t>
            </w:r>
          </w:p>
        </w:tc>
        <w:tc>
          <w:tcPr>
            <w:tcW w:w="0" w:type="auto"/>
            <w:hideMark/>
          </w:tcPr>
          <w:p w:rsidR="00FB3D03" w:rsidRPr="00FB3D03" w:rsidRDefault="00FB3D03" w:rsidP="00FB3D03">
            <w:pPr>
              <w:widowControl/>
              <w:autoSpaceDE/>
              <w:autoSpaceDN/>
              <w:jc w:val="center"/>
            </w:pPr>
            <w:r w:rsidRPr="00FB3D03">
              <w:t>1.0</w:t>
            </w:r>
          </w:p>
        </w:tc>
        <w:tc>
          <w:tcPr>
            <w:tcW w:w="0" w:type="auto"/>
            <w:hideMark/>
          </w:tcPr>
          <w:p w:rsidR="00FB3D03" w:rsidRPr="00FB3D03" w:rsidRDefault="00FB3D03" w:rsidP="00FB3D03">
            <w:pPr>
              <w:widowControl/>
              <w:autoSpaceDE/>
              <w:autoSpaceDN/>
              <w:jc w:val="center"/>
            </w:pPr>
            <w:r w:rsidRPr="00FB3D03">
              <w:t>Good</w:t>
            </w:r>
          </w:p>
        </w:tc>
        <w:tc>
          <w:tcPr>
            <w:tcW w:w="0" w:type="auto"/>
            <w:hideMark/>
          </w:tcPr>
          <w:p w:rsidR="00FB3D03" w:rsidRPr="00FB3D03" w:rsidRDefault="00FB3D03" w:rsidP="00FB3D03">
            <w:pPr>
              <w:widowControl/>
              <w:autoSpaceDE/>
              <w:autoSpaceDN/>
              <w:jc w:val="center"/>
            </w:pPr>
            <w:r w:rsidRPr="00FB3D03">
              <w:t>0.5</w:t>
            </w:r>
          </w:p>
        </w:tc>
        <w:tc>
          <w:tcPr>
            <w:tcW w:w="0" w:type="auto"/>
            <w:hideMark/>
          </w:tcPr>
          <w:p w:rsidR="00FB3D03" w:rsidRPr="00FB3D03" w:rsidRDefault="00FB3D03" w:rsidP="00FB3D03">
            <w:pPr>
              <w:widowControl/>
              <w:autoSpaceDE/>
              <w:autoSpaceDN/>
              <w:jc w:val="center"/>
            </w:pPr>
            <w:r w:rsidRPr="00FB3D03">
              <w:t>45.0</w:t>
            </w:r>
          </w:p>
        </w:tc>
        <w:tc>
          <w:tcPr>
            <w:tcW w:w="1425" w:type="dxa"/>
            <w:hideMark/>
          </w:tcPr>
          <w:p w:rsidR="00FB3D03" w:rsidRPr="00FB3D03" w:rsidRDefault="00FB3D03" w:rsidP="00FB3D03">
            <w:pPr>
              <w:widowControl/>
              <w:autoSpaceDE/>
              <w:autoSpaceDN/>
              <w:jc w:val="center"/>
            </w:pPr>
            <w:r w:rsidRPr="00FB3D03">
              <w:t>Healthy</w:t>
            </w:r>
          </w:p>
        </w:tc>
      </w:tr>
      <w:tr w:rsidR="00080F5A" w:rsidRPr="00FB3D03" w:rsidTr="00440578">
        <w:trPr>
          <w:trHeight w:val="509"/>
        </w:trPr>
        <w:tc>
          <w:tcPr>
            <w:tcW w:w="1816" w:type="dxa"/>
            <w:hideMark/>
          </w:tcPr>
          <w:p w:rsidR="00FB3D03" w:rsidRPr="00FB3D03" w:rsidRDefault="00FB3D03" w:rsidP="00FB3D03">
            <w:pPr>
              <w:widowControl/>
              <w:autoSpaceDE/>
              <w:autoSpaceDN/>
              <w:jc w:val="center"/>
            </w:pPr>
            <w:proofErr w:type="spellStart"/>
            <w:r w:rsidRPr="00FB3D03">
              <w:t>Allo</w:t>
            </w:r>
            <w:proofErr w:type="spellEnd"/>
            <w:r w:rsidRPr="00FB3D03">
              <w:t xml:space="preserve"> Bank Indonesia</w:t>
            </w:r>
          </w:p>
        </w:tc>
        <w:tc>
          <w:tcPr>
            <w:tcW w:w="1145" w:type="dxa"/>
            <w:hideMark/>
          </w:tcPr>
          <w:p w:rsidR="00FB3D03" w:rsidRPr="00FB3D03" w:rsidRDefault="00FB3D03" w:rsidP="00FB3D03">
            <w:pPr>
              <w:widowControl/>
              <w:autoSpaceDE/>
              <w:autoSpaceDN/>
              <w:jc w:val="center"/>
            </w:pPr>
            <w:r w:rsidRPr="00FB3D03">
              <w:t>31.02</w:t>
            </w:r>
          </w:p>
        </w:tc>
        <w:tc>
          <w:tcPr>
            <w:tcW w:w="0" w:type="auto"/>
            <w:hideMark/>
          </w:tcPr>
          <w:p w:rsidR="00FB3D03" w:rsidRPr="00FB3D03" w:rsidRDefault="00FB3D03" w:rsidP="00FB3D03">
            <w:pPr>
              <w:widowControl/>
              <w:autoSpaceDE/>
              <w:autoSpaceDN/>
              <w:jc w:val="center"/>
            </w:pPr>
            <w:r w:rsidRPr="00FB3D03">
              <w:t>1.5</w:t>
            </w:r>
          </w:p>
        </w:tc>
        <w:tc>
          <w:tcPr>
            <w:tcW w:w="0" w:type="auto"/>
            <w:hideMark/>
          </w:tcPr>
          <w:p w:rsidR="00FB3D03" w:rsidRPr="00FB3D03" w:rsidRDefault="00FB3D03" w:rsidP="00FB3D03">
            <w:pPr>
              <w:widowControl/>
              <w:autoSpaceDE/>
              <w:autoSpaceDN/>
              <w:jc w:val="center"/>
            </w:pPr>
            <w:r w:rsidRPr="00FB3D03">
              <w:t>Good</w:t>
            </w:r>
          </w:p>
        </w:tc>
        <w:tc>
          <w:tcPr>
            <w:tcW w:w="0" w:type="auto"/>
            <w:hideMark/>
          </w:tcPr>
          <w:p w:rsidR="00FB3D03" w:rsidRPr="00FB3D03" w:rsidRDefault="00FB3D03" w:rsidP="00FB3D03">
            <w:pPr>
              <w:widowControl/>
              <w:autoSpaceDE/>
              <w:autoSpaceDN/>
              <w:jc w:val="center"/>
            </w:pPr>
            <w:r w:rsidRPr="00FB3D03">
              <w:t>0.3</w:t>
            </w:r>
          </w:p>
        </w:tc>
        <w:tc>
          <w:tcPr>
            <w:tcW w:w="0" w:type="auto"/>
            <w:hideMark/>
          </w:tcPr>
          <w:p w:rsidR="00FB3D03" w:rsidRPr="00FB3D03" w:rsidRDefault="00FB3D03" w:rsidP="00FB3D03">
            <w:pPr>
              <w:widowControl/>
              <w:autoSpaceDE/>
              <w:autoSpaceDN/>
              <w:jc w:val="center"/>
            </w:pPr>
            <w:r w:rsidRPr="00FB3D03">
              <w:t>38.0</w:t>
            </w:r>
          </w:p>
        </w:tc>
        <w:tc>
          <w:tcPr>
            <w:tcW w:w="1425" w:type="dxa"/>
            <w:hideMark/>
          </w:tcPr>
          <w:p w:rsidR="00FB3D03" w:rsidRPr="00FB3D03" w:rsidRDefault="00FB3D03" w:rsidP="00FB3D03">
            <w:pPr>
              <w:widowControl/>
              <w:autoSpaceDE/>
              <w:autoSpaceDN/>
              <w:jc w:val="center"/>
            </w:pPr>
            <w:r w:rsidRPr="00FB3D03">
              <w:t>Fairly Healthy</w:t>
            </w:r>
          </w:p>
        </w:tc>
      </w:tr>
      <w:tr w:rsidR="00080F5A" w:rsidRPr="00FB3D03" w:rsidTr="00440578">
        <w:trPr>
          <w:trHeight w:val="494"/>
        </w:trPr>
        <w:tc>
          <w:tcPr>
            <w:tcW w:w="1816" w:type="dxa"/>
            <w:hideMark/>
          </w:tcPr>
          <w:p w:rsidR="00FB3D03" w:rsidRPr="00FB3D03" w:rsidRDefault="00FB3D03" w:rsidP="00FB3D03">
            <w:pPr>
              <w:widowControl/>
              <w:autoSpaceDE/>
              <w:autoSpaceDN/>
              <w:jc w:val="center"/>
            </w:pPr>
            <w:r w:rsidRPr="00FB3D03">
              <w:t>Bank Neo Commerce</w:t>
            </w:r>
          </w:p>
        </w:tc>
        <w:tc>
          <w:tcPr>
            <w:tcW w:w="1145" w:type="dxa"/>
            <w:hideMark/>
          </w:tcPr>
          <w:p w:rsidR="00FB3D03" w:rsidRPr="00FB3D03" w:rsidRDefault="00FB3D03" w:rsidP="00FB3D03">
            <w:pPr>
              <w:widowControl/>
              <w:autoSpaceDE/>
              <w:autoSpaceDN/>
              <w:jc w:val="center"/>
            </w:pPr>
            <w:r w:rsidRPr="00FB3D03">
              <w:t>24.85</w:t>
            </w:r>
          </w:p>
        </w:tc>
        <w:tc>
          <w:tcPr>
            <w:tcW w:w="0" w:type="auto"/>
            <w:hideMark/>
          </w:tcPr>
          <w:p w:rsidR="00FB3D03" w:rsidRPr="00FB3D03" w:rsidRDefault="00FB3D03" w:rsidP="00FB3D03">
            <w:pPr>
              <w:widowControl/>
              <w:autoSpaceDE/>
              <w:autoSpaceDN/>
              <w:jc w:val="center"/>
            </w:pPr>
            <w:r w:rsidRPr="00FB3D03">
              <w:t>2.9</w:t>
            </w:r>
          </w:p>
        </w:tc>
        <w:tc>
          <w:tcPr>
            <w:tcW w:w="0" w:type="auto"/>
            <w:hideMark/>
          </w:tcPr>
          <w:p w:rsidR="00FB3D03" w:rsidRPr="00FB3D03" w:rsidRDefault="00FB3D03" w:rsidP="00FB3D03">
            <w:pPr>
              <w:widowControl/>
              <w:autoSpaceDE/>
              <w:autoSpaceDN/>
              <w:jc w:val="center"/>
            </w:pPr>
            <w:r w:rsidRPr="00FB3D03">
              <w:t>Good</w:t>
            </w:r>
          </w:p>
        </w:tc>
        <w:tc>
          <w:tcPr>
            <w:tcW w:w="0" w:type="auto"/>
            <w:hideMark/>
          </w:tcPr>
          <w:p w:rsidR="00FB3D03" w:rsidRPr="00FB3D03" w:rsidRDefault="00FB3D03" w:rsidP="00FB3D03">
            <w:pPr>
              <w:widowControl/>
              <w:autoSpaceDE/>
              <w:autoSpaceDN/>
              <w:jc w:val="center"/>
            </w:pPr>
            <w:r w:rsidRPr="00FB3D03">
              <w:t>3.4</w:t>
            </w:r>
          </w:p>
        </w:tc>
        <w:tc>
          <w:tcPr>
            <w:tcW w:w="0" w:type="auto"/>
            <w:hideMark/>
          </w:tcPr>
          <w:p w:rsidR="00FB3D03" w:rsidRPr="00FB3D03" w:rsidRDefault="00FB3D03" w:rsidP="00FB3D03">
            <w:pPr>
              <w:widowControl/>
              <w:autoSpaceDE/>
              <w:autoSpaceDN/>
              <w:jc w:val="center"/>
            </w:pPr>
            <w:r w:rsidRPr="00FB3D03">
              <w:t>31.0</w:t>
            </w:r>
          </w:p>
        </w:tc>
        <w:tc>
          <w:tcPr>
            <w:tcW w:w="1425" w:type="dxa"/>
            <w:hideMark/>
          </w:tcPr>
          <w:p w:rsidR="00FB3D03" w:rsidRPr="00FB3D03" w:rsidRDefault="00FB3D03" w:rsidP="00FB3D03">
            <w:pPr>
              <w:widowControl/>
              <w:autoSpaceDE/>
              <w:autoSpaceDN/>
              <w:jc w:val="center"/>
            </w:pPr>
            <w:r w:rsidRPr="00FB3D03">
              <w:t>Healthy</w:t>
            </w:r>
          </w:p>
        </w:tc>
      </w:tr>
      <w:tr w:rsidR="00080F5A" w:rsidRPr="00FB3D03" w:rsidTr="00440578">
        <w:trPr>
          <w:trHeight w:val="509"/>
        </w:trPr>
        <w:tc>
          <w:tcPr>
            <w:tcW w:w="1816" w:type="dxa"/>
            <w:hideMark/>
          </w:tcPr>
          <w:p w:rsidR="00FB3D03" w:rsidRPr="00FB3D03" w:rsidRDefault="00FB3D03" w:rsidP="00FB3D03">
            <w:pPr>
              <w:widowControl/>
              <w:autoSpaceDE/>
              <w:autoSpaceDN/>
              <w:jc w:val="center"/>
            </w:pPr>
            <w:r w:rsidRPr="00FB3D03">
              <w:t>BCA Digital (</w:t>
            </w:r>
            <w:proofErr w:type="spellStart"/>
            <w:r w:rsidRPr="00FB3D03">
              <w:t>blu</w:t>
            </w:r>
            <w:proofErr w:type="spellEnd"/>
            <w:r w:rsidRPr="00FB3D03">
              <w:t>)</w:t>
            </w:r>
          </w:p>
        </w:tc>
        <w:tc>
          <w:tcPr>
            <w:tcW w:w="1145" w:type="dxa"/>
            <w:hideMark/>
          </w:tcPr>
          <w:p w:rsidR="00FB3D03" w:rsidRPr="00FB3D03" w:rsidRDefault="00FB3D03" w:rsidP="00FB3D03">
            <w:pPr>
              <w:widowControl/>
              <w:autoSpaceDE/>
              <w:autoSpaceDN/>
              <w:jc w:val="center"/>
            </w:pPr>
            <w:r w:rsidRPr="00FB3D03">
              <w:t>17.63</w:t>
            </w:r>
          </w:p>
        </w:tc>
        <w:tc>
          <w:tcPr>
            <w:tcW w:w="0" w:type="auto"/>
            <w:hideMark/>
          </w:tcPr>
          <w:p w:rsidR="00FB3D03" w:rsidRPr="00FB3D03" w:rsidRDefault="00FB3D03" w:rsidP="00FB3D03">
            <w:pPr>
              <w:widowControl/>
              <w:autoSpaceDE/>
              <w:autoSpaceDN/>
              <w:jc w:val="center"/>
            </w:pPr>
            <w:r w:rsidRPr="00FB3D03">
              <w:t>1.2</w:t>
            </w:r>
          </w:p>
        </w:tc>
        <w:tc>
          <w:tcPr>
            <w:tcW w:w="0" w:type="auto"/>
            <w:hideMark/>
          </w:tcPr>
          <w:p w:rsidR="00FB3D03" w:rsidRPr="00FB3D03" w:rsidRDefault="00FB3D03" w:rsidP="00FB3D03">
            <w:pPr>
              <w:widowControl/>
              <w:autoSpaceDE/>
              <w:autoSpaceDN/>
              <w:jc w:val="center"/>
            </w:pPr>
            <w:r w:rsidRPr="00FB3D03">
              <w:t>Very Good</w:t>
            </w:r>
          </w:p>
        </w:tc>
        <w:tc>
          <w:tcPr>
            <w:tcW w:w="0" w:type="auto"/>
            <w:hideMark/>
          </w:tcPr>
          <w:p w:rsidR="00FB3D03" w:rsidRPr="00FB3D03" w:rsidRDefault="00FB3D03" w:rsidP="00FB3D03">
            <w:pPr>
              <w:widowControl/>
              <w:autoSpaceDE/>
              <w:autoSpaceDN/>
              <w:jc w:val="center"/>
            </w:pPr>
            <w:r w:rsidRPr="00FB3D03">
              <w:t>0.8</w:t>
            </w:r>
          </w:p>
        </w:tc>
        <w:tc>
          <w:tcPr>
            <w:tcW w:w="0" w:type="auto"/>
            <w:hideMark/>
          </w:tcPr>
          <w:p w:rsidR="00FB3D03" w:rsidRPr="00FB3D03" w:rsidRDefault="00FB3D03" w:rsidP="00FB3D03">
            <w:pPr>
              <w:widowControl/>
              <w:autoSpaceDE/>
              <w:autoSpaceDN/>
              <w:jc w:val="center"/>
            </w:pPr>
            <w:r w:rsidRPr="00FB3D03">
              <w:t>60.0</w:t>
            </w:r>
          </w:p>
        </w:tc>
        <w:tc>
          <w:tcPr>
            <w:tcW w:w="1425" w:type="dxa"/>
            <w:hideMark/>
          </w:tcPr>
          <w:p w:rsidR="00FB3D03" w:rsidRPr="00FB3D03" w:rsidRDefault="00FB3D03" w:rsidP="00FB3D03">
            <w:pPr>
              <w:widowControl/>
              <w:autoSpaceDE/>
              <w:autoSpaceDN/>
              <w:jc w:val="center"/>
            </w:pPr>
            <w:r w:rsidRPr="00FB3D03">
              <w:t>Health</w:t>
            </w:r>
          </w:p>
        </w:tc>
      </w:tr>
    </w:tbl>
    <w:p w:rsidR="00440578" w:rsidRDefault="00FB3D03" w:rsidP="00440578">
      <w:pPr>
        <w:spacing w:line="360" w:lineRule="auto"/>
        <w:contextualSpacing/>
        <w:jc w:val="both"/>
      </w:pPr>
      <w:r>
        <w:rPr>
          <w:bCs/>
        </w:rPr>
        <w:t xml:space="preserve">  </w:t>
      </w:r>
      <w:proofErr w:type="gramStart"/>
      <w:r w:rsidR="00440578" w:rsidRPr="00B436EA">
        <w:rPr>
          <w:sz w:val="24"/>
          <w:szCs w:val="24"/>
        </w:rPr>
        <w:t>Source :</w:t>
      </w:r>
      <w:proofErr w:type="gramEnd"/>
      <w:r w:rsidR="00440578" w:rsidRPr="00B436EA">
        <w:rPr>
          <w:sz w:val="24"/>
          <w:szCs w:val="24"/>
        </w:rPr>
        <w:t xml:space="preserve"> </w:t>
      </w:r>
      <w:r w:rsidR="00440578" w:rsidRPr="00440578">
        <w:rPr>
          <w:sz w:val="24"/>
          <w:szCs w:val="24"/>
        </w:rPr>
        <w:t>Financial Services Authority of Indonesia (OJK)  2025</w:t>
      </w:r>
    </w:p>
    <w:p w:rsidR="00080F5A" w:rsidRDefault="0052542A" w:rsidP="001F5548">
      <w:pPr>
        <w:pStyle w:val="ds-markdown-paragraph"/>
        <w:shd w:val="clear" w:color="auto" w:fill="FFFFFF"/>
        <w:spacing w:line="360" w:lineRule="auto"/>
        <w:contextualSpacing/>
        <w:jc w:val="both"/>
      </w:pPr>
      <w:r w:rsidRPr="0052542A">
        <w:t>The strong growth and performance of digital banks are highly important for Indonesia because they play a strategic role in accelerating national financial inclusion, particularly for underserved, unbanked, and geographically remote populations. Indonesia’s large archipelagic structure presents significant challenges for traditional branch-based banking expansion, whereas digital banks can provide fast, low-cost, and accessible financial services through mobile technology. This enables broader public access to savings, payments, financing, and investment services, supporting economic participation across diverse social segments. In addition, digital banks contribute to reducing transaction costs, increasing efficiency in financial intermediation, and supporting the government’s agenda for digital economic transformation.</w:t>
      </w:r>
    </w:p>
    <w:p w:rsidR="00080F5A" w:rsidRDefault="0052542A" w:rsidP="001F5548">
      <w:pPr>
        <w:pStyle w:val="ds-markdown-paragraph"/>
        <w:shd w:val="clear" w:color="auto" w:fill="FFFFFF"/>
        <w:spacing w:line="360" w:lineRule="auto"/>
        <w:ind w:firstLine="720"/>
        <w:contextualSpacing/>
        <w:jc w:val="both"/>
      </w:pPr>
      <w:r w:rsidRPr="0052542A">
        <w:t xml:space="preserve">Furthermore, high-performing digital banks stimulate innovation, strengthen competition in the banking sector, and encourage conventional banks to modernize their services. Their integration with </w:t>
      </w:r>
      <w:proofErr w:type="spellStart"/>
      <w:r w:rsidRPr="0052542A">
        <w:t>fintech</w:t>
      </w:r>
      <w:proofErr w:type="spellEnd"/>
      <w:r w:rsidRPr="0052542A">
        <w:t xml:space="preserve">, e-commerce, MSMEs, and digital payment ecosystems supports broader economic productivity and entrepreneurship growth. Strong digital banking performance also enhances Indonesia’s competitiveness in the regional digital economy, promotes cashless society development, and strengthens resilience in modern financial infrastructure. Therefore, the advancement of digital </w:t>
      </w:r>
      <w:r w:rsidRPr="0052542A">
        <w:lastRenderedPageBreak/>
        <w:t>banking is not only beneficial for the banking industry itself but also serves as a critical driver of inclusive economic growth, technological modernization, and long-term national competitiveness.</w:t>
      </w:r>
    </w:p>
    <w:p w:rsidR="003A0000" w:rsidRDefault="00080F5A" w:rsidP="00AC440C">
      <w:pPr>
        <w:pStyle w:val="ds-markdown-paragraph"/>
        <w:shd w:val="clear" w:color="auto" w:fill="FFFFFF"/>
        <w:spacing w:line="360" w:lineRule="auto"/>
        <w:ind w:firstLine="720"/>
        <w:contextualSpacing/>
        <w:jc w:val="both"/>
      </w:pPr>
      <w:r w:rsidRPr="00080F5A">
        <w:t>This research integrates both financial-based and digital-based performance measurements to provide a more comprehensive and strategic evaluation of Indonesia’s digital banking industry. By combining traditional financial indicators with digital capability factors such as innovation, market penetration, customer growth, and technological scalability, this study offers a deeper understanding of the true drivers of digital bank competitiveness. Such a multidimensional approach is essential for developing more effective SWOT-based strategic execution that can enhance financial resilience, strengthen digital performance, and ensure the long-term sustainability of digital banks. Ultimately, this research contributes valuable insights for regulators, investors, and industry leaders in supporting the successful transformation of Indonesia’s banking sector within the evolving digital economy.</w:t>
      </w:r>
    </w:p>
    <w:p w:rsidR="003A0000" w:rsidRPr="003A0000" w:rsidRDefault="00C97CEE" w:rsidP="003A0000">
      <w:pPr>
        <w:widowControl/>
        <w:tabs>
          <w:tab w:val="left" w:pos="426"/>
        </w:tabs>
        <w:autoSpaceDE/>
        <w:autoSpaceDN/>
        <w:spacing w:line="480" w:lineRule="auto"/>
        <w:ind w:right="28"/>
        <w:contextualSpacing/>
        <w:jc w:val="both"/>
        <w:rPr>
          <w:b/>
          <w:sz w:val="24"/>
          <w:szCs w:val="24"/>
        </w:rPr>
      </w:pPr>
      <w:r w:rsidRPr="00C97CEE">
        <w:rPr>
          <w:b/>
          <w:sz w:val="24"/>
          <w:szCs w:val="24"/>
        </w:rPr>
        <w:t>THEORITICAL REVIEW</w:t>
      </w:r>
      <w:bookmarkStart w:id="0" w:name="Resource_Based_View_Theory"/>
      <w:bookmarkEnd w:id="0"/>
    </w:p>
    <w:p w:rsidR="003A0000" w:rsidRDefault="003A0000" w:rsidP="003A0000">
      <w:pPr>
        <w:pStyle w:val="Heading2"/>
        <w:spacing w:line="480" w:lineRule="auto"/>
        <w:ind w:left="0" w:right="28"/>
        <w:contextualSpacing/>
        <w:rPr>
          <w:i w:val="0"/>
          <w:spacing w:val="-1"/>
        </w:rPr>
      </w:pPr>
      <w:r w:rsidRPr="003A0000">
        <w:rPr>
          <w:i w:val="0"/>
          <w:spacing w:val="-1"/>
        </w:rPr>
        <w:t>Digital</w:t>
      </w:r>
      <w:r>
        <w:rPr>
          <w:i w:val="0"/>
          <w:spacing w:val="-1"/>
        </w:rPr>
        <w:t xml:space="preserve"> Banking</w:t>
      </w:r>
    </w:p>
    <w:p w:rsidR="003A0000" w:rsidRPr="003A0000" w:rsidRDefault="003A0000" w:rsidP="003A0000">
      <w:pPr>
        <w:pStyle w:val="Heading2"/>
        <w:spacing w:line="360" w:lineRule="auto"/>
        <w:ind w:left="0" w:right="29" w:firstLine="720"/>
        <w:rPr>
          <w:b w:val="0"/>
          <w:i w:val="0"/>
        </w:rPr>
      </w:pPr>
      <w:r w:rsidRPr="003A0000">
        <w:rPr>
          <w:b w:val="0"/>
          <w:i w:val="0"/>
        </w:rPr>
        <w:t xml:space="preserve">Digital banking in recent literature is widely explained through the integration of technology adoption theories, digital transformation theory, and </w:t>
      </w:r>
      <w:proofErr w:type="spellStart"/>
      <w:r w:rsidRPr="003A0000">
        <w:rPr>
          <w:b w:val="0"/>
          <w:i w:val="0"/>
        </w:rPr>
        <w:t>fintech</w:t>
      </w:r>
      <w:proofErr w:type="spellEnd"/>
      <w:r w:rsidRPr="003A0000">
        <w:rPr>
          <w:b w:val="0"/>
          <w:i w:val="0"/>
        </w:rPr>
        <w:t xml:space="preserve"> ecosystem theory. Recent studies emphasize that digital banking adoption is strongly influenced by perceived usefulness, trust, and digital service quality, which align with extended versions of the Technology Acceptance Model in the digital finance era. For example, recent research shows that digital banking adoption is significantly driven by user experience, perceived risk, and platform convenience in emerging</w:t>
      </w:r>
      <w:r>
        <w:rPr>
          <w:b w:val="0"/>
          <w:i w:val="0"/>
        </w:rPr>
        <w:t xml:space="preserve"> markets</w:t>
      </w:r>
      <w:r w:rsidR="001F5548">
        <w:rPr>
          <w:b w:val="0"/>
          <w:i w:val="0"/>
        </w:rPr>
        <w:t xml:space="preserve"> </w:t>
      </w:r>
      <w:r w:rsidR="001F5548" w:rsidRPr="001F5548">
        <w:rPr>
          <w:b w:val="0"/>
          <w:i w:val="0"/>
          <w:color w:val="FF0000"/>
        </w:rPr>
        <w:fldChar w:fldCharType="begin" w:fldLock="1"/>
      </w:r>
      <w:r w:rsidR="001F5548" w:rsidRPr="001F5548">
        <w:rPr>
          <w:b w:val="0"/>
          <w:i w:val="0"/>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1F5548" w:rsidRPr="001F5548">
        <w:rPr>
          <w:b w:val="0"/>
          <w:i w:val="0"/>
          <w:color w:val="FF0000"/>
        </w:rPr>
        <w:fldChar w:fldCharType="separate"/>
      </w:r>
      <w:r w:rsidR="001F5548" w:rsidRPr="001F5548">
        <w:rPr>
          <w:i w:val="0"/>
        </w:rPr>
        <w:t>(</w:t>
      </w:r>
      <w:r w:rsidR="001F5548" w:rsidRPr="001F5548">
        <w:rPr>
          <w:b w:val="0"/>
          <w:i w:val="0"/>
        </w:rPr>
        <w:t xml:space="preserve"> </w:t>
      </w:r>
      <w:proofErr w:type="spellStart"/>
      <w:r w:rsidR="001F5548" w:rsidRPr="001F5548">
        <w:rPr>
          <w:b w:val="0"/>
          <w:i w:val="0"/>
        </w:rPr>
        <w:t>Nugroho</w:t>
      </w:r>
      <w:proofErr w:type="spellEnd"/>
      <w:r w:rsidR="001F5548" w:rsidRPr="001F5548">
        <w:rPr>
          <w:b w:val="0"/>
          <w:i w:val="0"/>
        </w:rPr>
        <w:t xml:space="preserve"> et al., 2025</w:t>
      </w:r>
      <w:r w:rsidR="001F5548" w:rsidRPr="001F5548">
        <w:rPr>
          <w:i w:val="0"/>
        </w:rPr>
        <w:t>)</w:t>
      </w:r>
      <w:r w:rsidR="001F5548" w:rsidRPr="001F5548">
        <w:rPr>
          <w:b w:val="0"/>
          <w:i w:val="0"/>
          <w:color w:val="FF0000"/>
        </w:rPr>
        <w:fldChar w:fldCharType="end"/>
      </w:r>
      <w:r w:rsidR="001F5548" w:rsidRPr="001F5548">
        <w:rPr>
          <w:i w:val="0"/>
        </w:rPr>
        <w:t>.</w:t>
      </w:r>
      <w:r w:rsidR="001F5548">
        <w:t xml:space="preserve"> </w:t>
      </w:r>
      <w:r w:rsidRPr="003A0000">
        <w:rPr>
          <w:b w:val="0"/>
          <w:i w:val="0"/>
        </w:rPr>
        <w:t>This indicates that user behavioral intention remains a central determinant of digital banking growth in Indonesia.</w:t>
      </w:r>
      <w:r>
        <w:rPr>
          <w:b w:val="0"/>
          <w:i w:val="0"/>
        </w:rPr>
        <w:t xml:space="preserve"> </w:t>
      </w:r>
      <w:r w:rsidRPr="003A0000">
        <w:rPr>
          <w:b w:val="0"/>
          <w:i w:val="0"/>
        </w:rPr>
        <w:t xml:space="preserve">From a broader perspective, digital banking is increasingly viewed as part of a digital financial ecosystem transformation, where banks no longer operate as standalone institutions but as platform-based service providers. Studies highlight that </w:t>
      </w:r>
      <w:proofErr w:type="spellStart"/>
      <w:r w:rsidRPr="003A0000">
        <w:rPr>
          <w:b w:val="0"/>
          <w:i w:val="0"/>
        </w:rPr>
        <w:t>fintech</w:t>
      </w:r>
      <w:proofErr w:type="spellEnd"/>
      <w:r w:rsidRPr="003A0000">
        <w:rPr>
          <w:b w:val="0"/>
          <w:i w:val="0"/>
        </w:rPr>
        <w:t xml:space="preserve"> integration, digital payments, and open banking structures reshape traditional banking business models into interconnected eco</w:t>
      </w:r>
      <w:r>
        <w:rPr>
          <w:b w:val="0"/>
          <w:i w:val="0"/>
        </w:rPr>
        <w:t>systems</w:t>
      </w:r>
      <w:r w:rsidR="001F5548" w:rsidRPr="001F5548">
        <w:rPr>
          <w:b w:val="0"/>
          <w:i w:val="0"/>
          <w:color w:val="FF0000"/>
        </w:rPr>
        <w:fldChar w:fldCharType="begin" w:fldLock="1"/>
      </w:r>
      <w:r w:rsidR="001F5548" w:rsidRPr="001F5548">
        <w:rPr>
          <w:b w:val="0"/>
          <w:i w:val="0"/>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1F5548" w:rsidRPr="001F5548">
        <w:rPr>
          <w:b w:val="0"/>
          <w:i w:val="0"/>
          <w:color w:val="FF0000"/>
        </w:rPr>
        <w:fldChar w:fldCharType="separate"/>
      </w:r>
      <w:r w:rsidR="001F5548">
        <w:rPr>
          <w:i w:val="0"/>
        </w:rPr>
        <w:t xml:space="preserve"> </w:t>
      </w:r>
      <w:r w:rsidR="001F5548">
        <w:rPr>
          <w:b w:val="0"/>
          <w:i w:val="0"/>
        </w:rPr>
        <w:t>(</w:t>
      </w:r>
      <w:proofErr w:type="spellStart"/>
      <w:r w:rsidR="001F5548">
        <w:rPr>
          <w:b w:val="0"/>
          <w:i w:val="0"/>
        </w:rPr>
        <w:t>Kirowati</w:t>
      </w:r>
      <w:proofErr w:type="spellEnd"/>
      <w:r w:rsidR="001F5548">
        <w:rPr>
          <w:b w:val="0"/>
          <w:i w:val="0"/>
        </w:rPr>
        <w:t xml:space="preserve"> et al., 2025</w:t>
      </w:r>
      <w:r w:rsidR="001F5548" w:rsidRPr="001F5548">
        <w:rPr>
          <w:b w:val="0"/>
          <w:i w:val="0"/>
          <w:color w:val="FF0000"/>
        </w:rPr>
        <w:fldChar w:fldCharType="end"/>
      </w:r>
      <w:r w:rsidRPr="003A0000">
        <w:rPr>
          <w:b w:val="0"/>
          <w:i w:val="0"/>
        </w:rPr>
        <w:t>). This transformation is further supported by findings that digitalization enhances banking efficiency, competitiveness, and profitability through improved serv</w:t>
      </w:r>
      <w:r w:rsidR="001F5548">
        <w:rPr>
          <w:b w:val="0"/>
          <w:i w:val="0"/>
        </w:rPr>
        <w:t>ice delivery and cost reduction</w:t>
      </w:r>
      <w:r w:rsidR="001F5548" w:rsidRPr="001F5548">
        <w:rPr>
          <w:b w:val="0"/>
          <w:i w:val="0"/>
          <w:color w:val="FF0000"/>
        </w:rPr>
        <w:fldChar w:fldCharType="begin" w:fldLock="1"/>
      </w:r>
      <w:r w:rsidR="001F5548" w:rsidRPr="001F5548">
        <w:rPr>
          <w:b w:val="0"/>
          <w:i w:val="0"/>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1F5548" w:rsidRPr="001F5548">
        <w:rPr>
          <w:b w:val="0"/>
          <w:i w:val="0"/>
          <w:color w:val="FF0000"/>
        </w:rPr>
        <w:fldChar w:fldCharType="separate"/>
      </w:r>
      <w:r w:rsidR="001F5548">
        <w:rPr>
          <w:i w:val="0"/>
        </w:rPr>
        <w:t xml:space="preserve"> </w:t>
      </w:r>
      <w:r w:rsidR="001F5548">
        <w:rPr>
          <w:b w:val="0"/>
          <w:i w:val="0"/>
        </w:rPr>
        <w:t>(</w:t>
      </w:r>
      <w:r w:rsidR="001F5548" w:rsidRPr="003A0000">
        <w:rPr>
          <w:b w:val="0"/>
          <w:i w:val="0"/>
        </w:rPr>
        <w:t xml:space="preserve">Sari &amp; </w:t>
      </w:r>
      <w:proofErr w:type="spellStart"/>
      <w:r w:rsidR="001F5548">
        <w:rPr>
          <w:b w:val="0"/>
          <w:i w:val="0"/>
        </w:rPr>
        <w:t>Yanto</w:t>
      </w:r>
      <w:proofErr w:type="spellEnd"/>
      <w:r w:rsidR="001F5548">
        <w:rPr>
          <w:b w:val="0"/>
          <w:i w:val="0"/>
        </w:rPr>
        <w:t xml:space="preserve">, 2024 </w:t>
      </w:r>
      <w:r w:rsidR="001F5548" w:rsidRPr="001F5548">
        <w:rPr>
          <w:b w:val="0"/>
          <w:i w:val="0"/>
          <w:color w:val="FF0000"/>
        </w:rPr>
        <w:fldChar w:fldCharType="end"/>
      </w:r>
      <w:r w:rsidR="001F5548" w:rsidRPr="003A0000">
        <w:rPr>
          <w:b w:val="0"/>
          <w:i w:val="0"/>
        </w:rPr>
        <w:t>).</w:t>
      </w:r>
    </w:p>
    <w:p w:rsidR="001268E2" w:rsidRDefault="003A0000" w:rsidP="00AC440C">
      <w:pPr>
        <w:pStyle w:val="Heading2"/>
        <w:spacing w:line="360" w:lineRule="auto"/>
        <w:ind w:left="0" w:right="29" w:firstLine="720"/>
        <w:rPr>
          <w:b w:val="0"/>
          <w:i w:val="0"/>
          <w:color w:val="FF0000"/>
        </w:rPr>
      </w:pPr>
      <w:r w:rsidRPr="003A0000">
        <w:rPr>
          <w:b w:val="0"/>
          <w:i w:val="0"/>
        </w:rPr>
        <w:t>In addition, recent digital transformation literature explains that banking institutions are undergoing structural shifts driven by artificial intelligence, big data analytics, and platform-based financial services. Digital finance is now recognized as a key driver of innovation, enabling banks to expand services beyond traditional banking into integrated financial ecosystems such as payments, le</w:t>
      </w:r>
      <w:r w:rsidR="001F5548">
        <w:rPr>
          <w:b w:val="0"/>
          <w:i w:val="0"/>
        </w:rPr>
        <w:t>nding, and investment platforms</w:t>
      </w:r>
      <w:r w:rsidR="001F5548" w:rsidRPr="001F5548">
        <w:rPr>
          <w:b w:val="0"/>
          <w:i w:val="0"/>
          <w:color w:val="FF0000"/>
        </w:rPr>
        <w:fldChar w:fldCharType="begin" w:fldLock="1"/>
      </w:r>
      <w:r w:rsidR="001F5548" w:rsidRPr="001F5548">
        <w:rPr>
          <w:b w:val="0"/>
          <w:i w:val="0"/>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1F5548" w:rsidRPr="001F5548">
        <w:rPr>
          <w:b w:val="0"/>
          <w:i w:val="0"/>
          <w:color w:val="FF0000"/>
        </w:rPr>
        <w:fldChar w:fldCharType="separate"/>
      </w:r>
      <w:r w:rsidR="001F5548">
        <w:rPr>
          <w:i w:val="0"/>
        </w:rPr>
        <w:t xml:space="preserve"> </w:t>
      </w:r>
      <w:r w:rsidR="001F5548">
        <w:rPr>
          <w:b w:val="0"/>
          <w:i w:val="0"/>
        </w:rPr>
        <w:t>(</w:t>
      </w:r>
      <w:r w:rsidR="001F5548" w:rsidRPr="003A0000">
        <w:rPr>
          <w:b w:val="0"/>
          <w:i w:val="0"/>
        </w:rPr>
        <w:t>Cao et al., 2020</w:t>
      </w:r>
      <w:r w:rsidR="001F5548" w:rsidRPr="001F5548">
        <w:rPr>
          <w:b w:val="0"/>
          <w:i w:val="0"/>
          <w:color w:val="FF0000"/>
        </w:rPr>
        <w:fldChar w:fldCharType="end"/>
      </w:r>
      <w:r w:rsidR="001F5548" w:rsidRPr="003A0000">
        <w:rPr>
          <w:b w:val="0"/>
          <w:i w:val="0"/>
        </w:rPr>
        <w:t>).</w:t>
      </w:r>
      <w:r w:rsidRPr="003A0000">
        <w:rPr>
          <w:b w:val="0"/>
          <w:i w:val="0"/>
        </w:rPr>
        <w:t xml:space="preserve"> This evolution strengthens the argument that digital capability has become a strategic resource that directly impacts firm performance and </w:t>
      </w:r>
      <w:r w:rsidRPr="003A0000">
        <w:rPr>
          <w:b w:val="0"/>
          <w:i w:val="0"/>
        </w:rPr>
        <w:lastRenderedPageBreak/>
        <w:t xml:space="preserve">competitiveness in the banking sector </w:t>
      </w:r>
      <w:r w:rsidRPr="009235CC">
        <w:rPr>
          <w:b w:val="0"/>
          <w:i w:val="0"/>
          <w:color w:val="FF0000"/>
        </w:rPr>
        <w:fldChar w:fldCharType="begin" w:fldLock="1"/>
      </w:r>
      <w:r w:rsidRPr="009235CC">
        <w:rPr>
          <w:b w:val="0"/>
          <w:i w:val="0"/>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Pr="009235CC">
        <w:rPr>
          <w:b w:val="0"/>
          <w:i w:val="0"/>
          <w:color w:val="FF0000"/>
        </w:rPr>
        <w:fldChar w:fldCharType="separate"/>
      </w:r>
      <w:r w:rsidR="00CF48E9">
        <w:rPr>
          <w:b w:val="0"/>
          <w:i w:val="0"/>
        </w:rPr>
        <w:t>(</w:t>
      </w:r>
      <w:proofErr w:type="spellStart"/>
      <w:r w:rsidR="001F5548" w:rsidRPr="003A0000">
        <w:rPr>
          <w:b w:val="0"/>
          <w:i w:val="0"/>
        </w:rPr>
        <w:t>H</w:t>
      </w:r>
      <w:r w:rsidR="001F5548">
        <w:rPr>
          <w:b w:val="0"/>
          <w:i w:val="0"/>
        </w:rPr>
        <w:t>armelani</w:t>
      </w:r>
      <w:proofErr w:type="spellEnd"/>
      <w:r w:rsidR="001F5548">
        <w:rPr>
          <w:b w:val="0"/>
          <w:i w:val="0"/>
        </w:rPr>
        <w:t xml:space="preserve"> &amp; </w:t>
      </w:r>
      <w:proofErr w:type="spellStart"/>
      <w:r w:rsidR="001F5548">
        <w:rPr>
          <w:b w:val="0"/>
          <w:i w:val="0"/>
        </w:rPr>
        <w:t>Cahyaningtyas</w:t>
      </w:r>
      <w:proofErr w:type="spellEnd"/>
      <w:r w:rsidR="001F5548">
        <w:rPr>
          <w:b w:val="0"/>
          <w:i w:val="0"/>
        </w:rPr>
        <w:t>, 2024</w:t>
      </w:r>
      <w:r w:rsidR="00CF48E9">
        <w:rPr>
          <w:b w:val="0"/>
          <w:i w:val="0"/>
        </w:rPr>
        <w:t>)</w:t>
      </w:r>
      <w:r w:rsidR="001F5548">
        <w:rPr>
          <w:b w:val="0"/>
          <w:i w:val="0"/>
        </w:rPr>
        <w:t xml:space="preserve"> </w:t>
      </w:r>
      <w:r w:rsidR="001F5548" w:rsidRPr="003A0000">
        <w:rPr>
          <w:b w:val="0"/>
          <w:i w:val="0"/>
          <w:color w:val="FF0000"/>
        </w:rPr>
        <w:t xml:space="preserve"> </w:t>
      </w:r>
      <w:r w:rsidRPr="009235CC">
        <w:rPr>
          <w:b w:val="0"/>
          <w:i w:val="0"/>
          <w:color w:val="FF0000"/>
        </w:rPr>
        <w:fldChar w:fldCharType="end"/>
      </w:r>
      <w:r w:rsidRPr="003A0000">
        <w:rPr>
          <w:b w:val="0"/>
          <w:i w:val="0"/>
        </w:rPr>
        <w:t>.</w:t>
      </w:r>
    </w:p>
    <w:p w:rsidR="00AC440C" w:rsidRPr="009235CC" w:rsidRDefault="00AC440C" w:rsidP="00AC440C">
      <w:pPr>
        <w:pStyle w:val="Heading2"/>
        <w:spacing w:line="360" w:lineRule="auto"/>
        <w:ind w:left="0" w:right="29" w:firstLine="720"/>
        <w:rPr>
          <w:b w:val="0"/>
          <w:i w:val="0"/>
          <w:color w:val="FF0000"/>
        </w:rPr>
      </w:pPr>
    </w:p>
    <w:p w:rsidR="00944881" w:rsidRDefault="00944881" w:rsidP="00944881">
      <w:pPr>
        <w:pStyle w:val="Heading1"/>
        <w:ind w:left="0"/>
      </w:pPr>
      <w:r>
        <w:rPr>
          <w:rStyle w:val="Strong"/>
          <w:b/>
          <w:bCs/>
        </w:rPr>
        <w:t xml:space="preserve">Financial Performance </w:t>
      </w:r>
      <w:r w:rsidR="00F7610E">
        <w:rPr>
          <w:rStyle w:val="Strong"/>
          <w:b/>
          <w:bCs/>
        </w:rPr>
        <w:t>of Digital Banks</w:t>
      </w:r>
    </w:p>
    <w:p w:rsidR="00944881" w:rsidRPr="00944881" w:rsidRDefault="00944881" w:rsidP="00944881">
      <w:pPr>
        <w:pStyle w:val="NormalWeb"/>
        <w:spacing w:line="360" w:lineRule="auto"/>
        <w:ind w:firstLine="720"/>
        <w:contextualSpacing/>
        <w:jc w:val="both"/>
      </w:pPr>
      <w:r w:rsidRPr="00944881">
        <w:t xml:space="preserve">Financial performance of digital banks is commonly evaluated using traditional banking indicators combined with digital-based efficiency metrics. In general, profitability ratios such as </w:t>
      </w:r>
      <w:r w:rsidRPr="00944881">
        <w:rPr>
          <w:rStyle w:val="Strong"/>
          <w:b w:val="0"/>
        </w:rPr>
        <w:t>Return on Assets (ROA), Return on Equity (ROE), Net Interest Margin (NIM), and operational efficiency ratio (BOPO)</w:t>
      </w:r>
      <w:r w:rsidRPr="00944881">
        <w:t xml:space="preserve"> remain the core indicators to assess bank performance stability. According to </w:t>
      </w:r>
      <w:r w:rsidR="00CF48E9" w:rsidRPr="00CF48E9">
        <w:rPr>
          <w:b/>
          <w:color w:val="FF0000"/>
        </w:rPr>
        <w:fldChar w:fldCharType="begin" w:fldLock="1"/>
      </w:r>
      <w:r w:rsidR="00CF48E9" w:rsidRPr="00CF48E9">
        <w:rPr>
          <w:b/>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CF48E9" w:rsidRPr="00CF48E9">
        <w:rPr>
          <w:b/>
          <w:color w:val="FF0000"/>
        </w:rPr>
        <w:fldChar w:fldCharType="separate"/>
      </w:r>
      <w:r w:rsidR="00CF48E9" w:rsidRPr="00CF48E9">
        <w:rPr>
          <w:b/>
        </w:rPr>
        <w:t>(</w:t>
      </w:r>
      <w:proofErr w:type="spellStart"/>
      <w:r w:rsidR="00CF48E9" w:rsidRPr="00CF48E9">
        <w:rPr>
          <w:rStyle w:val="Strong"/>
          <w:b w:val="0"/>
        </w:rPr>
        <w:t>Nugroho</w:t>
      </w:r>
      <w:proofErr w:type="spellEnd"/>
      <w:r w:rsidR="00CF48E9" w:rsidRPr="00CF48E9">
        <w:rPr>
          <w:rStyle w:val="Strong"/>
          <w:b w:val="0"/>
        </w:rPr>
        <w:t xml:space="preserve"> and </w:t>
      </w:r>
      <w:proofErr w:type="spellStart"/>
      <w:r w:rsidR="00CF48E9" w:rsidRPr="00CF48E9">
        <w:rPr>
          <w:rStyle w:val="Strong"/>
          <w:b w:val="0"/>
        </w:rPr>
        <w:t>Pratama</w:t>
      </w:r>
      <w:proofErr w:type="spellEnd"/>
      <w:r w:rsidR="00CF48E9" w:rsidRPr="00CF48E9">
        <w:rPr>
          <w:rStyle w:val="Strong"/>
          <w:b w:val="0"/>
        </w:rPr>
        <w:t xml:space="preserve"> (2023</w:t>
      </w:r>
      <w:r w:rsidR="00CF48E9" w:rsidRPr="00CF48E9">
        <w:rPr>
          <w:b/>
          <w:color w:val="FF0000"/>
        </w:rPr>
        <w:fldChar w:fldCharType="end"/>
      </w:r>
      <w:r w:rsidRPr="00CF48E9">
        <w:rPr>
          <w:rStyle w:val="Strong"/>
        </w:rPr>
        <w:t>)</w:t>
      </w:r>
      <w:r w:rsidRPr="00944881">
        <w:t>, these financial ratios are still relevant in measuring banking profitability, including digital banks, as they reflect the effectiveness of asset utilization, capital structure, and cost efficiency.</w:t>
      </w:r>
      <w:r w:rsidRPr="00944881">
        <w:t xml:space="preserve"> </w:t>
      </w:r>
      <w:r w:rsidRPr="00944881">
        <w:t xml:space="preserve">In addition, capital adequacy measured through </w:t>
      </w:r>
      <w:r w:rsidRPr="00944881">
        <w:rPr>
          <w:rStyle w:val="Strong"/>
          <w:b w:val="0"/>
        </w:rPr>
        <w:t>Capital Adequacy Ratio (CAR)</w:t>
      </w:r>
      <w:r w:rsidRPr="00944881">
        <w:t xml:space="preserve"> plays a crucial role in ensuring that digital banks are able to absorb financial shocks and maintain operational stability. Research by </w:t>
      </w:r>
      <w:proofErr w:type="spellStart"/>
      <w:r w:rsidRPr="00944881">
        <w:rPr>
          <w:rStyle w:val="Strong"/>
          <w:b w:val="0"/>
        </w:rPr>
        <w:t>Oktaviani</w:t>
      </w:r>
      <w:proofErr w:type="spellEnd"/>
      <w:r w:rsidRPr="00944881">
        <w:rPr>
          <w:rStyle w:val="Strong"/>
          <w:b w:val="0"/>
        </w:rPr>
        <w:t xml:space="preserve"> and </w:t>
      </w:r>
      <w:proofErr w:type="spellStart"/>
      <w:r w:rsidRPr="00944881">
        <w:rPr>
          <w:rStyle w:val="Strong"/>
          <w:b w:val="0"/>
        </w:rPr>
        <w:t>Siregar</w:t>
      </w:r>
      <w:proofErr w:type="spellEnd"/>
      <w:r w:rsidRPr="00944881">
        <w:rPr>
          <w:rStyle w:val="Strong"/>
          <w:b w:val="0"/>
        </w:rPr>
        <w:t xml:space="preserve"> (2021)</w:t>
      </w:r>
      <w:r w:rsidR="00CF48E9" w:rsidRPr="00CF48E9">
        <w:rPr>
          <w:b/>
          <w:color w:val="FF0000"/>
        </w:rPr>
        <w:t xml:space="preserve"> </w:t>
      </w:r>
      <w:r w:rsidR="00CF48E9" w:rsidRPr="00CF48E9">
        <w:rPr>
          <w:b/>
          <w:color w:val="FF0000"/>
        </w:rPr>
        <w:fldChar w:fldCharType="begin" w:fldLock="1"/>
      </w:r>
      <w:r w:rsidR="00CF48E9" w:rsidRPr="00CF48E9">
        <w:rPr>
          <w:b/>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CF48E9" w:rsidRPr="00CF48E9">
        <w:rPr>
          <w:b/>
          <w:color w:val="FF0000"/>
        </w:rPr>
        <w:fldChar w:fldCharType="separate"/>
      </w:r>
      <w:r w:rsidR="00CF48E9" w:rsidRPr="00CF48E9">
        <w:rPr>
          <w:b/>
        </w:rPr>
        <w:t>(</w:t>
      </w:r>
      <w:proofErr w:type="spellStart"/>
      <w:r w:rsidR="00CF48E9" w:rsidRPr="00CF48E9">
        <w:rPr>
          <w:rStyle w:val="Strong"/>
          <w:b w:val="0"/>
        </w:rPr>
        <w:t>Nugroho</w:t>
      </w:r>
      <w:proofErr w:type="spellEnd"/>
      <w:r w:rsidR="00CF48E9" w:rsidRPr="00CF48E9">
        <w:rPr>
          <w:rStyle w:val="Strong"/>
          <w:b w:val="0"/>
        </w:rPr>
        <w:t xml:space="preserve"> and </w:t>
      </w:r>
      <w:proofErr w:type="spellStart"/>
      <w:r w:rsidR="00CF48E9" w:rsidRPr="00CF48E9">
        <w:rPr>
          <w:rStyle w:val="Strong"/>
          <w:b w:val="0"/>
        </w:rPr>
        <w:t>Pratama</w:t>
      </w:r>
      <w:proofErr w:type="spellEnd"/>
      <w:r w:rsidR="00CF48E9" w:rsidRPr="00CF48E9">
        <w:rPr>
          <w:rStyle w:val="Strong"/>
          <w:b w:val="0"/>
        </w:rPr>
        <w:t xml:space="preserve"> (2023</w:t>
      </w:r>
      <w:r w:rsidR="00CF48E9" w:rsidRPr="00CF48E9">
        <w:rPr>
          <w:b/>
          <w:color w:val="FF0000"/>
        </w:rPr>
        <w:fldChar w:fldCharType="end"/>
      </w:r>
      <w:r w:rsidR="00CF48E9" w:rsidRPr="00CF48E9">
        <w:rPr>
          <w:rStyle w:val="Strong"/>
        </w:rPr>
        <w:t>)</w:t>
      </w:r>
      <w:r w:rsidR="00CF48E9" w:rsidRPr="00944881">
        <w:t xml:space="preserve">, </w:t>
      </w:r>
      <w:r w:rsidRPr="00944881">
        <w:rPr>
          <w:b/>
        </w:rPr>
        <w:t xml:space="preserve"> </w:t>
      </w:r>
      <w:r w:rsidRPr="00944881">
        <w:t xml:space="preserve">emphasizes that capital strength is a key determinant of bank resilience, especially in rapidly evolving financial environments such as digital banking ecosystems. Meanwhile, liquidity indicators such as </w:t>
      </w:r>
      <w:r w:rsidRPr="00944881">
        <w:rPr>
          <w:rStyle w:val="Strong"/>
          <w:b w:val="0"/>
        </w:rPr>
        <w:t>Loan to Deposit Ratio (LDR)</w:t>
      </w:r>
      <w:r w:rsidRPr="00944881">
        <w:rPr>
          <w:b/>
        </w:rPr>
        <w:t xml:space="preserve"> </w:t>
      </w:r>
      <w:r w:rsidRPr="00944881">
        <w:t>and</w:t>
      </w:r>
      <w:r w:rsidRPr="00944881">
        <w:rPr>
          <w:b/>
        </w:rPr>
        <w:t xml:space="preserve"> </w:t>
      </w:r>
      <w:r w:rsidRPr="00944881">
        <w:rPr>
          <w:rStyle w:val="Strong"/>
          <w:b w:val="0"/>
        </w:rPr>
        <w:t>Current Account Savings Account (CASA) ratio</w:t>
      </w:r>
      <w:r w:rsidRPr="00944881">
        <w:rPr>
          <w:b/>
        </w:rPr>
        <w:t xml:space="preserve"> </w:t>
      </w:r>
      <w:r w:rsidRPr="00944881">
        <w:t>are used to assess the bank’s ability to maintain funding stability and low-cost deposit structures.</w:t>
      </w:r>
    </w:p>
    <w:p w:rsidR="00944881" w:rsidRPr="00944881" w:rsidRDefault="00944881" w:rsidP="00944881">
      <w:pPr>
        <w:pStyle w:val="NormalWeb"/>
        <w:spacing w:line="360" w:lineRule="auto"/>
        <w:ind w:firstLine="720"/>
        <w:contextualSpacing/>
        <w:jc w:val="both"/>
      </w:pPr>
      <w:r w:rsidRPr="00944881">
        <w:t xml:space="preserve">From a risk perspective, </w:t>
      </w:r>
      <w:r w:rsidRPr="00944881">
        <w:rPr>
          <w:rStyle w:val="Strong"/>
          <w:b w:val="0"/>
        </w:rPr>
        <w:t>Non-Performing Loans (NPL)</w:t>
      </w:r>
      <w:r w:rsidRPr="00944881">
        <w:t xml:space="preserve"> </w:t>
      </w:r>
      <w:proofErr w:type="gramStart"/>
      <w:r w:rsidRPr="00944881">
        <w:t>remain</w:t>
      </w:r>
      <w:proofErr w:type="gramEnd"/>
      <w:r w:rsidRPr="00944881">
        <w:t xml:space="preserve"> an essential indicator in evaluating credit quality and financial soundness. Studies by </w:t>
      </w:r>
      <w:r w:rsidR="00CF48E9" w:rsidRPr="00CF48E9">
        <w:rPr>
          <w:b/>
          <w:color w:val="FF0000"/>
        </w:rPr>
        <w:fldChar w:fldCharType="begin" w:fldLock="1"/>
      </w:r>
      <w:r w:rsidR="00CF48E9" w:rsidRPr="00CF48E9">
        <w:rPr>
          <w:b/>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CF48E9" w:rsidRPr="00CF48E9">
        <w:rPr>
          <w:b/>
          <w:color w:val="FF0000"/>
        </w:rPr>
        <w:fldChar w:fldCharType="separate"/>
      </w:r>
      <w:r w:rsidR="00CF48E9" w:rsidRPr="00CF48E9">
        <w:rPr>
          <w:b/>
        </w:rPr>
        <w:t>(</w:t>
      </w:r>
      <w:r w:rsidR="00CF48E9" w:rsidRPr="00CF48E9">
        <w:rPr>
          <w:rStyle w:val="Strong"/>
          <w:b w:val="0"/>
        </w:rPr>
        <w:t xml:space="preserve"> </w:t>
      </w:r>
      <w:r w:rsidR="00CF48E9" w:rsidRPr="00944881">
        <w:rPr>
          <w:rStyle w:val="Strong"/>
          <w:b w:val="0"/>
        </w:rPr>
        <w:t xml:space="preserve">Putra and </w:t>
      </w:r>
      <w:proofErr w:type="spellStart"/>
      <w:r w:rsidR="00CF48E9" w:rsidRPr="00944881">
        <w:rPr>
          <w:rStyle w:val="Strong"/>
          <w:b w:val="0"/>
        </w:rPr>
        <w:t>Wijaya</w:t>
      </w:r>
      <w:proofErr w:type="spellEnd"/>
      <w:r w:rsidR="00CF48E9" w:rsidRPr="00944881">
        <w:rPr>
          <w:rStyle w:val="Strong"/>
          <w:b w:val="0"/>
        </w:rPr>
        <w:t xml:space="preserve"> (2022</w:t>
      </w:r>
      <w:r w:rsidR="00CF48E9" w:rsidRPr="00CF48E9">
        <w:rPr>
          <w:b/>
          <w:color w:val="FF0000"/>
        </w:rPr>
        <w:fldChar w:fldCharType="end"/>
      </w:r>
      <w:r w:rsidR="00CF48E9" w:rsidRPr="00CF48E9">
        <w:rPr>
          <w:rStyle w:val="Strong"/>
        </w:rPr>
        <w:t>)</w:t>
      </w:r>
      <w:r w:rsidR="00CF48E9" w:rsidRPr="00944881">
        <w:t>,</w:t>
      </w:r>
      <w:r w:rsidRPr="00944881">
        <w:rPr>
          <w:rStyle w:val="Strong"/>
          <w:b w:val="0"/>
        </w:rPr>
        <w:t>)</w:t>
      </w:r>
      <w:r w:rsidRPr="00944881">
        <w:t xml:space="preserve"> show that unmanaged credit risk significantly reduces banking profitability and threatens long-term sustainability. In digital banks, credit risk management becomes more complex due to the rapid expansion of digital lending and automated credit scoring systems.</w:t>
      </w:r>
      <w:r w:rsidRPr="00944881">
        <w:t xml:space="preserve"> </w:t>
      </w:r>
      <w:r w:rsidRPr="00944881">
        <w:t xml:space="preserve">Furthermore, governance quality also contributes significantly to financial performance. </w:t>
      </w:r>
      <w:r w:rsidR="00CF48E9" w:rsidRPr="00CF48E9">
        <w:rPr>
          <w:b/>
          <w:color w:val="FF0000"/>
        </w:rPr>
        <w:fldChar w:fldCharType="begin" w:fldLock="1"/>
      </w:r>
      <w:r w:rsidR="00CF48E9" w:rsidRPr="00CF48E9">
        <w:rPr>
          <w:b/>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CF48E9" w:rsidRPr="00CF48E9">
        <w:rPr>
          <w:b/>
          <w:color w:val="FF0000"/>
        </w:rPr>
        <w:fldChar w:fldCharType="separate"/>
      </w:r>
      <w:proofErr w:type="spellStart"/>
      <w:r w:rsidR="00CF48E9" w:rsidRPr="00944881">
        <w:rPr>
          <w:rStyle w:val="Strong"/>
          <w:b w:val="0"/>
        </w:rPr>
        <w:t>Hidayat</w:t>
      </w:r>
      <w:proofErr w:type="spellEnd"/>
      <w:r w:rsidR="00CF48E9" w:rsidRPr="00944881">
        <w:rPr>
          <w:rStyle w:val="Strong"/>
          <w:b w:val="0"/>
        </w:rPr>
        <w:t xml:space="preserve"> and </w:t>
      </w:r>
      <w:proofErr w:type="spellStart"/>
      <w:r w:rsidR="00CF48E9" w:rsidRPr="00944881">
        <w:rPr>
          <w:rStyle w:val="Strong"/>
          <w:b w:val="0"/>
        </w:rPr>
        <w:t>Ramdani</w:t>
      </w:r>
      <w:proofErr w:type="spellEnd"/>
      <w:r w:rsidR="00CF48E9" w:rsidRPr="00944881">
        <w:rPr>
          <w:rStyle w:val="Strong"/>
          <w:b w:val="0"/>
        </w:rPr>
        <w:t xml:space="preserve"> (2021</w:t>
      </w:r>
      <w:proofErr w:type="gramStart"/>
      <w:r w:rsidR="00CF48E9" w:rsidRPr="00944881">
        <w:rPr>
          <w:rStyle w:val="Strong"/>
        </w:rPr>
        <w:t>)</w:t>
      </w:r>
      <w:r w:rsidR="00CF48E9" w:rsidRPr="00CF48E9">
        <w:rPr>
          <w:b/>
          <w:color w:val="FF0000"/>
        </w:rPr>
        <w:t xml:space="preserve"> </w:t>
      </w:r>
      <w:proofErr w:type="gramEnd"/>
      <w:r w:rsidR="00CF48E9" w:rsidRPr="00CF48E9">
        <w:rPr>
          <w:b/>
          <w:color w:val="FF0000"/>
        </w:rPr>
        <w:fldChar w:fldCharType="end"/>
      </w:r>
      <w:r w:rsidR="00CF48E9" w:rsidRPr="00944881">
        <w:t xml:space="preserve">, </w:t>
      </w:r>
      <w:r w:rsidRPr="00944881">
        <w:t xml:space="preserve"> argue that effective Good Corporate Governance (GCG) improves transparency, strengthens internal control systems, and increases investor confidence, which ultimately enhances financial performance. This is particularly important in digital banks where technology-driven operations require strong oversight and risk governance frameworks.</w:t>
      </w:r>
      <w:r w:rsidRPr="00944881">
        <w:t xml:space="preserve"> </w:t>
      </w:r>
      <w:r w:rsidRPr="00944881">
        <w:t xml:space="preserve">Overall, the financial performance of digital banks is not only determined by conventional banking ratios but also influenced by efficiency in digital operations, cost-to-income optimization, and scalability of digital platforms. As highlighted by </w:t>
      </w:r>
      <w:r w:rsidR="00CF48E9" w:rsidRPr="00CF48E9">
        <w:rPr>
          <w:b/>
          <w:color w:val="FF0000"/>
        </w:rPr>
        <w:fldChar w:fldCharType="begin" w:fldLock="1"/>
      </w:r>
      <w:r w:rsidR="00CF48E9" w:rsidRPr="00CF48E9">
        <w:rPr>
          <w:b/>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CF48E9" w:rsidRPr="00CF48E9">
        <w:rPr>
          <w:b/>
          <w:color w:val="FF0000"/>
        </w:rPr>
        <w:fldChar w:fldCharType="separate"/>
      </w:r>
      <w:r w:rsidR="00CF48E9" w:rsidRPr="00CF48E9">
        <w:t xml:space="preserve"> </w:t>
      </w:r>
      <w:r w:rsidR="00CF48E9">
        <w:t>(</w:t>
      </w:r>
      <w:r w:rsidR="00CF48E9">
        <w:rPr>
          <w:rStyle w:val="Strong"/>
          <w:b w:val="0"/>
        </w:rPr>
        <w:t>Ali and Hassan ,</w:t>
      </w:r>
      <w:r w:rsidR="00CF48E9" w:rsidRPr="00944881">
        <w:rPr>
          <w:rStyle w:val="Strong"/>
          <w:b w:val="0"/>
        </w:rPr>
        <w:t>2021</w:t>
      </w:r>
      <w:r w:rsidR="00CF48E9" w:rsidRPr="00CF48E9">
        <w:rPr>
          <w:b/>
          <w:color w:val="FF0000"/>
        </w:rPr>
        <w:fldChar w:fldCharType="end"/>
      </w:r>
      <w:r w:rsidR="00CF48E9" w:rsidRPr="00CF48E9">
        <w:rPr>
          <w:rStyle w:val="Strong"/>
        </w:rPr>
        <w:t>)</w:t>
      </w:r>
      <w:r w:rsidR="00CF48E9" w:rsidRPr="00944881">
        <w:t>,</w:t>
      </w:r>
      <w:r w:rsidRPr="00944881">
        <w:t>, modern banking performance must integrate both financial and operational dimensions to capture the true competitiveness of digital financial institutions.</w:t>
      </w:r>
    </w:p>
    <w:p w:rsidR="00944881" w:rsidRDefault="00944881" w:rsidP="00944881">
      <w:pPr>
        <w:pStyle w:val="Heading1"/>
        <w:ind w:left="0"/>
      </w:pPr>
      <w:proofErr w:type="gramStart"/>
      <w:r>
        <w:rPr>
          <w:rStyle w:val="Strong"/>
          <w:b/>
          <w:bCs/>
        </w:rPr>
        <w:t xml:space="preserve">Digital </w:t>
      </w:r>
      <w:r>
        <w:rPr>
          <w:rStyle w:val="Strong"/>
          <w:b/>
          <w:bCs/>
        </w:rPr>
        <w:t xml:space="preserve"> Performance</w:t>
      </w:r>
      <w:proofErr w:type="gramEnd"/>
      <w:r>
        <w:rPr>
          <w:rStyle w:val="Strong"/>
          <w:b/>
          <w:bCs/>
        </w:rPr>
        <w:t xml:space="preserve"> of Digital Banks</w:t>
      </w:r>
    </w:p>
    <w:p w:rsidR="00F7610E" w:rsidRPr="00F7610E" w:rsidRDefault="00F7610E" w:rsidP="00F7610E">
      <w:pPr>
        <w:widowControl/>
        <w:autoSpaceDE/>
        <w:autoSpaceDN/>
        <w:spacing w:before="100" w:beforeAutospacing="1" w:after="100" w:afterAutospacing="1" w:line="360" w:lineRule="auto"/>
        <w:ind w:firstLine="720"/>
        <w:contextualSpacing/>
        <w:jc w:val="both"/>
        <w:rPr>
          <w:sz w:val="24"/>
          <w:szCs w:val="24"/>
        </w:rPr>
      </w:pPr>
      <w:r w:rsidRPr="00F7610E">
        <w:rPr>
          <w:sz w:val="24"/>
          <w:szCs w:val="24"/>
        </w:rPr>
        <w:t xml:space="preserve">Digital performance in digital banking refers to the extent to which banks effectively utilize digital technologies to deliver financial services, engage customers, and achieve operational </w:t>
      </w:r>
      <w:r w:rsidRPr="00F7610E">
        <w:rPr>
          <w:sz w:val="24"/>
          <w:szCs w:val="24"/>
        </w:rPr>
        <w:lastRenderedPageBreak/>
        <w:t xml:space="preserve">efficiency. Unlike traditional banking performance, which is primarily measured through financial ratios, digital performance emphasizes </w:t>
      </w:r>
      <w:r w:rsidRPr="00F7610E">
        <w:rPr>
          <w:bCs/>
          <w:sz w:val="24"/>
          <w:szCs w:val="24"/>
        </w:rPr>
        <w:t xml:space="preserve">technology adoption, user engagement, platform efficiency, and service </w:t>
      </w:r>
      <w:proofErr w:type="spellStart"/>
      <w:r w:rsidRPr="00F7610E">
        <w:rPr>
          <w:bCs/>
          <w:sz w:val="24"/>
          <w:szCs w:val="24"/>
        </w:rPr>
        <w:t>accessibility</w:t>
      </w:r>
      <w:r w:rsidRPr="00F7610E">
        <w:rPr>
          <w:sz w:val="24"/>
          <w:szCs w:val="24"/>
        </w:rPr>
        <w:t>.One</w:t>
      </w:r>
      <w:proofErr w:type="spellEnd"/>
      <w:r w:rsidRPr="00F7610E">
        <w:rPr>
          <w:sz w:val="24"/>
          <w:szCs w:val="24"/>
        </w:rPr>
        <w:t xml:space="preserve"> of the key dimensions of digital performance is </w:t>
      </w:r>
      <w:r w:rsidRPr="00F7610E">
        <w:rPr>
          <w:bCs/>
          <w:sz w:val="24"/>
          <w:szCs w:val="24"/>
        </w:rPr>
        <w:t>digital adoption and user engagement</w:t>
      </w:r>
      <w:r w:rsidRPr="00F7610E">
        <w:rPr>
          <w:sz w:val="24"/>
          <w:szCs w:val="24"/>
        </w:rPr>
        <w:t xml:space="preserve">, which reflects the extent to which customers actively use mobile banking applications and digital platforms. According to </w:t>
      </w:r>
      <w:r w:rsidR="00CF48E9" w:rsidRPr="00CF48E9">
        <w:rPr>
          <w:b/>
          <w:color w:val="FF0000"/>
        </w:rPr>
        <w:fldChar w:fldCharType="begin" w:fldLock="1"/>
      </w:r>
      <w:r w:rsidR="00CF48E9" w:rsidRPr="00CF48E9">
        <w:rPr>
          <w:b/>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CF48E9" w:rsidRPr="00CF48E9">
        <w:rPr>
          <w:b/>
          <w:color w:val="FF0000"/>
        </w:rPr>
        <w:fldChar w:fldCharType="separate"/>
      </w:r>
      <w:r w:rsidR="00CF48E9" w:rsidRPr="00CF48E9">
        <w:t xml:space="preserve"> </w:t>
      </w:r>
      <w:r w:rsidR="00CF48E9" w:rsidRPr="00F7610E">
        <w:rPr>
          <w:sz w:val="24"/>
          <w:szCs w:val="24"/>
        </w:rPr>
        <w:t>Zhang et al. (2021</w:t>
      </w:r>
      <w:r w:rsidR="00CF48E9" w:rsidRPr="00CF48E9">
        <w:rPr>
          <w:b/>
          <w:color w:val="FF0000"/>
        </w:rPr>
        <w:fldChar w:fldCharType="end"/>
      </w:r>
      <w:r w:rsidR="00CF48E9" w:rsidRPr="00CF48E9">
        <w:rPr>
          <w:rStyle w:val="Strong"/>
        </w:rPr>
        <w:t>)</w:t>
      </w:r>
      <w:r w:rsidR="00CF48E9" w:rsidRPr="00944881">
        <w:t>,</w:t>
      </w:r>
      <w:r w:rsidRPr="00F7610E">
        <w:rPr>
          <w:sz w:val="24"/>
          <w:szCs w:val="24"/>
        </w:rPr>
        <w:t xml:space="preserve">, digital banking success is strongly influenced by active user participation, where higher engagement levels indicate stronger platform integration into customers’ daily financial activities. Similarly, </w:t>
      </w:r>
      <w:r w:rsidR="00CF48E9" w:rsidRPr="00CF48E9">
        <w:rPr>
          <w:b/>
          <w:color w:val="FF0000"/>
        </w:rPr>
        <w:t xml:space="preserve"> </w:t>
      </w:r>
      <w:r w:rsidR="00CF48E9" w:rsidRPr="00CF48E9">
        <w:rPr>
          <w:b/>
          <w:color w:val="FF0000"/>
        </w:rPr>
        <w:fldChar w:fldCharType="begin" w:fldLock="1"/>
      </w:r>
      <w:r w:rsidR="00CF48E9" w:rsidRPr="00CF48E9">
        <w:rPr>
          <w:b/>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CF48E9" w:rsidRPr="00CF48E9">
        <w:rPr>
          <w:b/>
          <w:color w:val="FF0000"/>
        </w:rPr>
        <w:fldChar w:fldCharType="separate"/>
      </w:r>
      <w:r w:rsidR="00CF48E9">
        <w:t>(</w:t>
      </w:r>
      <w:proofErr w:type="spellStart"/>
      <w:r w:rsidR="00CF48E9" w:rsidRPr="00F7610E">
        <w:rPr>
          <w:sz w:val="24"/>
          <w:szCs w:val="24"/>
        </w:rPr>
        <w:t>Dwivedi</w:t>
      </w:r>
      <w:proofErr w:type="spellEnd"/>
      <w:r w:rsidR="00CF48E9" w:rsidRPr="00F7610E">
        <w:rPr>
          <w:sz w:val="24"/>
          <w:szCs w:val="24"/>
        </w:rPr>
        <w:t xml:space="preserve"> et al. (2022)</w:t>
      </w:r>
      <w:r w:rsidR="00CF48E9" w:rsidRPr="00CF48E9">
        <w:rPr>
          <w:b/>
          <w:color w:val="FF0000"/>
        </w:rPr>
        <w:fldChar w:fldCharType="end"/>
      </w:r>
      <w:r w:rsidRPr="00F7610E">
        <w:rPr>
          <w:sz w:val="24"/>
          <w:szCs w:val="24"/>
        </w:rPr>
        <w:t xml:space="preserve"> emphasize that user adoption is a core indicator of digital transformation success in financial institutions.</w:t>
      </w:r>
    </w:p>
    <w:p w:rsidR="00F7610E" w:rsidRPr="00F7610E" w:rsidRDefault="00F7610E" w:rsidP="00F7610E">
      <w:pPr>
        <w:widowControl/>
        <w:autoSpaceDE/>
        <w:autoSpaceDN/>
        <w:spacing w:before="100" w:beforeAutospacing="1" w:after="100" w:afterAutospacing="1" w:line="360" w:lineRule="auto"/>
        <w:ind w:firstLine="720"/>
        <w:contextualSpacing/>
        <w:jc w:val="both"/>
        <w:rPr>
          <w:sz w:val="24"/>
          <w:szCs w:val="24"/>
        </w:rPr>
      </w:pPr>
      <w:r w:rsidRPr="00F7610E">
        <w:rPr>
          <w:sz w:val="24"/>
          <w:szCs w:val="24"/>
        </w:rPr>
        <w:t xml:space="preserve">Another important variable is </w:t>
      </w:r>
      <w:r w:rsidRPr="00F7610E">
        <w:rPr>
          <w:bCs/>
          <w:sz w:val="24"/>
          <w:szCs w:val="24"/>
        </w:rPr>
        <w:t>digital transaction intensity</w:t>
      </w:r>
      <w:r w:rsidRPr="00F7610E">
        <w:rPr>
          <w:sz w:val="24"/>
          <w:szCs w:val="24"/>
        </w:rPr>
        <w:t>, which measures the frequency and volume of transactions conducted through digital channels such as mobile banking and internet banking. This indicator reflects the level of dependency customers have on digital platforms. As highlighted by</w:t>
      </w:r>
      <w:r w:rsidR="00CF48E9" w:rsidRPr="00CF48E9">
        <w:rPr>
          <w:b/>
          <w:color w:val="FF0000"/>
        </w:rPr>
        <w:fldChar w:fldCharType="begin" w:fldLock="1"/>
      </w:r>
      <w:r w:rsidR="00CF48E9" w:rsidRPr="00CF48E9">
        <w:rPr>
          <w:b/>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CF48E9" w:rsidRPr="00CF48E9">
        <w:rPr>
          <w:b/>
          <w:color w:val="FF0000"/>
        </w:rPr>
        <w:fldChar w:fldCharType="separate"/>
      </w:r>
      <w:r w:rsidR="00CF48E9">
        <w:t xml:space="preserve"> </w:t>
      </w:r>
      <w:r w:rsidR="00CF48E9" w:rsidRPr="00F7610E">
        <w:rPr>
          <w:sz w:val="24"/>
          <w:szCs w:val="24"/>
        </w:rPr>
        <w:t>Khan et al. (2023</w:t>
      </w:r>
      <w:r w:rsidR="00CF48E9">
        <w:rPr>
          <w:sz w:val="24"/>
          <w:szCs w:val="24"/>
        </w:rPr>
        <w:t>)</w:t>
      </w:r>
      <w:r w:rsidR="00CF48E9" w:rsidRPr="00CF48E9">
        <w:rPr>
          <w:b/>
          <w:color w:val="FF0000"/>
        </w:rPr>
        <w:fldChar w:fldCharType="end"/>
      </w:r>
      <w:r w:rsidR="00CF48E9" w:rsidRPr="00944881">
        <w:t>,</w:t>
      </w:r>
      <w:r w:rsidRPr="00F7610E">
        <w:rPr>
          <w:sz w:val="24"/>
          <w:szCs w:val="24"/>
        </w:rPr>
        <w:t xml:space="preserve">, higher transaction intensity demonstrates increased operational scalability and efficiency in digital banks, contributing to long-term sustainability. </w:t>
      </w:r>
      <w:r w:rsidRPr="00F7610E">
        <w:rPr>
          <w:bCs/>
          <w:sz w:val="24"/>
          <w:szCs w:val="24"/>
        </w:rPr>
        <w:t>Customer base growth and active user ratio</w:t>
      </w:r>
      <w:r w:rsidRPr="00F7610E">
        <w:rPr>
          <w:sz w:val="24"/>
          <w:szCs w:val="24"/>
        </w:rPr>
        <w:t xml:space="preserve"> are also widely used indicators in measuring digital performance. According to </w:t>
      </w:r>
      <w:r w:rsidR="00CF48E9" w:rsidRPr="00CF48E9">
        <w:rPr>
          <w:b/>
          <w:color w:val="FF0000"/>
        </w:rPr>
        <w:fldChar w:fldCharType="begin" w:fldLock="1"/>
      </w:r>
      <w:r w:rsidR="00CF48E9" w:rsidRPr="00CF48E9">
        <w:rPr>
          <w:b/>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CF48E9" w:rsidRPr="00CF48E9">
        <w:rPr>
          <w:b/>
          <w:color w:val="FF0000"/>
        </w:rPr>
        <w:fldChar w:fldCharType="separate"/>
      </w:r>
      <w:r w:rsidR="00CF48E9" w:rsidRPr="00CF48E9">
        <w:t xml:space="preserve"> </w:t>
      </w:r>
      <w:r w:rsidR="00CF48E9" w:rsidRPr="00F7610E">
        <w:rPr>
          <w:sz w:val="24"/>
          <w:szCs w:val="24"/>
        </w:rPr>
        <w:t>Vial (2021</w:t>
      </w:r>
      <w:r w:rsidR="00CF48E9" w:rsidRPr="00CF48E9">
        <w:rPr>
          <w:b/>
          <w:color w:val="FF0000"/>
        </w:rPr>
        <w:fldChar w:fldCharType="end"/>
      </w:r>
      <w:r w:rsidR="00CF48E9" w:rsidRPr="00CF48E9">
        <w:rPr>
          <w:rStyle w:val="Strong"/>
        </w:rPr>
        <w:t>)</w:t>
      </w:r>
      <w:r w:rsidR="00CF48E9" w:rsidRPr="00944881">
        <w:t>,</w:t>
      </w:r>
      <w:r w:rsidRPr="00F7610E">
        <w:rPr>
          <w:sz w:val="24"/>
          <w:szCs w:val="24"/>
        </w:rPr>
        <w:t>, digital transformation performance should not only focus on the number of registered users but also on the proportion of active users, as inactive accounts do not contribute to operational value creation. Therefore, active user ratio is considered a more accurate reflection of digital banking effectiveness.</w:t>
      </w:r>
    </w:p>
    <w:p w:rsidR="00F7610E" w:rsidRPr="00F7610E" w:rsidRDefault="00F7610E" w:rsidP="00F7610E">
      <w:pPr>
        <w:widowControl/>
        <w:autoSpaceDE/>
        <w:autoSpaceDN/>
        <w:spacing w:before="100" w:beforeAutospacing="1" w:after="100" w:afterAutospacing="1" w:line="360" w:lineRule="auto"/>
        <w:ind w:firstLine="720"/>
        <w:contextualSpacing/>
        <w:jc w:val="both"/>
        <w:rPr>
          <w:sz w:val="24"/>
          <w:szCs w:val="24"/>
        </w:rPr>
      </w:pPr>
      <w:r w:rsidRPr="00F7610E">
        <w:rPr>
          <w:sz w:val="24"/>
          <w:szCs w:val="24"/>
        </w:rPr>
        <w:t xml:space="preserve">In addition, </w:t>
      </w:r>
      <w:r w:rsidRPr="00F7610E">
        <w:rPr>
          <w:bCs/>
          <w:sz w:val="24"/>
          <w:szCs w:val="24"/>
        </w:rPr>
        <w:t>platform reliability and system performance</w:t>
      </w:r>
      <w:r w:rsidRPr="00F7610E">
        <w:rPr>
          <w:sz w:val="24"/>
          <w:szCs w:val="24"/>
        </w:rPr>
        <w:t xml:space="preserve"> represent critical dimensions of digital banking performance. These include system uptime, application response speed, and </w:t>
      </w:r>
      <w:proofErr w:type="spellStart"/>
      <w:r w:rsidRPr="00F7610E">
        <w:rPr>
          <w:sz w:val="24"/>
          <w:szCs w:val="24"/>
        </w:rPr>
        <w:t>cybersecurity</w:t>
      </w:r>
      <w:proofErr w:type="spellEnd"/>
      <w:r w:rsidRPr="00F7610E">
        <w:rPr>
          <w:sz w:val="24"/>
          <w:szCs w:val="24"/>
        </w:rPr>
        <w:t xml:space="preserve"> resilience. Li et al. (2022) argue that digital banks must ensure high system stability and security to maintain customer trust and prevent service disruption risks, which directly affect user satisfaction and retention.</w:t>
      </w:r>
      <w:r>
        <w:rPr>
          <w:sz w:val="24"/>
          <w:szCs w:val="24"/>
        </w:rPr>
        <w:t xml:space="preserve"> </w:t>
      </w:r>
      <w:r w:rsidRPr="00F7610E">
        <w:rPr>
          <w:sz w:val="24"/>
          <w:szCs w:val="24"/>
        </w:rPr>
        <w:t xml:space="preserve">Another key variable is </w:t>
      </w:r>
      <w:r w:rsidRPr="00F7610E">
        <w:rPr>
          <w:bCs/>
          <w:sz w:val="24"/>
          <w:szCs w:val="24"/>
        </w:rPr>
        <w:t>cost</w:t>
      </w:r>
      <w:r w:rsidRPr="00F7610E">
        <w:rPr>
          <w:b/>
          <w:bCs/>
          <w:sz w:val="24"/>
          <w:szCs w:val="24"/>
        </w:rPr>
        <w:t xml:space="preserve"> </w:t>
      </w:r>
      <w:r w:rsidRPr="00F7610E">
        <w:rPr>
          <w:bCs/>
          <w:sz w:val="24"/>
          <w:szCs w:val="24"/>
        </w:rPr>
        <w:t>efficiency and digital operational performance</w:t>
      </w:r>
      <w:r w:rsidRPr="00F7610E">
        <w:rPr>
          <w:sz w:val="24"/>
          <w:szCs w:val="24"/>
        </w:rPr>
        <w:t>, which measures the ability of digital banks to reduce operational costs through automation and technology adoption. According to</w:t>
      </w:r>
      <w:r w:rsidR="00CF48E9" w:rsidRPr="00CF48E9">
        <w:rPr>
          <w:b/>
          <w:color w:val="FF0000"/>
        </w:rPr>
        <w:fldChar w:fldCharType="begin" w:fldLock="1"/>
      </w:r>
      <w:r w:rsidR="00CF48E9" w:rsidRPr="00CF48E9">
        <w:rPr>
          <w:b/>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CF48E9" w:rsidRPr="00CF48E9">
        <w:rPr>
          <w:b/>
          <w:color w:val="FF0000"/>
        </w:rPr>
        <w:fldChar w:fldCharType="separate"/>
      </w:r>
      <w:r w:rsidR="00CF48E9" w:rsidRPr="00CF48E9">
        <w:t xml:space="preserve"> </w:t>
      </w:r>
      <w:r w:rsidR="00CF48E9" w:rsidRPr="00F7610E">
        <w:rPr>
          <w:sz w:val="24"/>
          <w:szCs w:val="24"/>
        </w:rPr>
        <w:t>Vial (2021</w:t>
      </w:r>
      <w:r w:rsidR="00CF48E9" w:rsidRPr="00CF48E9">
        <w:rPr>
          <w:b/>
          <w:color w:val="FF0000"/>
        </w:rPr>
        <w:fldChar w:fldCharType="end"/>
      </w:r>
      <w:r w:rsidR="00CF48E9">
        <w:rPr>
          <w:b/>
          <w:color w:val="FF0000"/>
        </w:rPr>
        <w:t>)</w:t>
      </w:r>
      <w:r w:rsidR="00CF48E9" w:rsidRPr="00944881">
        <w:t>,</w:t>
      </w:r>
      <w:r w:rsidRPr="00F7610E">
        <w:rPr>
          <w:sz w:val="24"/>
          <w:szCs w:val="24"/>
        </w:rPr>
        <w:t>, digital banks typically achieve higher cost efficiency due to reduced reliance on physical branches and increased automation of banking processes, which enhances scalability and profitability potential.</w:t>
      </w:r>
    </w:p>
    <w:p w:rsidR="00183E52" w:rsidRPr="0087623D" w:rsidRDefault="00F7610E" w:rsidP="0087623D">
      <w:pPr>
        <w:widowControl/>
        <w:autoSpaceDE/>
        <w:autoSpaceDN/>
        <w:spacing w:before="100" w:beforeAutospacing="1" w:after="100" w:afterAutospacing="1" w:line="360" w:lineRule="auto"/>
        <w:ind w:firstLine="720"/>
        <w:contextualSpacing/>
        <w:jc w:val="both"/>
        <w:rPr>
          <w:sz w:val="24"/>
          <w:szCs w:val="24"/>
        </w:rPr>
      </w:pPr>
      <w:r w:rsidRPr="00F7610E">
        <w:rPr>
          <w:sz w:val="24"/>
          <w:szCs w:val="24"/>
        </w:rPr>
        <w:t xml:space="preserve">Overall, digital performance in banks is a multidimensional construct that integrates </w:t>
      </w:r>
      <w:r w:rsidRPr="00F7610E">
        <w:rPr>
          <w:bCs/>
          <w:sz w:val="24"/>
          <w:szCs w:val="24"/>
        </w:rPr>
        <w:t>user adoption, transaction activity, system reliability, customer engagement, and cost efficiency</w:t>
      </w:r>
      <w:r w:rsidRPr="00F7610E">
        <w:rPr>
          <w:sz w:val="24"/>
          <w:szCs w:val="24"/>
        </w:rPr>
        <w:t xml:space="preserve">. These indicators collectively provide a comprehensive view of how effectively a bank operates in a digital environment and how well it transforms technological capabilities into customer and business value </w:t>
      </w:r>
      <w:r w:rsidR="00CF48E9" w:rsidRPr="00CF48E9">
        <w:rPr>
          <w:b/>
          <w:color w:val="FF0000"/>
        </w:rPr>
        <w:t xml:space="preserve"> </w:t>
      </w:r>
      <w:r w:rsidR="00CF48E9" w:rsidRPr="00CF48E9">
        <w:rPr>
          <w:b/>
          <w:color w:val="FF0000"/>
        </w:rPr>
        <w:fldChar w:fldCharType="begin" w:fldLock="1"/>
      </w:r>
      <w:r w:rsidR="00CF48E9" w:rsidRPr="00CF48E9">
        <w:rPr>
          <w:b/>
          <w:color w:val="FF0000"/>
        </w:rPr>
        <w:instrText>ADDIN CSL_CITATION {"citationItems":[{"id":"ITEM-1","itemData":{"id":"ITEM-1","issued":{"date-parts":[["0"]]},"title":"Gusrianto, A., &amp; Syaifudin, M. (2023). Implementasi strategi di lembaga keuangan syariah: Pendekatan penelitian tindakan. Jurnal Manajemen Islam Asia, 5(1), 25–40. https://doi.org/10.1108/AJIM-08-2023-0055","type":"article-journal"},"uris":["http://www.mendeley.com/documents/?uuid=a8ab4fde-2a10-4bda-bac8-776c35a5736c"]}],"mendeley":{"formattedCitation":"(&lt;i&gt;Gusrianto, A., &amp; Syaifudin, M. (2023). Implementasi Strategi Di Lembaga Keuangan Syariah: Pendekatan Penelitian Tindakan. Jurnal Manajemen Islam Asia, 5(1), 25–40. Https://Doi.Org/10.1108/AJIM-08-2023-0055&lt;/i&gt;, n.d.)","manualFormatting":"(Gusrianto and Syaifudin ,2023","plainTextFormattedCitation":"(Gusrianto, A., &amp; Syaifudin, M. (2023). Implementasi Strategi Di Lembaga Keuangan Syariah: Pendekatan Penelitian Tindakan. Jurnal Manajemen Islam Asia, 5(1), 25–40. Https://Doi.Org/10.1108/AJIM-08-2023-0055, n.d.)","previouslyFormattedCitation":"(&lt;i&gt;Gusrianto, A., &amp; Syaifudin, M. (2023). Implementasi Strategi Di Lembaga Keuangan Syariah: Pendekatan Penelitian Tindakan. Jurnal Manajemen Islam Asia, 5(1), 25–40. Https://Doi.Org/10.1108/AJIM-08-2023-0055&lt;/i&gt;, n.d.)"},"properties":{"noteIndex":0},"schema":"https://github.com/citation-style-language/schema/raw/master/csl-citation.json"}</w:instrText>
      </w:r>
      <w:r w:rsidR="00CF48E9" w:rsidRPr="00CF48E9">
        <w:rPr>
          <w:b/>
          <w:color w:val="FF0000"/>
        </w:rPr>
        <w:fldChar w:fldCharType="separate"/>
      </w:r>
      <w:r w:rsidR="00CF48E9" w:rsidRPr="00CF48E9">
        <w:t xml:space="preserve"> </w:t>
      </w:r>
      <w:r w:rsidR="0087623D">
        <w:t>(</w:t>
      </w:r>
      <w:r w:rsidR="00CF48E9" w:rsidRPr="00F7610E">
        <w:rPr>
          <w:sz w:val="24"/>
          <w:szCs w:val="24"/>
        </w:rPr>
        <w:t>Zhang et al., 2021)</w:t>
      </w:r>
      <w:r w:rsidR="00CF48E9" w:rsidRPr="00CF48E9">
        <w:rPr>
          <w:b/>
          <w:color w:val="FF0000"/>
        </w:rPr>
        <w:t xml:space="preserve"> </w:t>
      </w:r>
      <w:r w:rsidR="00CF48E9" w:rsidRPr="00CF48E9">
        <w:rPr>
          <w:b/>
          <w:color w:val="FF0000"/>
        </w:rPr>
        <w:fldChar w:fldCharType="end"/>
      </w:r>
      <w:r w:rsidRPr="00F7610E">
        <w:rPr>
          <w:sz w:val="24"/>
          <w:szCs w:val="24"/>
        </w:rPr>
        <w:t>.</w:t>
      </w:r>
    </w:p>
    <w:p w:rsidR="00B47C7F" w:rsidRDefault="00B47C7F" w:rsidP="0079228B">
      <w:pPr>
        <w:pStyle w:val="BodyText"/>
        <w:spacing w:before="69" w:line="360" w:lineRule="auto"/>
        <w:ind w:right="29"/>
        <w:jc w:val="both"/>
        <w:rPr>
          <w:b/>
          <w:bCs/>
        </w:rPr>
      </w:pPr>
    </w:p>
    <w:p w:rsidR="0079228B" w:rsidRPr="0079228B" w:rsidRDefault="00C97CEE" w:rsidP="0079228B">
      <w:pPr>
        <w:pStyle w:val="BodyText"/>
        <w:spacing w:before="69" w:line="360" w:lineRule="auto"/>
        <w:ind w:right="29"/>
        <w:jc w:val="both"/>
        <w:rPr>
          <w:b/>
          <w:bCs/>
        </w:rPr>
      </w:pPr>
      <w:proofErr w:type="gramStart"/>
      <w:r w:rsidRPr="001268E2">
        <w:rPr>
          <w:b/>
          <w:bCs/>
        </w:rPr>
        <w:lastRenderedPageBreak/>
        <w:t>RESEARCH METHODS</w:t>
      </w:r>
      <w:r w:rsidR="001268E2" w:rsidRPr="001268E2">
        <w:rPr>
          <w:color w:val="404040"/>
        </w:rPr>
        <w:t>.</w:t>
      </w:r>
      <w:proofErr w:type="gramEnd"/>
    </w:p>
    <w:p w:rsidR="00E01F8B" w:rsidRPr="00E01F8B" w:rsidRDefault="0079228B" w:rsidP="00E01F8B">
      <w:pPr>
        <w:pStyle w:val="BodyText"/>
        <w:spacing w:before="69" w:line="360" w:lineRule="auto"/>
        <w:ind w:right="29" w:firstLine="720"/>
        <w:jc w:val="both"/>
      </w:pPr>
      <w:r w:rsidRPr="0079228B">
        <w:t xml:space="preserve">This study employs a quantitative method with a descriptive-analytical approach to evaluate and compare the financial and digital performance of conventional and digital banks in Indonesia using numerical data derived from annual reports, OJK statistics, and key banking performance indicators. This approach enables objective analysis of financial strength through profitability, liquidity, efficiency, risk, and capital ratios, while also assessing digital performance through market penetration, innovation capability, customer growth, and technological scalability. </w:t>
      </w:r>
      <w:r w:rsidRPr="002C29B0">
        <w:t xml:space="preserve">Previous studies </w:t>
      </w:r>
      <w:r w:rsidRPr="0079228B">
        <w:t>have shown that descriptive quantitative analysis is highly effective for mapping banking performance, identifying industry trends, and providing factual insights for strategic policy evaluation. Therefore, this method is highly relevant for comprehensively assessing the comparative competitiveness, sustainability, and strategic development of both conventional and digital banking sectors in Indonesia</w:t>
      </w:r>
      <w:r>
        <w:t>.</w:t>
      </w:r>
      <w:r w:rsidR="002C29B0">
        <w:t xml:space="preserve"> </w:t>
      </w:r>
      <w:r w:rsidR="00521242">
        <w:t>Meanwhile, digital performance indicators are developed based on established theories including Technology Acceptance Model (TAM</w:t>
      </w:r>
      <w:proofErr w:type="gramStart"/>
      <w:r w:rsidR="00521242">
        <w:t>) ,</w:t>
      </w:r>
      <w:proofErr w:type="gramEnd"/>
      <w:r w:rsidR="00521242">
        <w:t xml:space="preserve"> Unified Theory of Acceptance and Use of Technology (UTAUT) , IT capability, and platform ecosystem theory, and operationalized using industry-level data from OJK and banking reports.</w:t>
      </w:r>
      <w:r w:rsidR="00521242" w:rsidRPr="00521242">
        <w:t xml:space="preserve"> </w:t>
      </w:r>
      <w:r w:rsidR="00E01F8B" w:rsidRPr="00E01F8B">
        <w:t>.</w:t>
      </w:r>
    </w:p>
    <w:p w:rsidR="00C97CEE" w:rsidRPr="00C97CEE" w:rsidRDefault="00C97CEE" w:rsidP="00311A3B">
      <w:pPr>
        <w:widowControl/>
        <w:autoSpaceDE/>
        <w:autoSpaceDN/>
        <w:spacing w:line="360" w:lineRule="auto"/>
        <w:ind w:right="29"/>
        <w:jc w:val="both"/>
        <w:rPr>
          <w:sz w:val="24"/>
          <w:szCs w:val="24"/>
        </w:rPr>
      </w:pPr>
    </w:p>
    <w:p w:rsidR="00FC095A" w:rsidRDefault="00C97CEE" w:rsidP="00D37BA9">
      <w:pPr>
        <w:widowControl/>
        <w:autoSpaceDE/>
        <w:autoSpaceDN/>
        <w:spacing w:line="360" w:lineRule="auto"/>
        <w:ind w:right="29"/>
        <w:jc w:val="both"/>
        <w:rPr>
          <w:w w:val="95"/>
          <w:sz w:val="24"/>
          <w:szCs w:val="24"/>
        </w:rPr>
      </w:pPr>
      <w:r w:rsidRPr="00C97CEE">
        <w:rPr>
          <w:b/>
          <w:sz w:val="24"/>
          <w:szCs w:val="24"/>
        </w:rPr>
        <w:t>RESULTS AND DISCUSSION</w:t>
      </w:r>
      <w:r w:rsidRPr="00C97CEE">
        <w:rPr>
          <w:w w:val="95"/>
          <w:sz w:val="24"/>
          <w:szCs w:val="24"/>
        </w:rPr>
        <w:t xml:space="preserve"> </w:t>
      </w:r>
    </w:p>
    <w:p w:rsidR="00E01F8B" w:rsidRDefault="00E01F8B" w:rsidP="00E01F8B">
      <w:pPr>
        <w:pStyle w:val="Heading1"/>
        <w:ind w:left="0"/>
      </w:pPr>
      <w:r>
        <w:t>Financial Performance of To</w:t>
      </w:r>
      <w:r w:rsidR="00FC095A">
        <w:t xml:space="preserve">p 5 Digital Banks in Indonesia </w:t>
      </w:r>
    </w:p>
    <w:p w:rsidR="00B47C7F" w:rsidRDefault="00E01F8B" w:rsidP="00B47C7F">
      <w:pPr>
        <w:pStyle w:val="BodyText"/>
        <w:spacing w:before="69" w:line="360" w:lineRule="auto"/>
        <w:ind w:right="29" w:firstLine="720"/>
        <w:jc w:val="both"/>
      </w:pPr>
      <w:r w:rsidRPr="00E01F8B">
        <w:t>Based on the performance data of the five largest dig</w:t>
      </w:r>
      <w:r>
        <w:t>ital banks in Indonesia in 2025</w:t>
      </w:r>
      <w:r w:rsidR="00FC095A">
        <w:t xml:space="preserve"> (Table 4), </w:t>
      </w:r>
      <w:proofErr w:type="spellStart"/>
      <w:r w:rsidRPr="00E01F8B">
        <w:t>SeaBank</w:t>
      </w:r>
      <w:proofErr w:type="spellEnd"/>
      <w:r w:rsidRPr="00E01F8B">
        <w:t xml:space="preserve"> Indonesia, Bank </w:t>
      </w:r>
      <w:proofErr w:type="spellStart"/>
      <w:r w:rsidRPr="00E01F8B">
        <w:t>Jago</w:t>
      </w:r>
      <w:proofErr w:type="spellEnd"/>
      <w:r w:rsidRPr="00E01F8B">
        <w:t xml:space="preserve">, </w:t>
      </w:r>
      <w:proofErr w:type="spellStart"/>
      <w:r w:rsidRPr="00E01F8B">
        <w:t>Allo</w:t>
      </w:r>
      <w:proofErr w:type="spellEnd"/>
      <w:r w:rsidRPr="00E01F8B">
        <w:t xml:space="preserve"> Bank Indonesia, Bank Neo </w:t>
      </w:r>
      <w:r>
        <w:t>Commerce, and BCA Digital (</w:t>
      </w:r>
      <w:proofErr w:type="spellStart"/>
      <w:r>
        <w:t>blu</w:t>
      </w:r>
      <w:proofErr w:type="spellEnd"/>
      <w:r>
        <w:t xml:space="preserve">), </w:t>
      </w:r>
      <w:r w:rsidRPr="00E01F8B">
        <w:t xml:space="preserve">the digital banking industry is clearly in a phase of </w:t>
      </w:r>
      <w:r w:rsidRPr="00E01F8B">
        <w:rPr>
          <w:bCs/>
        </w:rPr>
        <w:t>rapid growth but not yet fully stable in terms of profitability</w:t>
      </w:r>
      <w:r w:rsidRPr="00E01F8B">
        <w:t xml:space="preserve">. In terms of assets, </w:t>
      </w:r>
      <w:proofErr w:type="spellStart"/>
      <w:r w:rsidRPr="00E01F8B">
        <w:t>SeaBank</w:t>
      </w:r>
      <w:proofErr w:type="spellEnd"/>
      <w:r w:rsidRPr="00E01F8B">
        <w:t xml:space="preserve"> and Bank </w:t>
      </w:r>
      <w:proofErr w:type="spellStart"/>
      <w:r w:rsidRPr="00E01F8B">
        <w:t>Jago</w:t>
      </w:r>
      <w:proofErr w:type="spellEnd"/>
      <w:r w:rsidRPr="00E01F8B">
        <w:t xml:space="preserve"> lead the industry with total assets of around Rp38–39 trillion, indicating relatively faster expansion capacity compared to other digital banks. However, when assessed using financial performance indicators such as Return on Assets, most digital banks are still at low to moderate levels, reflecting that their current focus remains on user acquisition and market expansion rather than profit maximization.</w:t>
      </w:r>
      <w:r w:rsidR="00B47C7F">
        <w:t xml:space="preserve"> </w:t>
      </w:r>
      <w:r w:rsidR="00B47C7F">
        <w:t>From a risk and stability perspective, the Non-Performing Loan ratio across all digital banks remains under control, ranging between 1% and 2.9%, indicating generally healthy credit quality, although some pressure is observed in banks such as Bank Neo Commerce, which has a relatively higher NPL. Meanwhile, the Capital Adequacy Ratio is very strong across all digital banks, reaching as high as 60% in BCA Digital, indicating substantial capital support from shareholders to sustain long-term growth strategies. Overall, these indicators suggest that digital banks prioritize capital strength and risk absorption capacity over short-term profitability</w:t>
      </w:r>
    </w:p>
    <w:p w:rsidR="00B47C7F" w:rsidRDefault="00B47C7F" w:rsidP="00FC095A">
      <w:pPr>
        <w:pStyle w:val="BodyText"/>
        <w:spacing w:before="69" w:line="360" w:lineRule="auto"/>
        <w:ind w:right="29" w:firstLine="720"/>
        <w:jc w:val="both"/>
      </w:pPr>
    </w:p>
    <w:p w:rsidR="00FC095A" w:rsidRPr="00E01F8B" w:rsidRDefault="00FC095A" w:rsidP="00FC095A">
      <w:pPr>
        <w:pStyle w:val="Heading1"/>
        <w:jc w:val="center"/>
        <w:rPr>
          <w:b w:val="0"/>
        </w:rPr>
      </w:pPr>
      <w:r w:rsidRPr="00E01F8B">
        <w:rPr>
          <w:b w:val="0"/>
        </w:rPr>
        <w:lastRenderedPageBreak/>
        <w:t>Table 4</w:t>
      </w:r>
    </w:p>
    <w:p w:rsidR="00FC095A" w:rsidRDefault="00FC095A" w:rsidP="00FC095A">
      <w:pPr>
        <w:pStyle w:val="Heading1"/>
        <w:jc w:val="center"/>
        <w:rPr>
          <w:b w:val="0"/>
        </w:rPr>
      </w:pPr>
      <w:r w:rsidRPr="00E01F8B">
        <w:rPr>
          <w:b w:val="0"/>
        </w:rPr>
        <w:t>. Performance of Top 5 Digital Banks in Indonesia (2025)</w:t>
      </w:r>
    </w:p>
    <w:p w:rsidR="00FC095A" w:rsidRPr="00E01F8B" w:rsidRDefault="00FC095A" w:rsidP="00FC095A">
      <w:pPr>
        <w:pStyle w:val="Heading1"/>
        <w:jc w:val="center"/>
        <w:rPr>
          <w:b w:val="0"/>
        </w:rPr>
      </w:pPr>
    </w:p>
    <w:tbl>
      <w:tblPr>
        <w:tblStyle w:val="TableGrid"/>
        <w:tblW w:w="0" w:type="auto"/>
        <w:tblInd w:w="108" w:type="dxa"/>
        <w:tblLayout w:type="fixed"/>
        <w:tblLook w:val="04A0" w:firstRow="1" w:lastRow="0" w:firstColumn="1" w:lastColumn="0" w:noHBand="0" w:noVBand="1"/>
      </w:tblPr>
      <w:tblGrid>
        <w:gridCol w:w="1535"/>
        <w:gridCol w:w="2151"/>
        <w:gridCol w:w="992"/>
        <w:gridCol w:w="1292"/>
        <w:gridCol w:w="1022"/>
        <w:gridCol w:w="1010"/>
        <w:gridCol w:w="787"/>
        <w:gridCol w:w="992"/>
      </w:tblGrid>
      <w:tr w:rsidR="00CC2C0F" w:rsidRPr="00E01F8B" w:rsidTr="00CC2C0F">
        <w:tc>
          <w:tcPr>
            <w:tcW w:w="1535" w:type="dxa"/>
            <w:hideMark/>
          </w:tcPr>
          <w:p w:rsidR="003E59AF" w:rsidRDefault="003E59AF" w:rsidP="00FC095A">
            <w:pPr>
              <w:contextualSpacing/>
              <w:jc w:val="center"/>
              <w:rPr>
                <w:bCs/>
              </w:rPr>
            </w:pPr>
          </w:p>
          <w:p w:rsidR="00FC095A" w:rsidRPr="00E01F8B" w:rsidRDefault="00FC095A" w:rsidP="00FC095A">
            <w:pPr>
              <w:contextualSpacing/>
              <w:jc w:val="center"/>
              <w:rPr>
                <w:bCs/>
                <w:sz w:val="24"/>
                <w:szCs w:val="24"/>
              </w:rPr>
            </w:pPr>
            <w:r w:rsidRPr="00E01F8B">
              <w:rPr>
                <w:bCs/>
              </w:rPr>
              <w:t>Bank</w:t>
            </w:r>
          </w:p>
        </w:tc>
        <w:tc>
          <w:tcPr>
            <w:tcW w:w="2151" w:type="dxa"/>
            <w:hideMark/>
          </w:tcPr>
          <w:p w:rsidR="003E59AF" w:rsidRDefault="003E59AF" w:rsidP="00FC095A">
            <w:pPr>
              <w:contextualSpacing/>
              <w:jc w:val="center"/>
              <w:rPr>
                <w:bCs/>
              </w:rPr>
            </w:pPr>
          </w:p>
          <w:p w:rsidR="00FC095A" w:rsidRPr="00E01F8B" w:rsidRDefault="00FC095A" w:rsidP="00FC095A">
            <w:pPr>
              <w:contextualSpacing/>
              <w:jc w:val="center"/>
              <w:rPr>
                <w:bCs/>
                <w:sz w:val="24"/>
                <w:szCs w:val="24"/>
              </w:rPr>
            </w:pPr>
            <w:r w:rsidRPr="00E01F8B">
              <w:rPr>
                <w:bCs/>
              </w:rPr>
              <w:t>Total Assets (</w:t>
            </w:r>
            <w:proofErr w:type="spellStart"/>
            <w:r w:rsidRPr="00E01F8B">
              <w:rPr>
                <w:bCs/>
              </w:rPr>
              <w:t>Rp</w:t>
            </w:r>
            <w:proofErr w:type="spellEnd"/>
            <w:r w:rsidRPr="00E01F8B">
              <w:rPr>
                <w:bCs/>
              </w:rPr>
              <w:t xml:space="preserve"> Trillion)</w:t>
            </w:r>
          </w:p>
        </w:tc>
        <w:tc>
          <w:tcPr>
            <w:tcW w:w="992" w:type="dxa"/>
            <w:hideMark/>
          </w:tcPr>
          <w:p w:rsidR="003E59AF" w:rsidRDefault="003E59AF" w:rsidP="00FC095A">
            <w:pPr>
              <w:contextualSpacing/>
              <w:jc w:val="center"/>
              <w:rPr>
                <w:bCs/>
              </w:rPr>
            </w:pPr>
          </w:p>
          <w:p w:rsidR="00FC095A" w:rsidRPr="00E01F8B" w:rsidRDefault="00FC095A" w:rsidP="00FC095A">
            <w:pPr>
              <w:contextualSpacing/>
              <w:jc w:val="center"/>
              <w:rPr>
                <w:bCs/>
                <w:sz w:val="24"/>
                <w:szCs w:val="24"/>
              </w:rPr>
            </w:pPr>
            <w:r w:rsidRPr="00E01F8B">
              <w:rPr>
                <w:bCs/>
              </w:rPr>
              <w:t>NPL (%)</w:t>
            </w:r>
          </w:p>
        </w:tc>
        <w:tc>
          <w:tcPr>
            <w:tcW w:w="1292" w:type="dxa"/>
            <w:hideMark/>
          </w:tcPr>
          <w:p w:rsidR="003E59AF" w:rsidRDefault="003E59AF" w:rsidP="00FC095A">
            <w:pPr>
              <w:contextualSpacing/>
              <w:jc w:val="center"/>
              <w:rPr>
                <w:bCs/>
              </w:rPr>
            </w:pPr>
          </w:p>
          <w:p w:rsidR="00FC095A" w:rsidRPr="00E01F8B" w:rsidRDefault="00FC095A" w:rsidP="00FC095A">
            <w:pPr>
              <w:contextualSpacing/>
              <w:jc w:val="center"/>
              <w:rPr>
                <w:bCs/>
                <w:sz w:val="24"/>
                <w:szCs w:val="24"/>
              </w:rPr>
            </w:pPr>
            <w:r w:rsidRPr="00E01F8B">
              <w:rPr>
                <w:bCs/>
              </w:rPr>
              <w:t>GCG</w:t>
            </w:r>
          </w:p>
        </w:tc>
        <w:tc>
          <w:tcPr>
            <w:tcW w:w="1022" w:type="dxa"/>
            <w:hideMark/>
          </w:tcPr>
          <w:p w:rsidR="003E59AF" w:rsidRDefault="003E59AF" w:rsidP="00FC095A">
            <w:pPr>
              <w:contextualSpacing/>
              <w:jc w:val="center"/>
              <w:rPr>
                <w:bCs/>
              </w:rPr>
            </w:pPr>
          </w:p>
          <w:p w:rsidR="00FC095A" w:rsidRPr="00E01F8B" w:rsidRDefault="00FC095A" w:rsidP="00FC095A">
            <w:pPr>
              <w:contextualSpacing/>
              <w:jc w:val="center"/>
              <w:rPr>
                <w:bCs/>
                <w:sz w:val="24"/>
                <w:szCs w:val="24"/>
              </w:rPr>
            </w:pPr>
            <w:r w:rsidRPr="00E01F8B">
              <w:rPr>
                <w:bCs/>
              </w:rPr>
              <w:t>ROA (%)</w:t>
            </w:r>
          </w:p>
        </w:tc>
        <w:tc>
          <w:tcPr>
            <w:tcW w:w="1010" w:type="dxa"/>
            <w:hideMark/>
          </w:tcPr>
          <w:p w:rsidR="003E59AF" w:rsidRDefault="003E59AF" w:rsidP="00FC095A">
            <w:pPr>
              <w:contextualSpacing/>
              <w:jc w:val="center"/>
              <w:rPr>
                <w:bCs/>
              </w:rPr>
            </w:pPr>
          </w:p>
          <w:p w:rsidR="00FC095A" w:rsidRPr="00E01F8B" w:rsidRDefault="00FC095A" w:rsidP="00FC095A">
            <w:pPr>
              <w:contextualSpacing/>
              <w:jc w:val="center"/>
              <w:rPr>
                <w:bCs/>
                <w:sz w:val="24"/>
                <w:szCs w:val="24"/>
              </w:rPr>
            </w:pPr>
            <w:r w:rsidRPr="00E01F8B">
              <w:rPr>
                <w:bCs/>
              </w:rPr>
              <w:t>CAR (%)</w:t>
            </w:r>
          </w:p>
        </w:tc>
        <w:tc>
          <w:tcPr>
            <w:tcW w:w="787" w:type="dxa"/>
            <w:hideMark/>
          </w:tcPr>
          <w:p w:rsidR="003E59AF" w:rsidRDefault="003E59AF" w:rsidP="00FC095A">
            <w:pPr>
              <w:contextualSpacing/>
              <w:jc w:val="center"/>
              <w:rPr>
                <w:bCs/>
              </w:rPr>
            </w:pPr>
          </w:p>
          <w:p w:rsidR="00FC095A" w:rsidRDefault="00FC095A" w:rsidP="00FC095A">
            <w:pPr>
              <w:contextualSpacing/>
              <w:jc w:val="center"/>
              <w:rPr>
                <w:bCs/>
              </w:rPr>
            </w:pPr>
            <w:r>
              <w:rPr>
                <w:bCs/>
              </w:rPr>
              <w:t>LDR</w:t>
            </w:r>
            <w:r w:rsidRPr="00E01F8B">
              <w:rPr>
                <w:bCs/>
              </w:rPr>
              <w:t xml:space="preserve"> (%)</w:t>
            </w:r>
          </w:p>
          <w:p w:rsidR="003E59AF" w:rsidRPr="00E01F8B" w:rsidRDefault="003E59AF" w:rsidP="00FC095A">
            <w:pPr>
              <w:contextualSpacing/>
              <w:jc w:val="center"/>
              <w:rPr>
                <w:bCs/>
                <w:sz w:val="24"/>
                <w:szCs w:val="24"/>
              </w:rPr>
            </w:pPr>
          </w:p>
        </w:tc>
        <w:tc>
          <w:tcPr>
            <w:tcW w:w="992" w:type="dxa"/>
            <w:hideMark/>
          </w:tcPr>
          <w:p w:rsidR="003E59AF" w:rsidRDefault="003E59AF" w:rsidP="00FC095A">
            <w:pPr>
              <w:contextualSpacing/>
              <w:jc w:val="center"/>
              <w:rPr>
                <w:bCs/>
              </w:rPr>
            </w:pPr>
          </w:p>
          <w:p w:rsidR="00FC095A" w:rsidRPr="00E01F8B" w:rsidRDefault="00FC095A" w:rsidP="00FC095A">
            <w:pPr>
              <w:contextualSpacing/>
              <w:jc w:val="center"/>
              <w:rPr>
                <w:bCs/>
                <w:sz w:val="24"/>
                <w:szCs w:val="24"/>
              </w:rPr>
            </w:pPr>
            <w:r w:rsidRPr="00E01F8B">
              <w:rPr>
                <w:bCs/>
              </w:rPr>
              <w:t>Status</w:t>
            </w:r>
          </w:p>
        </w:tc>
      </w:tr>
      <w:tr w:rsidR="00CC2C0F" w:rsidTr="00CC2C0F">
        <w:tc>
          <w:tcPr>
            <w:tcW w:w="1535" w:type="dxa"/>
            <w:hideMark/>
          </w:tcPr>
          <w:p w:rsidR="00FC095A" w:rsidRDefault="00FC095A" w:rsidP="00FC095A">
            <w:pPr>
              <w:contextualSpacing/>
              <w:jc w:val="center"/>
              <w:rPr>
                <w:sz w:val="24"/>
                <w:szCs w:val="24"/>
              </w:rPr>
            </w:pPr>
            <w:proofErr w:type="spellStart"/>
            <w:r>
              <w:t>SeaBank</w:t>
            </w:r>
            <w:proofErr w:type="spellEnd"/>
            <w:r>
              <w:t xml:space="preserve"> Indonesia</w:t>
            </w:r>
          </w:p>
        </w:tc>
        <w:tc>
          <w:tcPr>
            <w:tcW w:w="2151" w:type="dxa"/>
            <w:hideMark/>
          </w:tcPr>
          <w:p w:rsidR="00FC095A" w:rsidRDefault="00FC095A" w:rsidP="00FC095A">
            <w:pPr>
              <w:contextualSpacing/>
              <w:jc w:val="center"/>
              <w:rPr>
                <w:sz w:val="24"/>
                <w:szCs w:val="24"/>
              </w:rPr>
            </w:pPr>
            <w:r>
              <w:t>39.21</w:t>
            </w:r>
          </w:p>
        </w:tc>
        <w:tc>
          <w:tcPr>
            <w:tcW w:w="992" w:type="dxa"/>
            <w:hideMark/>
          </w:tcPr>
          <w:p w:rsidR="00FC095A" w:rsidRDefault="00FC095A" w:rsidP="00FC095A">
            <w:pPr>
              <w:contextualSpacing/>
              <w:jc w:val="center"/>
              <w:rPr>
                <w:sz w:val="24"/>
                <w:szCs w:val="24"/>
              </w:rPr>
            </w:pPr>
            <w:r>
              <w:t>2.0</w:t>
            </w:r>
          </w:p>
        </w:tc>
        <w:tc>
          <w:tcPr>
            <w:tcW w:w="1292" w:type="dxa"/>
            <w:hideMark/>
          </w:tcPr>
          <w:p w:rsidR="00FC095A" w:rsidRDefault="00FC095A" w:rsidP="00FC095A">
            <w:pPr>
              <w:contextualSpacing/>
              <w:jc w:val="center"/>
              <w:rPr>
                <w:sz w:val="24"/>
                <w:szCs w:val="24"/>
              </w:rPr>
            </w:pPr>
            <w:r>
              <w:t>Good</w:t>
            </w:r>
          </w:p>
        </w:tc>
        <w:tc>
          <w:tcPr>
            <w:tcW w:w="1022" w:type="dxa"/>
            <w:hideMark/>
          </w:tcPr>
          <w:p w:rsidR="00FC095A" w:rsidRDefault="00FC095A" w:rsidP="00FC095A">
            <w:pPr>
              <w:contextualSpacing/>
              <w:jc w:val="center"/>
              <w:rPr>
                <w:sz w:val="24"/>
                <w:szCs w:val="24"/>
              </w:rPr>
            </w:pPr>
            <w:r>
              <w:t>1.2</w:t>
            </w:r>
          </w:p>
        </w:tc>
        <w:tc>
          <w:tcPr>
            <w:tcW w:w="1010" w:type="dxa"/>
            <w:hideMark/>
          </w:tcPr>
          <w:p w:rsidR="00FC095A" w:rsidRDefault="00FC095A" w:rsidP="00FC095A">
            <w:pPr>
              <w:contextualSpacing/>
              <w:jc w:val="center"/>
              <w:rPr>
                <w:sz w:val="24"/>
                <w:szCs w:val="24"/>
              </w:rPr>
            </w:pPr>
            <w:r>
              <w:t>32.0</w:t>
            </w:r>
          </w:p>
        </w:tc>
        <w:tc>
          <w:tcPr>
            <w:tcW w:w="787" w:type="dxa"/>
            <w:hideMark/>
          </w:tcPr>
          <w:p w:rsidR="00FC095A" w:rsidRDefault="00FC095A" w:rsidP="00FC095A">
            <w:pPr>
              <w:contextualSpacing/>
              <w:jc w:val="center"/>
              <w:rPr>
                <w:sz w:val="24"/>
                <w:szCs w:val="24"/>
              </w:rPr>
            </w:pPr>
            <w:r>
              <w:t>85</w:t>
            </w:r>
          </w:p>
        </w:tc>
        <w:tc>
          <w:tcPr>
            <w:tcW w:w="992" w:type="dxa"/>
            <w:hideMark/>
          </w:tcPr>
          <w:p w:rsidR="00FC095A" w:rsidRDefault="00FC095A" w:rsidP="00FC095A">
            <w:pPr>
              <w:contextualSpacing/>
              <w:jc w:val="center"/>
              <w:rPr>
                <w:sz w:val="24"/>
                <w:szCs w:val="24"/>
              </w:rPr>
            </w:pPr>
            <w:r>
              <w:t>Healthy</w:t>
            </w:r>
          </w:p>
        </w:tc>
      </w:tr>
      <w:tr w:rsidR="00CC2C0F" w:rsidTr="00CC2C0F">
        <w:tc>
          <w:tcPr>
            <w:tcW w:w="1535" w:type="dxa"/>
            <w:hideMark/>
          </w:tcPr>
          <w:p w:rsidR="00FC095A" w:rsidRDefault="00FC095A" w:rsidP="00FC095A">
            <w:pPr>
              <w:contextualSpacing/>
              <w:jc w:val="center"/>
              <w:rPr>
                <w:sz w:val="24"/>
                <w:szCs w:val="24"/>
              </w:rPr>
            </w:pPr>
            <w:r>
              <w:t xml:space="preserve">Bank </w:t>
            </w:r>
            <w:proofErr w:type="spellStart"/>
            <w:r>
              <w:t>Jago</w:t>
            </w:r>
            <w:proofErr w:type="spellEnd"/>
          </w:p>
        </w:tc>
        <w:tc>
          <w:tcPr>
            <w:tcW w:w="2151" w:type="dxa"/>
            <w:hideMark/>
          </w:tcPr>
          <w:p w:rsidR="00FC095A" w:rsidRDefault="00FC095A" w:rsidP="00FC095A">
            <w:pPr>
              <w:contextualSpacing/>
              <w:jc w:val="center"/>
              <w:rPr>
                <w:sz w:val="24"/>
                <w:szCs w:val="24"/>
              </w:rPr>
            </w:pPr>
            <w:r>
              <w:t>38.47</w:t>
            </w:r>
          </w:p>
        </w:tc>
        <w:tc>
          <w:tcPr>
            <w:tcW w:w="992" w:type="dxa"/>
            <w:hideMark/>
          </w:tcPr>
          <w:p w:rsidR="00FC095A" w:rsidRDefault="00FC095A" w:rsidP="00FC095A">
            <w:pPr>
              <w:contextualSpacing/>
              <w:jc w:val="center"/>
              <w:rPr>
                <w:sz w:val="24"/>
                <w:szCs w:val="24"/>
              </w:rPr>
            </w:pPr>
            <w:r>
              <w:t>1.0</w:t>
            </w:r>
          </w:p>
        </w:tc>
        <w:tc>
          <w:tcPr>
            <w:tcW w:w="1292" w:type="dxa"/>
            <w:hideMark/>
          </w:tcPr>
          <w:p w:rsidR="00FC095A" w:rsidRDefault="00FC095A" w:rsidP="00FC095A">
            <w:pPr>
              <w:contextualSpacing/>
              <w:jc w:val="center"/>
              <w:rPr>
                <w:sz w:val="24"/>
                <w:szCs w:val="24"/>
              </w:rPr>
            </w:pPr>
            <w:r>
              <w:t>Good</w:t>
            </w:r>
          </w:p>
        </w:tc>
        <w:tc>
          <w:tcPr>
            <w:tcW w:w="1022" w:type="dxa"/>
            <w:hideMark/>
          </w:tcPr>
          <w:p w:rsidR="00FC095A" w:rsidRDefault="00FC095A" w:rsidP="00FC095A">
            <w:pPr>
              <w:contextualSpacing/>
              <w:jc w:val="center"/>
              <w:rPr>
                <w:sz w:val="24"/>
                <w:szCs w:val="24"/>
              </w:rPr>
            </w:pPr>
            <w:r>
              <w:t>0.5</w:t>
            </w:r>
          </w:p>
        </w:tc>
        <w:tc>
          <w:tcPr>
            <w:tcW w:w="1010" w:type="dxa"/>
            <w:hideMark/>
          </w:tcPr>
          <w:p w:rsidR="00FC095A" w:rsidRDefault="00FC095A" w:rsidP="00FC095A">
            <w:pPr>
              <w:contextualSpacing/>
              <w:jc w:val="center"/>
              <w:rPr>
                <w:sz w:val="24"/>
                <w:szCs w:val="24"/>
              </w:rPr>
            </w:pPr>
            <w:r>
              <w:t>45.0</w:t>
            </w:r>
          </w:p>
        </w:tc>
        <w:tc>
          <w:tcPr>
            <w:tcW w:w="787" w:type="dxa"/>
            <w:hideMark/>
          </w:tcPr>
          <w:p w:rsidR="00FC095A" w:rsidRDefault="00FC095A" w:rsidP="00FC095A">
            <w:pPr>
              <w:contextualSpacing/>
              <w:jc w:val="center"/>
              <w:rPr>
                <w:sz w:val="24"/>
                <w:szCs w:val="24"/>
              </w:rPr>
            </w:pPr>
            <w:r>
              <w:t>90</w:t>
            </w:r>
          </w:p>
        </w:tc>
        <w:tc>
          <w:tcPr>
            <w:tcW w:w="992" w:type="dxa"/>
            <w:hideMark/>
          </w:tcPr>
          <w:p w:rsidR="00FC095A" w:rsidRDefault="00FC095A" w:rsidP="00FC095A">
            <w:pPr>
              <w:contextualSpacing/>
              <w:jc w:val="center"/>
              <w:rPr>
                <w:sz w:val="24"/>
                <w:szCs w:val="24"/>
              </w:rPr>
            </w:pPr>
            <w:r>
              <w:t>Healthy</w:t>
            </w:r>
          </w:p>
        </w:tc>
      </w:tr>
      <w:tr w:rsidR="00CC2C0F" w:rsidTr="00CC2C0F">
        <w:tc>
          <w:tcPr>
            <w:tcW w:w="1535" w:type="dxa"/>
            <w:hideMark/>
          </w:tcPr>
          <w:p w:rsidR="00FC095A" w:rsidRDefault="00FC095A" w:rsidP="00FC095A">
            <w:pPr>
              <w:contextualSpacing/>
              <w:jc w:val="center"/>
              <w:rPr>
                <w:sz w:val="24"/>
                <w:szCs w:val="24"/>
              </w:rPr>
            </w:pPr>
            <w:proofErr w:type="spellStart"/>
            <w:r>
              <w:t>Allo</w:t>
            </w:r>
            <w:proofErr w:type="spellEnd"/>
            <w:r>
              <w:t xml:space="preserve"> Bank Indonesia</w:t>
            </w:r>
          </w:p>
        </w:tc>
        <w:tc>
          <w:tcPr>
            <w:tcW w:w="2151" w:type="dxa"/>
            <w:hideMark/>
          </w:tcPr>
          <w:p w:rsidR="00FC095A" w:rsidRDefault="00FC095A" w:rsidP="00FC095A">
            <w:pPr>
              <w:contextualSpacing/>
              <w:jc w:val="center"/>
              <w:rPr>
                <w:sz w:val="24"/>
                <w:szCs w:val="24"/>
              </w:rPr>
            </w:pPr>
            <w:r>
              <w:t>31.02</w:t>
            </w:r>
          </w:p>
        </w:tc>
        <w:tc>
          <w:tcPr>
            <w:tcW w:w="992" w:type="dxa"/>
            <w:hideMark/>
          </w:tcPr>
          <w:p w:rsidR="00FC095A" w:rsidRDefault="00FC095A" w:rsidP="00FC095A">
            <w:pPr>
              <w:contextualSpacing/>
              <w:jc w:val="center"/>
              <w:rPr>
                <w:sz w:val="24"/>
                <w:szCs w:val="24"/>
              </w:rPr>
            </w:pPr>
            <w:r>
              <w:t>1.5</w:t>
            </w:r>
          </w:p>
        </w:tc>
        <w:tc>
          <w:tcPr>
            <w:tcW w:w="1292" w:type="dxa"/>
            <w:hideMark/>
          </w:tcPr>
          <w:p w:rsidR="00FC095A" w:rsidRDefault="00FC095A" w:rsidP="00FC095A">
            <w:pPr>
              <w:contextualSpacing/>
              <w:jc w:val="center"/>
              <w:rPr>
                <w:sz w:val="24"/>
                <w:szCs w:val="24"/>
              </w:rPr>
            </w:pPr>
            <w:r>
              <w:t>Good</w:t>
            </w:r>
          </w:p>
        </w:tc>
        <w:tc>
          <w:tcPr>
            <w:tcW w:w="1022" w:type="dxa"/>
            <w:hideMark/>
          </w:tcPr>
          <w:p w:rsidR="00FC095A" w:rsidRDefault="00FC095A" w:rsidP="00FC095A">
            <w:pPr>
              <w:contextualSpacing/>
              <w:jc w:val="center"/>
              <w:rPr>
                <w:sz w:val="24"/>
                <w:szCs w:val="24"/>
              </w:rPr>
            </w:pPr>
            <w:r>
              <w:t>0.3</w:t>
            </w:r>
          </w:p>
        </w:tc>
        <w:tc>
          <w:tcPr>
            <w:tcW w:w="1010" w:type="dxa"/>
            <w:hideMark/>
          </w:tcPr>
          <w:p w:rsidR="00FC095A" w:rsidRDefault="00FC095A" w:rsidP="00FC095A">
            <w:pPr>
              <w:contextualSpacing/>
              <w:jc w:val="center"/>
              <w:rPr>
                <w:sz w:val="24"/>
                <w:szCs w:val="24"/>
              </w:rPr>
            </w:pPr>
            <w:r>
              <w:t>38.0</w:t>
            </w:r>
          </w:p>
        </w:tc>
        <w:tc>
          <w:tcPr>
            <w:tcW w:w="787" w:type="dxa"/>
            <w:hideMark/>
          </w:tcPr>
          <w:p w:rsidR="00FC095A" w:rsidRDefault="00FC095A" w:rsidP="00FC095A">
            <w:pPr>
              <w:contextualSpacing/>
              <w:jc w:val="center"/>
              <w:rPr>
                <w:sz w:val="24"/>
                <w:szCs w:val="24"/>
              </w:rPr>
            </w:pPr>
            <w:r>
              <w:t>75</w:t>
            </w:r>
          </w:p>
        </w:tc>
        <w:tc>
          <w:tcPr>
            <w:tcW w:w="992" w:type="dxa"/>
            <w:hideMark/>
          </w:tcPr>
          <w:p w:rsidR="00FC095A" w:rsidRDefault="00FC095A" w:rsidP="00FC095A">
            <w:pPr>
              <w:contextualSpacing/>
              <w:jc w:val="center"/>
              <w:rPr>
                <w:sz w:val="24"/>
                <w:szCs w:val="24"/>
              </w:rPr>
            </w:pPr>
            <w:r>
              <w:t>Fairly Healthy</w:t>
            </w:r>
          </w:p>
        </w:tc>
      </w:tr>
      <w:tr w:rsidR="00CC2C0F" w:rsidTr="00CC2C0F">
        <w:tc>
          <w:tcPr>
            <w:tcW w:w="1535" w:type="dxa"/>
            <w:hideMark/>
          </w:tcPr>
          <w:p w:rsidR="00FC095A" w:rsidRDefault="00FC095A" w:rsidP="00FC095A">
            <w:pPr>
              <w:contextualSpacing/>
              <w:jc w:val="center"/>
              <w:rPr>
                <w:sz w:val="24"/>
                <w:szCs w:val="24"/>
              </w:rPr>
            </w:pPr>
            <w:r>
              <w:t>Bank Neo Commerce</w:t>
            </w:r>
          </w:p>
        </w:tc>
        <w:tc>
          <w:tcPr>
            <w:tcW w:w="2151" w:type="dxa"/>
            <w:hideMark/>
          </w:tcPr>
          <w:p w:rsidR="00FC095A" w:rsidRDefault="00FC095A" w:rsidP="00FC095A">
            <w:pPr>
              <w:contextualSpacing/>
              <w:jc w:val="center"/>
              <w:rPr>
                <w:sz w:val="24"/>
                <w:szCs w:val="24"/>
              </w:rPr>
            </w:pPr>
            <w:r>
              <w:t>24.85</w:t>
            </w:r>
          </w:p>
        </w:tc>
        <w:tc>
          <w:tcPr>
            <w:tcW w:w="992" w:type="dxa"/>
            <w:hideMark/>
          </w:tcPr>
          <w:p w:rsidR="00FC095A" w:rsidRDefault="00FC095A" w:rsidP="00FC095A">
            <w:pPr>
              <w:contextualSpacing/>
              <w:jc w:val="center"/>
              <w:rPr>
                <w:sz w:val="24"/>
                <w:szCs w:val="24"/>
              </w:rPr>
            </w:pPr>
            <w:r>
              <w:t>2.9</w:t>
            </w:r>
          </w:p>
        </w:tc>
        <w:tc>
          <w:tcPr>
            <w:tcW w:w="1292" w:type="dxa"/>
            <w:hideMark/>
          </w:tcPr>
          <w:p w:rsidR="00FC095A" w:rsidRDefault="00FC095A" w:rsidP="00FC095A">
            <w:pPr>
              <w:contextualSpacing/>
              <w:jc w:val="center"/>
              <w:rPr>
                <w:sz w:val="24"/>
                <w:szCs w:val="24"/>
              </w:rPr>
            </w:pPr>
            <w:r>
              <w:t>Good</w:t>
            </w:r>
          </w:p>
        </w:tc>
        <w:tc>
          <w:tcPr>
            <w:tcW w:w="1022" w:type="dxa"/>
            <w:hideMark/>
          </w:tcPr>
          <w:p w:rsidR="00FC095A" w:rsidRDefault="00FC095A" w:rsidP="00FC095A">
            <w:pPr>
              <w:contextualSpacing/>
              <w:jc w:val="center"/>
              <w:rPr>
                <w:sz w:val="24"/>
                <w:szCs w:val="24"/>
              </w:rPr>
            </w:pPr>
            <w:r>
              <w:t>3.4</w:t>
            </w:r>
          </w:p>
        </w:tc>
        <w:tc>
          <w:tcPr>
            <w:tcW w:w="1010" w:type="dxa"/>
            <w:hideMark/>
          </w:tcPr>
          <w:p w:rsidR="00FC095A" w:rsidRDefault="00FC095A" w:rsidP="00FC095A">
            <w:pPr>
              <w:contextualSpacing/>
              <w:jc w:val="center"/>
              <w:rPr>
                <w:sz w:val="24"/>
                <w:szCs w:val="24"/>
              </w:rPr>
            </w:pPr>
            <w:r>
              <w:t>31.0</w:t>
            </w:r>
          </w:p>
        </w:tc>
        <w:tc>
          <w:tcPr>
            <w:tcW w:w="787" w:type="dxa"/>
            <w:hideMark/>
          </w:tcPr>
          <w:p w:rsidR="00FC095A" w:rsidRDefault="00FC095A" w:rsidP="00FC095A">
            <w:pPr>
              <w:contextualSpacing/>
              <w:jc w:val="center"/>
              <w:rPr>
                <w:sz w:val="24"/>
                <w:szCs w:val="24"/>
              </w:rPr>
            </w:pPr>
            <w:r>
              <w:t>88</w:t>
            </w:r>
          </w:p>
        </w:tc>
        <w:tc>
          <w:tcPr>
            <w:tcW w:w="992" w:type="dxa"/>
            <w:hideMark/>
          </w:tcPr>
          <w:p w:rsidR="00FC095A" w:rsidRDefault="00FC095A" w:rsidP="00FC095A">
            <w:pPr>
              <w:contextualSpacing/>
              <w:jc w:val="center"/>
              <w:rPr>
                <w:sz w:val="24"/>
                <w:szCs w:val="24"/>
              </w:rPr>
            </w:pPr>
            <w:r>
              <w:t>Healthy</w:t>
            </w:r>
          </w:p>
        </w:tc>
      </w:tr>
      <w:tr w:rsidR="00CC2C0F" w:rsidTr="00CC2C0F">
        <w:tc>
          <w:tcPr>
            <w:tcW w:w="1535" w:type="dxa"/>
            <w:hideMark/>
          </w:tcPr>
          <w:p w:rsidR="00FC095A" w:rsidRDefault="00FC095A" w:rsidP="00FC095A">
            <w:pPr>
              <w:contextualSpacing/>
              <w:jc w:val="center"/>
              <w:rPr>
                <w:sz w:val="24"/>
                <w:szCs w:val="24"/>
              </w:rPr>
            </w:pPr>
            <w:r>
              <w:t>BCA Digital (</w:t>
            </w:r>
            <w:proofErr w:type="spellStart"/>
            <w:r>
              <w:t>blu</w:t>
            </w:r>
            <w:proofErr w:type="spellEnd"/>
            <w:r>
              <w:t>)</w:t>
            </w:r>
          </w:p>
        </w:tc>
        <w:tc>
          <w:tcPr>
            <w:tcW w:w="2151" w:type="dxa"/>
            <w:hideMark/>
          </w:tcPr>
          <w:p w:rsidR="00FC095A" w:rsidRDefault="00FC095A" w:rsidP="00FC095A">
            <w:pPr>
              <w:contextualSpacing/>
              <w:jc w:val="center"/>
              <w:rPr>
                <w:sz w:val="24"/>
                <w:szCs w:val="24"/>
              </w:rPr>
            </w:pPr>
            <w:r>
              <w:t>17.63</w:t>
            </w:r>
          </w:p>
        </w:tc>
        <w:tc>
          <w:tcPr>
            <w:tcW w:w="992" w:type="dxa"/>
            <w:hideMark/>
          </w:tcPr>
          <w:p w:rsidR="00FC095A" w:rsidRDefault="00FC095A" w:rsidP="00FC095A">
            <w:pPr>
              <w:contextualSpacing/>
              <w:jc w:val="center"/>
              <w:rPr>
                <w:sz w:val="24"/>
                <w:szCs w:val="24"/>
              </w:rPr>
            </w:pPr>
            <w:r>
              <w:t>1.2</w:t>
            </w:r>
          </w:p>
        </w:tc>
        <w:tc>
          <w:tcPr>
            <w:tcW w:w="1292" w:type="dxa"/>
            <w:hideMark/>
          </w:tcPr>
          <w:p w:rsidR="00FC095A" w:rsidRDefault="00FC095A" w:rsidP="00FC095A">
            <w:pPr>
              <w:contextualSpacing/>
              <w:jc w:val="center"/>
              <w:rPr>
                <w:sz w:val="24"/>
                <w:szCs w:val="24"/>
              </w:rPr>
            </w:pPr>
            <w:r>
              <w:t>Very Good</w:t>
            </w:r>
          </w:p>
        </w:tc>
        <w:tc>
          <w:tcPr>
            <w:tcW w:w="1022" w:type="dxa"/>
            <w:hideMark/>
          </w:tcPr>
          <w:p w:rsidR="00FC095A" w:rsidRDefault="00FC095A" w:rsidP="00FC095A">
            <w:pPr>
              <w:contextualSpacing/>
              <w:jc w:val="center"/>
              <w:rPr>
                <w:sz w:val="24"/>
                <w:szCs w:val="24"/>
              </w:rPr>
            </w:pPr>
            <w:r>
              <w:t>0.8</w:t>
            </w:r>
          </w:p>
        </w:tc>
        <w:tc>
          <w:tcPr>
            <w:tcW w:w="1010" w:type="dxa"/>
            <w:hideMark/>
          </w:tcPr>
          <w:p w:rsidR="00FC095A" w:rsidRDefault="00FC095A" w:rsidP="00FC095A">
            <w:pPr>
              <w:contextualSpacing/>
              <w:jc w:val="center"/>
              <w:rPr>
                <w:sz w:val="24"/>
                <w:szCs w:val="24"/>
              </w:rPr>
            </w:pPr>
            <w:r>
              <w:t>60.0</w:t>
            </w:r>
          </w:p>
        </w:tc>
        <w:tc>
          <w:tcPr>
            <w:tcW w:w="787" w:type="dxa"/>
            <w:hideMark/>
          </w:tcPr>
          <w:p w:rsidR="00FC095A" w:rsidRDefault="00FC095A" w:rsidP="00FC095A">
            <w:pPr>
              <w:contextualSpacing/>
              <w:jc w:val="center"/>
              <w:rPr>
                <w:sz w:val="24"/>
                <w:szCs w:val="24"/>
              </w:rPr>
            </w:pPr>
            <w:r>
              <w:t>65</w:t>
            </w:r>
          </w:p>
        </w:tc>
        <w:tc>
          <w:tcPr>
            <w:tcW w:w="992" w:type="dxa"/>
            <w:hideMark/>
          </w:tcPr>
          <w:p w:rsidR="00FC095A" w:rsidRDefault="00FC095A" w:rsidP="00FC095A">
            <w:pPr>
              <w:contextualSpacing/>
              <w:jc w:val="center"/>
              <w:rPr>
                <w:sz w:val="24"/>
                <w:szCs w:val="24"/>
              </w:rPr>
            </w:pPr>
            <w:r>
              <w:t>Healthy</w:t>
            </w:r>
          </w:p>
        </w:tc>
      </w:tr>
    </w:tbl>
    <w:p w:rsidR="00FC095A" w:rsidRDefault="00440578" w:rsidP="00440578">
      <w:pPr>
        <w:spacing w:line="360" w:lineRule="auto"/>
        <w:contextualSpacing/>
        <w:jc w:val="both"/>
      </w:pPr>
      <w:proofErr w:type="gramStart"/>
      <w:r w:rsidRPr="00B436EA">
        <w:rPr>
          <w:sz w:val="24"/>
          <w:szCs w:val="24"/>
        </w:rPr>
        <w:t>Source :</w:t>
      </w:r>
      <w:proofErr w:type="gramEnd"/>
      <w:r w:rsidRPr="00B436EA">
        <w:rPr>
          <w:sz w:val="24"/>
          <w:szCs w:val="24"/>
        </w:rPr>
        <w:t xml:space="preserve"> </w:t>
      </w:r>
      <w:r w:rsidRPr="00440578">
        <w:rPr>
          <w:sz w:val="24"/>
          <w:szCs w:val="24"/>
        </w:rPr>
        <w:t>Financial Services Authority of Indonesia (OJK)  2025</w:t>
      </w:r>
    </w:p>
    <w:p w:rsidR="00FC095A" w:rsidRDefault="00E01F8B" w:rsidP="00F7610E">
      <w:pPr>
        <w:pStyle w:val="BodyText"/>
        <w:spacing w:before="69" w:line="360" w:lineRule="auto"/>
        <w:ind w:right="29" w:firstLine="720"/>
        <w:jc w:val="both"/>
      </w:pPr>
      <w:r w:rsidRPr="00E01F8B">
        <w:t>In terms of liquidity (Loan to Deposit Ratio), all banks remain within healthy levels, although different strategic approaches can be observed between aggressive expansion and more conservative positioning.</w:t>
      </w:r>
      <w:r>
        <w:t xml:space="preserve"> </w:t>
      </w:r>
      <w:r w:rsidRPr="00E01F8B">
        <w:t xml:space="preserve">Overall, this analysis shows that digital banks in Indonesia are characterized by </w:t>
      </w:r>
      <w:r w:rsidRPr="00E01F8B">
        <w:rPr>
          <w:bCs/>
        </w:rPr>
        <w:t>very strong capital positions, controlled risk levels, but suboptimal profitability</w:t>
      </w:r>
      <w:r w:rsidRPr="00E01F8B">
        <w:t xml:space="preserve">. This reflects an early stage of industry development, where digital banks are primarily focused on customer acquisition, digital ecosystem expansion, and increasing their user base. In other words, the main strength of digital banks is not profitability, but rather </w:t>
      </w:r>
      <w:r w:rsidRPr="00E01F8B">
        <w:rPr>
          <w:bCs/>
        </w:rPr>
        <w:t>growth speed, innovation, and the scalability of their digital business models</w:t>
      </w:r>
      <w:r w:rsidRPr="00E01F8B">
        <w:t>, which may become a long-term competitive advantage in Indonesia’s banking industry.</w:t>
      </w:r>
    </w:p>
    <w:p w:rsidR="00F7610E" w:rsidRPr="00F7610E" w:rsidRDefault="00F7610E" w:rsidP="00F7610E">
      <w:pPr>
        <w:pStyle w:val="BodyText"/>
        <w:spacing w:before="69" w:line="360" w:lineRule="auto"/>
        <w:ind w:right="29" w:firstLine="720"/>
        <w:jc w:val="both"/>
        <w:rPr>
          <w:color w:val="404040"/>
        </w:rPr>
      </w:pPr>
    </w:p>
    <w:p w:rsidR="00FC095A" w:rsidRPr="00FC095A" w:rsidRDefault="00FC095A" w:rsidP="00FC095A">
      <w:pPr>
        <w:pStyle w:val="Heading1"/>
        <w:spacing w:line="360" w:lineRule="auto"/>
        <w:ind w:left="0"/>
        <w:contextualSpacing/>
        <w:jc w:val="both"/>
      </w:pPr>
      <w:r w:rsidRPr="00FC095A">
        <w:t xml:space="preserve">Digital </w:t>
      </w:r>
      <w:proofErr w:type="gramStart"/>
      <w:r w:rsidRPr="00FC095A">
        <w:t xml:space="preserve">Performance  </w:t>
      </w:r>
      <w:proofErr w:type="spellStart"/>
      <w:r w:rsidRPr="00FC095A">
        <w:t>Performance</w:t>
      </w:r>
      <w:proofErr w:type="spellEnd"/>
      <w:proofErr w:type="gramEnd"/>
      <w:r w:rsidRPr="00FC095A">
        <w:t xml:space="preserve"> of Top 5 Digital Banks in Indonesia</w:t>
      </w:r>
    </w:p>
    <w:p w:rsidR="00B47C7F" w:rsidRPr="00B47C7F" w:rsidRDefault="00B47C7F" w:rsidP="00FC095A">
      <w:pPr>
        <w:pStyle w:val="Heading1"/>
        <w:spacing w:line="360" w:lineRule="auto"/>
        <w:ind w:left="0" w:firstLine="720"/>
        <w:contextualSpacing/>
        <w:jc w:val="both"/>
        <w:rPr>
          <w:b w:val="0"/>
        </w:rPr>
      </w:pPr>
      <w:proofErr w:type="gramStart"/>
      <w:r w:rsidRPr="00B47C7F">
        <w:rPr>
          <w:b w:val="0"/>
        </w:rPr>
        <w:t>Based on Table 5, the digital performance of the five largest digital banks in Indonesia in 2025 shows that all banks are in a high level of digital transformation, but with different strengths across each dimension.</w:t>
      </w:r>
      <w:proofErr w:type="gramEnd"/>
      <w:r w:rsidRPr="00B47C7F">
        <w:rPr>
          <w:b w:val="0"/>
        </w:rPr>
        <w:t xml:space="preserve"> Overall, </w:t>
      </w:r>
      <w:proofErr w:type="spellStart"/>
      <w:r w:rsidRPr="00B47C7F">
        <w:rPr>
          <w:b w:val="0"/>
        </w:rPr>
        <w:t>SeaBank</w:t>
      </w:r>
      <w:proofErr w:type="spellEnd"/>
      <w:r w:rsidRPr="00B47C7F">
        <w:rPr>
          <w:b w:val="0"/>
        </w:rPr>
        <w:t xml:space="preserve"> Indonesia and Bank </w:t>
      </w:r>
      <w:proofErr w:type="spellStart"/>
      <w:r w:rsidRPr="00B47C7F">
        <w:rPr>
          <w:b w:val="0"/>
        </w:rPr>
        <w:t>Jago</w:t>
      </w:r>
      <w:proofErr w:type="spellEnd"/>
      <w:r w:rsidRPr="00B47C7F">
        <w:rPr>
          <w:b w:val="0"/>
        </w:rPr>
        <w:t xml:space="preserve"> demonstrate the strongest digital performance. </w:t>
      </w:r>
      <w:proofErr w:type="spellStart"/>
      <w:r w:rsidRPr="00B47C7F">
        <w:rPr>
          <w:b w:val="0"/>
        </w:rPr>
        <w:t>SeaBank</w:t>
      </w:r>
      <w:proofErr w:type="spellEnd"/>
      <w:r w:rsidRPr="00B47C7F">
        <w:rPr>
          <w:b w:val="0"/>
        </w:rPr>
        <w:t xml:space="preserve"> excels in very high customer acquisition speed, driven by strong integration with the </w:t>
      </w:r>
      <w:proofErr w:type="spellStart"/>
      <w:r w:rsidRPr="00B47C7F">
        <w:rPr>
          <w:b w:val="0"/>
        </w:rPr>
        <w:t>Shopee</w:t>
      </w:r>
      <w:proofErr w:type="spellEnd"/>
      <w:r w:rsidRPr="00B47C7F">
        <w:rPr>
          <w:b w:val="0"/>
        </w:rPr>
        <w:t xml:space="preserve"> ecosystem, enabling rapid onboarding of millions of users. It also records very high transaction growth, reflecting strong user adoption of its digital services. Bank </w:t>
      </w:r>
      <w:proofErr w:type="spellStart"/>
      <w:r w:rsidRPr="00B47C7F">
        <w:rPr>
          <w:b w:val="0"/>
        </w:rPr>
        <w:t>Jago</w:t>
      </w:r>
      <w:proofErr w:type="spellEnd"/>
      <w:r w:rsidRPr="00B47C7F">
        <w:rPr>
          <w:b w:val="0"/>
        </w:rPr>
        <w:t xml:space="preserve">, on the other hand, stands out for its very high innovation capability, particularly through its pocket-based financial management system that provides a more personalized and flexible banking experience. Its integration with the </w:t>
      </w:r>
      <w:proofErr w:type="spellStart"/>
      <w:r w:rsidRPr="00B47C7F">
        <w:rPr>
          <w:b w:val="0"/>
        </w:rPr>
        <w:t>GoTo</w:t>
      </w:r>
      <w:proofErr w:type="spellEnd"/>
      <w:r w:rsidRPr="00B47C7F">
        <w:rPr>
          <w:b w:val="0"/>
        </w:rPr>
        <w:t xml:space="preserve"> and </w:t>
      </w:r>
      <w:proofErr w:type="spellStart"/>
      <w:r w:rsidRPr="00B47C7F">
        <w:rPr>
          <w:b w:val="0"/>
        </w:rPr>
        <w:t>Bibit</w:t>
      </w:r>
      <w:proofErr w:type="spellEnd"/>
      <w:r w:rsidRPr="00B47C7F">
        <w:rPr>
          <w:b w:val="0"/>
        </w:rPr>
        <w:t xml:space="preserve"> ecosystems further strengthens its position as a highly innovative and </w:t>
      </w:r>
      <w:proofErr w:type="spellStart"/>
      <w:r w:rsidRPr="00B47C7F">
        <w:rPr>
          <w:b w:val="0"/>
        </w:rPr>
        <w:t>fintech</w:t>
      </w:r>
      <w:proofErr w:type="spellEnd"/>
      <w:r w:rsidRPr="00B47C7F">
        <w:rPr>
          <w:b w:val="0"/>
        </w:rPr>
        <w:t>-driven digital bank. This indicates that ecosystem integration plays a critical role in accelerating digital banking performance and user engagement.</w:t>
      </w:r>
    </w:p>
    <w:p w:rsidR="00FC095A" w:rsidRDefault="00FC095A" w:rsidP="00FC095A">
      <w:pPr>
        <w:jc w:val="center"/>
        <w:rPr>
          <w:sz w:val="24"/>
          <w:szCs w:val="24"/>
        </w:rPr>
      </w:pPr>
    </w:p>
    <w:p w:rsidR="00FC095A" w:rsidRDefault="00FC095A" w:rsidP="00FC095A">
      <w:pPr>
        <w:pStyle w:val="Heading1"/>
        <w:jc w:val="center"/>
        <w:rPr>
          <w:b w:val="0"/>
        </w:rPr>
      </w:pPr>
      <w:proofErr w:type="gramStart"/>
      <w:r w:rsidRPr="00FC095A">
        <w:rPr>
          <w:b w:val="0"/>
        </w:rPr>
        <w:lastRenderedPageBreak/>
        <w:t>Table 5.</w:t>
      </w:r>
      <w:proofErr w:type="gramEnd"/>
    </w:p>
    <w:p w:rsidR="00FC095A" w:rsidRDefault="00FC095A" w:rsidP="00FC095A">
      <w:pPr>
        <w:pStyle w:val="Heading1"/>
        <w:jc w:val="center"/>
        <w:rPr>
          <w:b w:val="0"/>
        </w:rPr>
      </w:pPr>
      <w:r w:rsidRPr="00FC095A">
        <w:rPr>
          <w:b w:val="0"/>
        </w:rPr>
        <w:t>Digital Performance of To</w:t>
      </w:r>
      <w:r w:rsidR="00C55051">
        <w:rPr>
          <w:b w:val="0"/>
        </w:rPr>
        <w:t xml:space="preserve">p 5 Digital Banks in Indonesia </w:t>
      </w:r>
    </w:p>
    <w:p w:rsidR="00FC095A" w:rsidRPr="00FC095A" w:rsidRDefault="00FC095A" w:rsidP="00FC095A">
      <w:pPr>
        <w:pStyle w:val="Heading1"/>
        <w:jc w:val="center"/>
        <w:rPr>
          <w:b w:val="0"/>
        </w:rPr>
      </w:pPr>
    </w:p>
    <w:tbl>
      <w:tblPr>
        <w:tblStyle w:val="TableGrid"/>
        <w:tblW w:w="0" w:type="auto"/>
        <w:tblInd w:w="108" w:type="dxa"/>
        <w:tblLayout w:type="fixed"/>
        <w:tblLook w:val="04A0" w:firstRow="1" w:lastRow="0" w:firstColumn="1" w:lastColumn="0" w:noHBand="0" w:noVBand="1"/>
      </w:tblPr>
      <w:tblGrid>
        <w:gridCol w:w="1274"/>
        <w:gridCol w:w="2157"/>
        <w:gridCol w:w="1911"/>
        <w:gridCol w:w="1746"/>
        <w:gridCol w:w="1276"/>
        <w:gridCol w:w="1417"/>
      </w:tblGrid>
      <w:tr w:rsidR="00C60B5A" w:rsidTr="00C60B5A">
        <w:tc>
          <w:tcPr>
            <w:tcW w:w="1274" w:type="dxa"/>
            <w:hideMark/>
          </w:tcPr>
          <w:p w:rsidR="00FC095A" w:rsidRPr="00FC095A" w:rsidRDefault="00FC095A">
            <w:pPr>
              <w:jc w:val="center"/>
              <w:rPr>
                <w:bCs/>
                <w:sz w:val="24"/>
                <w:szCs w:val="24"/>
              </w:rPr>
            </w:pPr>
            <w:r w:rsidRPr="00FC095A">
              <w:rPr>
                <w:bCs/>
              </w:rPr>
              <w:t>Bank</w:t>
            </w:r>
          </w:p>
        </w:tc>
        <w:tc>
          <w:tcPr>
            <w:tcW w:w="2157" w:type="dxa"/>
            <w:hideMark/>
          </w:tcPr>
          <w:p w:rsidR="00FC095A" w:rsidRPr="00FC095A" w:rsidRDefault="00FC095A">
            <w:pPr>
              <w:jc w:val="center"/>
              <w:rPr>
                <w:bCs/>
                <w:sz w:val="24"/>
                <w:szCs w:val="24"/>
              </w:rPr>
            </w:pPr>
            <w:r w:rsidRPr="00FC095A">
              <w:rPr>
                <w:bCs/>
              </w:rPr>
              <w:t>Customer Acquisition Speed</w:t>
            </w:r>
          </w:p>
        </w:tc>
        <w:tc>
          <w:tcPr>
            <w:tcW w:w="1911" w:type="dxa"/>
            <w:hideMark/>
          </w:tcPr>
          <w:p w:rsidR="00FC095A" w:rsidRPr="00FC095A" w:rsidRDefault="00FC095A">
            <w:pPr>
              <w:jc w:val="center"/>
              <w:rPr>
                <w:bCs/>
                <w:sz w:val="24"/>
                <w:szCs w:val="24"/>
              </w:rPr>
            </w:pPr>
            <w:r w:rsidRPr="00FC095A">
              <w:rPr>
                <w:bCs/>
              </w:rPr>
              <w:t>Innovation Capability</w:t>
            </w:r>
          </w:p>
        </w:tc>
        <w:tc>
          <w:tcPr>
            <w:tcW w:w="1746" w:type="dxa"/>
            <w:hideMark/>
          </w:tcPr>
          <w:p w:rsidR="00FC095A" w:rsidRPr="00FC095A" w:rsidRDefault="00FC095A">
            <w:pPr>
              <w:jc w:val="center"/>
              <w:rPr>
                <w:bCs/>
                <w:sz w:val="24"/>
                <w:szCs w:val="24"/>
              </w:rPr>
            </w:pPr>
            <w:r w:rsidRPr="00FC095A">
              <w:rPr>
                <w:bCs/>
              </w:rPr>
              <w:t>Ecosystem Integration</w:t>
            </w:r>
          </w:p>
        </w:tc>
        <w:tc>
          <w:tcPr>
            <w:tcW w:w="1276" w:type="dxa"/>
            <w:hideMark/>
          </w:tcPr>
          <w:p w:rsidR="00FC095A" w:rsidRPr="00FC095A" w:rsidRDefault="00FC095A">
            <w:pPr>
              <w:jc w:val="center"/>
              <w:rPr>
                <w:bCs/>
                <w:sz w:val="24"/>
                <w:szCs w:val="24"/>
              </w:rPr>
            </w:pPr>
            <w:r w:rsidRPr="00FC095A">
              <w:rPr>
                <w:bCs/>
              </w:rPr>
              <w:t>Transaction Growth</w:t>
            </w:r>
          </w:p>
        </w:tc>
        <w:tc>
          <w:tcPr>
            <w:tcW w:w="1417" w:type="dxa"/>
            <w:hideMark/>
          </w:tcPr>
          <w:p w:rsidR="00FC095A" w:rsidRPr="00FC095A" w:rsidRDefault="00FC095A">
            <w:pPr>
              <w:jc w:val="center"/>
              <w:rPr>
                <w:bCs/>
                <w:sz w:val="24"/>
                <w:szCs w:val="24"/>
              </w:rPr>
            </w:pPr>
            <w:r w:rsidRPr="00FC095A">
              <w:rPr>
                <w:bCs/>
              </w:rPr>
              <w:t>Overall Digital Performance</w:t>
            </w:r>
          </w:p>
        </w:tc>
      </w:tr>
      <w:tr w:rsidR="00C60B5A" w:rsidTr="00C60B5A">
        <w:tc>
          <w:tcPr>
            <w:tcW w:w="1274" w:type="dxa"/>
            <w:hideMark/>
          </w:tcPr>
          <w:p w:rsidR="00FC095A" w:rsidRDefault="00FC095A" w:rsidP="00FC095A">
            <w:pPr>
              <w:jc w:val="center"/>
              <w:rPr>
                <w:sz w:val="24"/>
                <w:szCs w:val="24"/>
              </w:rPr>
            </w:pPr>
            <w:proofErr w:type="spellStart"/>
            <w:r>
              <w:t>SeaBank</w:t>
            </w:r>
            <w:proofErr w:type="spellEnd"/>
            <w:r>
              <w:t xml:space="preserve"> Indonesia</w:t>
            </w:r>
          </w:p>
        </w:tc>
        <w:tc>
          <w:tcPr>
            <w:tcW w:w="2157" w:type="dxa"/>
            <w:hideMark/>
          </w:tcPr>
          <w:p w:rsidR="00FC095A" w:rsidRDefault="00FC095A" w:rsidP="00FC095A">
            <w:pPr>
              <w:jc w:val="center"/>
              <w:rPr>
                <w:sz w:val="24"/>
                <w:szCs w:val="24"/>
              </w:rPr>
            </w:pPr>
            <w:r>
              <w:t>Very High (</w:t>
            </w:r>
            <w:proofErr w:type="spellStart"/>
            <w:r>
              <w:t>Shopee</w:t>
            </w:r>
            <w:proofErr w:type="spellEnd"/>
            <w:r>
              <w:t xml:space="preserve"> ecosystem-driven onboarding)</w:t>
            </w:r>
          </w:p>
        </w:tc>
        <w:tc>
          <w:tcPr>
            <w:tcW w:w="1911" w:type="dxa"/>
            <w:hideMark/>
          </w:tcPr>
          <w:p w:rsidR="00FC095A" w:rsidRDefault="00FC095A" w:rsidP="00FC095A">
            <w:pPr>
              <w:jc w:val="center"/>
              <w:rPr>
                <w:sz w:val="24"/>
                <w:szCs w:val="24"/>
              </w:rPr>
            </w:pPr>
            <w:r>
              <w:t>High (simple UX, fast payment features)</w:t>
            </w:r>
          </w:p>
        </w:tc>
        <w:tc>
          <w:tcPr>
            <w:tcW w:w="1746" w:type="dxa"/>
            <w:hideMark/>
          </w:tcPr>
          <w:p w:rsidR="00FC095A" w:rsidRDefault="00FC095A" w:rsidP="00FC095A">
            <w:pPr>
              <w:jc w:val="center"/>
              <w:rPr>
                <w:sz w:val="24"/>
                <w:szCs w:val="24"/>
              </w:rPr>
            </w:pPr>
            <w:r>
              <w:t>Very Strong (</w:t>
            </w:r>
            <w:proofErr w:type="spellStart"/>
            <w:r>
              <w:t>Shopee</w:t>
            </w:r>
            <w:proofErr w:type="spellEnd"/>
            <w:r>
              <w:t xml:space="preserve"> Group)</w:t>
            </w:r>
          </w:p>
        </w:tc>
        <w:tc>
          <w:tcPr>
            <w:tcW w:w="1276" w:type="dxa"/>
            <w:hideMark/>
          </w:tcPr>
          <w:p w:rsidR="00FC095A" w:rsidRDefault="00FC095A" w:rsidP="00FC095A">
            <w:pPr>
              <w:jc w:val="center"/>
              <w:rPr>
                <w:sz w:val="24"/>
                <w:szCs w:val="24"/>
              </w:rPr>
            </w:pPr>
            <w:r>
              <w:t>Very High</w:t>
            </w:r>
          </w:p>
        </w:tc>
        <w:tc>
          <w:tcPr>
            <w:tcW w:w="1417" w:type="dxa"/>
            <w:hideMark/>
          </w:tcPr>
          <w:p w:rsidR="00FC095A" w:rsidRDefault="00FC095A" w:rsidP="00FC095A">
            <w:pPr>
              <w:jc w:val="center"/>
              <w:rPr>
                <w:sz w:val="24"/>
                <w:szCs w:val="24"/>
              </w:rPr>
            </w:pPr>
            <w:r>
              <w:t>Excellent</w:t>
            </w:r>
          </w:p>
        </w:tc>
      </w:tr>
      <w:tr w:rsidR="00C60B5A" w:rsidTr="00C60B5A">
        <w:tc>
          <w:tcPr>
            <w:tcW w:w="1274" w:type="dxa"/>
            <w:hideMark/>
          </w:tcPr>
          <w:p w:rsidR="00FC095A" w:rsidRDefault="00FC095A" w:rsidP="00FC095A">
            <w:pPr>
              <w:jc w:val="center"/>
              <w:rPr>
                <w:sz w:val="24"/>
                <w:szCs w:val="24"/>
              </w:rPr>
            </w:pPr>
            <w:r>
              <w:t xml:space="preserve">Bank </w:t>
            </w:r>
            <w:proofErr w:type="spellStart"/>
            <w:r>
              <w:t>Jago</w:t>
            </w:r>
            <w:proofErr w:type="spellEnd"/>
          </w:p>
        </w:tc>
        <w:tc>
          <w:tcPr>
            <w:tcW w:w="2157" w:type="dxa"/>
            <w:hideMark/>
          </w:tcPr>
          <w:p w:rsidR="00FC095A" w:rsidRDefault="00FC095A" w:rsidP="00FC095A">
            <w:pPr>
              <w:jc w:val="center"/>
              <w:rPr>
                <w:sz w:val="24"/>
                <w:szCs w:val="24"/>
              </w:rPr>
            </w:pPr>
            <w:r>
              <w:t xml:space="preserve">High (rapid </w:t>
            </w:r>
            <w:proofErr w:type="spellStart"/>
            <w:r>
              <w:t>fintech</w:t>
            </w:r>
            <w:proofErr w:type="spellEnd"/>
            <w:r>
              <w:t xml:space="preserve"> user growth)</w:t>
            </w:r>
          </w:p>
        </w:tc>
        <w:tc>
          <w:tcPr>
            <w:tcW w:w="1911" w:type="dxa"/>
            <w:hideMark/>
          </w:tcPr>
          <w:p w:rsidR="00FC095A" w:rsidRDefault="00FC095A" w:rsidP="00FC095A">
            <w:pPr>
              <w:jc w:val="center"/>
              <w:rPr>
                <w:sz w:val="24"/>
                <w:szCs w:val="24"/>
              </w:rPr>
            </w:pPr>
            <w:r>
              <w:t>Very High (pocket-based finance system)</w:t>
            </w:r>
          </w:p>
        </w:tc>
        <w:tc>
          <w:tcPr>
            <w:tcW w:w="1746" w:type="dxa"/>
            <w:hideMark/>
          </w:tcPr>
          <w:p w:rsidR="00FC095A" w:rsidRDefault="00FC095A" w:rsidP="00FC095A">
            <w:pPr>
              <w:jc w:val="center"/>
              <w:rPr>
                <w:sz w:val="24"/>
                <w:szCs w:val="24"/>
              </w:rPr>
            </w:pPr>
            <w:r>
              <w:t>Strong (</w:t>
            </w:r>
            <w:proofErr w:type="spellStart"/>
            <w:r>
              <w:t>GoTo</w:t>
            </w:r>
            <w:proofErr w:type="spellEnd"/>
            <w:r>
              <w:t xml:space="preserve">, </w:t>
            </w:r>
            <w:proofErr w:type="spellStart"/>
            <w:r>
              <w:t>Bibit</w:t>
            </w:r>
            <w:proofErr w:type="spellEnd"/>
            <w:r>
              <w:t xml:space="preserve"> ecosystem)</w:t>
            </w:r>
          </w:p>
        </w:tc>
        <w:tc>
          <w:tcPr>
            <w:tcW w:w="1276" w:type="dxa"/>
            <w:hideMark/>
          </w:tcPr>
          <w:p w:rsidR="00FC095A" w:rsidRDefault="00FC095A" w:rsidP="00FC095A">
            <w:pPr>
              <w:jc w:val="center"/>
              <w:rPr>
                <w:sz w:val="24"/>
                <w:szCs w:val="24"/>
              </w:rPr>
            </w:pPr>
            <w:r>
              <w:t>High</w:t>
            </w:r>
          </w:p>
        </w:tc>
        <w:tc>
          <w:tcPr>
            <w:tcW w:w="1417" w:type="dxa"/>
            <w:hideMark/>
          </w:tcPr>
          <w:p w:rsidR="00FC095A" w:rsidRDefault="00FC095A" w:rsidP="00FC095A">
            <w:pPr>
              <w:jc w:val="center"/>
              <w:rPr>
                <w:sz w:val="24"/>
                <w:szCs w:val="24"/>
              </w:rPr>
            </w:pPr>
            <w:r>
              <w:t>Excellent</w:t>
            </w:r>
          </w:p>
        </w:tc>
      </w:tr>
      <w:tr w:rsidR="00C60B5A" w:rsidTr="00C60B5A">
        <w:tc>
          <w:tcPr>
            <w:tcW w:w="1274" w:type="dxa"/>
            <w:hideMark/>
          </w:tcPr>
          <w:p w:rsidR="00FC095A" w:rsidRDefault="00FC095A" w:rsidP="00FC095A">
            <w:pPr>
              <w:jc w:val="center"/>
              <w:rPr>
                <w:sz w:val="24"/>
                <w:szCs w:val="24"/>
              </w:rPr>
            </w:pPr>
            <w:proofErr w:type="spellStart"/>
            <w:r>
              <w:t>Allo</w:t>
            </w:r>
            <w:proofErr w:type="spellEnd"/>
            <w:r>
              <w:t xml:space="preserve"> Bank</w:t>
            </w:r>
          </w:p>
        </w:tc>
        <w:tc>
          <w:tcPr>
            <w:tcW w:w="2157" w:type="dxa"/>
            <w:hideMark/>
          </w:tcPr>
          <w:p w:rsidR="00FC095A" w:rsidRDefault="00FC095A" w:rsidP="00FC095A">
            <w:pPr>
              <w:jc w:val="center"/>
              <w:rPr>
                <w:sz w:val="24"/>
                <w:szCs w:val="24"/>
              </w:rPr>
            </w:pPr>
            <w:r>
              <w:t>Moderate–High (promo-driven acquisition)</w:t>
            </w:r>
          </w:p>
        </w:tc>
        <w:tc>
          <w:tcPr>
            <w:tcW w:w="1911" w:type="dxa"/>
            <w:hideMark/>
          </w:tcPr>
          <w:p w:rsidR="00FC095A" w:rsidRDefault="00FC095A" w:rsidP="00FC095A">
            <w:pPr>
              <w:jc w:val="center"/>
              <w:rPr>
                <w:sz w:val="24"/>
                <w:szCs w:val="24"/>
              </w:rPr>
            </w:pPr>
            <w:r>
              <w:t>Moderate (feature expansion stage)</w:t>
            </w:r>
          </w:p>
        </w:tc>
        <w:tc>
          <w:tcPr>
            <w:tcW w:w="1746" w:type="dxa"/>
            <w:hideMark/>
          </w:tcPr>
          <w:p w:rsidR="00FC095A" w:rsidRDefault="00FC095A" w:rsidP="00FC095A">
            <w:pPr>
              <w:jc w:val="center"/>
              <w:rPr>
                <w:sz w:val="24"/>
                <w:szCs w:val="24"/>
              </w:rPr>
            </w:pPr>
            <w:r>
              <w:t>Strong (CT Corp ecosystem)</w:t>
            </w:r>
          </w:p>
        </w:tc>
        <w:tc>
          <w:tcPr>
            <w:tcW w:w="1276" w:type="dxa"/>
            <w:hideMark/>
          </w:tcPr>
          <w:p w:rsidR="00FC095A" w:rsidRDefault="00FC095A" w:rsidP="00FC095A">
            <w:pPr>
              <w:jc w:val="center"/>
              <w:rPr>
                <w:sz w:val="24"/>
                <w:szCs w:val="24"/>
              </w:rPr>
            </w:pPr>
            <w:r>
              <w:t>High</w:t>
            </w:r>
          </w:p>
        </w:tc>
        <w:tc>
          <w:tcPr>
            <w:tcW w:w="1417" w:type="dxa"/>
            <w:hideMark/>
          </w:tcPr>
          <w:p w:rsidR="00FC095A" w:rsidRDefault="00FC095A" w:rsidP="00FC095A">
            <w:pPr>
              <w:jc w:val="center"/>
              <w:rPr>
                <w:sz w:val="24"/>
                <w:szCs w:val="24"/>
              </w:rPr>
            </w:pPr>
            <w:r>
              <w:t>Good</w:t>
            </w:r>
          </w:p>
        </w:tc>
      </w:tr>
      <w:tr w:rsidR="00C60B5A" w:rsidTr="00C60B5A">
        <w:tc>
          <w:tcPr>
            <w:tcW w:w="1274" w:type="dxa"/>
            <w:hideMark/>
          </w:tcPr>
          <w:p w:rsidR="00FC095A" w:rsidRDefault="00FC095A" w:rsidP="00FC095A">
            <w:pPr>
              <w:jc w:val="center"/>
              <w:rPr>
                <w:sz w:val="24"/>
                <w:szCs w:val="24"/>
              </w:rPr>
            </w:pPr>
            <w:r>
              <w:t>Bank Neo Commerce</w:t>
            </w:r>
          </w:p>
        </w:tc>
        <w:tc>
          <w:tcPr>
            <w:tcW w:w="2157" w:type="dxa"/>
            <w:hideMark/>
          </w:tcPr>
          <w:p w:rsidR="00FC095A" w:rsidRDefault="00FC095A" w:rsidP="00FC095A">
            <w:pPr>
              <w:jc w:val="center"/>
              <w:rPr>
                <w:sz w:val="24"/>
                <w:szCs w:val="24"/>
              </w:rPr>
            </w:pPr>
            <w:r>
              <w:t>High (aggressive digital lending users)</w:t>
            </w:r>
          </w:p>
        </w:tc>
        <w:tc>
          <w:tcPr>
            <w:tcW w:w="1911" w:type="dxa"/>
            <w:hideMark/>
          </w:tcPr>
          <w:p w:rsidR="00FC095A" w:rsidRDefault="00FC095A" w:rsidP="00FC095A">
            <w:pPr>
              <w:jc w:val="center"/>
              <w:rPr>
                <w:sz w:val="24"/>
                <w:szCs w:val="24"/>
              </w:rPr>
            </w:pPr>
            <w:r>
              <w:t>High (</w:t>
            </w:r>
            <w:proofErr w:type="spellStart"/>
            <w:r>
              <w:t>fintech</w:t>
            </w:r>
            <w:proofErr w:type="spellEnd"/>
            <w:r>
              <w:t xml:space="preserve"> lending innovation)</w:t>
            </w:r>
          </w:p>
        </w:tc>
        <w:tc>
          <w:tcPr>
            <w:tcW w:w="1746" w:type="dxa"/>
            <w:hideMark/>
          </w:tcPr>
          <w:p w:rsidR="00FC095A" w:rsidRDefault="00FC095A" w:rsidP="00FC095A">
            <w:pPr>
              <w:jc w:val="center"/>
              <w:rPr>
                <w:sz w:val="24"/>
                <w:szCs w:val="24"/>
              </w:rPr>
            </w:pPr>
            <w:r>
              <w:t>Moderate (</w:t>
            </w:r>
            <w:proofErr w:type="spellStart"/>
            <w:r>
              <w:t>fintech</w:t>
            </w:r>
            <w:proofErr w:type="spellEnd"/>
            <w:r>
              <w:t xml:space="preserve"> partnerships)</w:t>
            </w:r>
          </w:p>
        </w:tc>
        <w:tc>
          <w:tcPr>
            <w:tcW w:w="1276" w:type="dxa"/>
            <w:hideMark/>
          </w:tcPr>
          <w:p w:rsidR="00FC095A" w:rsidRDefault="00FC095A" w:rsidP="00FC095A">
            <w:pPr>
              <w:jc w:val="center"/>
              <w:rPr>
                <w:sz w:val="24"/>
                <w:szCs w:val="24"/>
              </w:rPr>
            </w:pPr>
            <w:r>
              <w:t>High (volatile)</w:t>
            </w:r>
          </w:p>
        </w:tc>
        <w:tc>
          <w:tcPr>
            <w:tcW w:w="1417" w:type="dxa"/>
            <w:hideMark/>
          </w:tcPr>
          <w:p w:rsidR="00FC095A" w:rsidRDefault="00FC095A" w:rsidP="00FC095A">
            <w:pPr>
              <w:jc w:val="center"/>
              <w:rPr>
                <w:sz w:val="24"/>
                <w:szCs w:val="24"/>
              </w:rPr>
            </w:pPr>
            <w:r>
              <w:t>Good–High Risk</w:t>
            </w:r>
          </w:p>
        </w:tc>
      </w:tr>
      <w:tr w:rsidR="00C60B5A" w:rsidTr="00C60B5A">
        <w:tc>
          <w:tcPr>
            <w:tcW w:w="1274" w:type="dxa"/>
            <w:hideMark/>
          </w:tcPr>
          <w:p w:rsidR="00FC095A" w:rsidRDefault="00FC095A" w:rsidP="00FC095A">
            <w:pPr>
              <w:jc w:val="center"/>
              <w:rPr>
                <w:sz w:val="24"/>
                <w:szCs w:val="24"/>
              </w:rPr>
            </w:pPr>
            <w:r>
              <w:t>BCA Digital (</w:t>
            </w:r>
            <w:proofErr w:type="spellStart"/>
            <w:r>
              <w:t>blu</w:t>
            </w:r>
            <w:proofErr w:type="spellEnd"/>
            <w:r>
              <w:t>)</w:t>
            </w:r>
          </w:p>
        </w:tc>
        <w:tc>
          <w:tcPr>
            <w:tcW w:w="2157" w:type="dxa"/>
            <w:hideMark/>
          </w:tcPr>
          <w:p w:rsidR="00FC095A" w:rsidRDefault="00FC095A" w:rsidP="00FC095A">
            <w:pPr>
              <w:jc w:val="center"/>
              <w:rPr>
                <w:sz w:val="24"/>
                <w:szCs w:val="24"/>
              </w:rPr>
            </w:pPr>
            <w:r>
              <w:t>Moderate (trust-based acquisition)</w:t>
            </w:r>
          </w:p>
        </w:tc>
        <w:tc>
          <w:tcPr>
            <w:tcW w:w="1911" w:type="dxa"/>
            <w:hideMark/>
          </w:tcPr>
          <w:p w:rsidR="00FC095A" w:rsidRDefault="00FC095A" w:rsidP="00FC095A">
            <w:pPr>
              <w:jc w:val="center"/>
              <w:rPr>
                <w:sz w:val="24"/>
                <w:szCs w:val="24"/>
              </w:rPr>
            </w:pPr>
            <w:r>
              <w:t>High (stable digital banking innovation)</w:t>
            </w:r>
          </w:p>
        </w:tc>
        <w:tc>
          <w:tcPr>
            <w:tcW w:w="1746" w:type="dxa"/>
            <w:hideMark/>
          </w:tcPr>
          <w:p w:rsidR="00FC095A" w:rsidRDefault="00FC095A" w:rsidP="00FC095A">
            <w:pPr>
              <w:jc w:val="center"/>
              <w:rPr>
                <w:sz w:val="24"/>
                <w:szCs w:val="24"/>
              </w:rPr>
            </w:pPr>
            <w:r>
              <w:t>Strong (BCA ecosystem)</w:t>
            </w:r>
          </w:p>
        </w:tc>
        <w:tc>
          <w:tcPr>
            <w:tcW w:w="1276" w:type="dxa"/>
            <w:hideMark/>
          </w:tcPr>
          <w:p w:rsidR="00FC095A" w:rsidRDefault="00FC095A" w:rsidP="00FC095A">
            <w:pPr>
              <w:jc w:val="center"/>
              <w:rPr>
                <w:sz w:val="24"/>
                <w:szCs w:val="24"/>
              </w:rPr>
            </w:pPr>
            <w:r>
              <w:t>Moderate</w:t>
            </w:r>
          </w:p>
        </w:tc>
        <w:tc>
          <w:tcPr>
            <w:tcW w:w="1417" w:type="dxa"/>
            <w:hideMark/>
          </w:tcPr>
          <w:p w:rsidR="00FC095A" w:rsidRDefault="00FC095A" w:rsidP="00FC095A">
            <w:pPr>
              <w:jc w:val="center"/>
              <w:rPr>
                <w:sz w:val="24"/>
                <w:szCs w:val="24"/>
              </w:rPr>
            </w:pPr>
            <w:r>
              <w:t>Stable &amp; Trusted</w:t>
            </w:r>
          </w:p>
        </w:tc>
      </w:tr>
    </w:tbl>
    <w:p w:rsidR="00FC095A" w:rsidRDefault="00FC095A" w:rsidP="009B0122">
      <w:pPr>
        <w:spacing w:line="360" w:lineRule="auto"/>
        <w:contextualSpacing/>
        <w:jc w:val="both"/>
        <w:rPr>
          <w:sz w:val="24"/>
          <w:szCs w:val="24"/>
        </w:rPr>
      </w:pPr>
      <w:proofErr w:type="gramStart"/>
      <w:r w:rsidRPr="00B436EA">
        <w:rPr>
          <w:sz w:val="24"/>
          <w:szCs w:val="24"/>
        </w:rPr>
        <w:t>Source :</w:t>
      </w:r>
      <w:proofErr w:type="gramEnd"/>
      <w:r w:rsidRPr="00B436EA">
        <w:rPr>
          <w:sz w:val="24"/>
          <w:szCs w:val="24"/>
        </w:rPr>
        <w:t xml:space="preserve"> Secondary Data Processing Results</w:t>
      </w:r>
    </w:p>
    <w:p w:rsidR="00B436EA" w:rsidRDefault="00B436EA" w:rsidP="00FC095A">
      <w:pPr>
        <w:rPr>
          <w:sz w:val="24"/>
          <w:szCs w:val="24"/>
        </w:rPr>
      </w:pPr>
    </w:p>
    <w:p w:rsidR="009B0122" w:rsidRPr="009B0122" w:rsidRDefault="00FC095A" w:rsidP="009B0122">
      <w:pPr>
        <w:spacing w:line="360" w:lineRule="auto"/>
        <w:ind w:firstLine="720"/>
        <w:contextualSpacing/>
        <w:jc w:val="both"/>
        <w:rPr>
          <w:sz w:val="24"/>
          <w:szCs w:val="24"/>
        </w:rPr>
      </w:pPr>
      <w:r w:rsidRPr="00FC095A">
        <w:rPr>
          <w:sz w:val="24"/>
          <w:szCs w:val="24"/>
        </w:rPr>
        <w:t xml:space="preserve">Meanwhile, </w:t>
      </w:r>
      <w:proofErr w:type="spellStart"/>
      <w:r w:rsidRPr="009B0122">
        <w:rPr>
          <w:bCs/>
          <w:sz w:val="24"/>
          <w:szCs w:val="24"/>
        </w:rPr>
        <w:t>Allo</w:t>
      </w:r>
      <w:proofErr w:type="spellEnd"/>
      <w:r w:rsidRPr="009B0122">
        <w:rPr>
          <w:bCs/>
          <w:sz w:val="24"/>
          <w:szCs w:val="24"/>
        </w:rPr>
        <w:t xml:space="preserve"> Bank and Bank Neo Commerce</w:t>
      </w:r>
      <w:r w:rsidRPr="00FC095A">
        <w:rPr>
          <w:sz w:val="24"/>
          <w:szCs w:val="24"/>
        </w:rPr>
        <w:t xml:space="preserve"> are positioned in a moderate performance category with aggressive but less stable growth characteristics. </w:t>
      </w:r>
      <w:proofErr w:type="spellStart"/>
      <w:r w:rsidRPr="00FC095A">
        <w:rPr>
          <w:sz w:val="24"/>
          <w:szCs w:val="24"/>
        </w:rPr>
        <w:t>Allo</w:t>
      </w:r>
      <w:proofErr w:type="spellEnd"/>
      <w:r w:rsidRPr="00FC095A">
        <w:rPr>
          <w:sz w:val="24"/>
          <w:szCs w:val="24"/>
        </w:rPr>
        <w:t xml:space="preserve"> Bank benefits from integration within the CT Corp ecosystem and promotional strategies that support user acquisition, although its innovation level is still in a development stage. Bank Neo Commerce shows strong innovation and transaction growth, particularly in digital lending, but its performance is more volatile, indicating higher risk in sustaining long-term digital stability.</w:t>
      </w:r>
      <w:r w:rsidR="009B0122" w:rsidRPr="009B0122">
        <w:rPr>
          <w:sz w:val="24"/>
          <w:szCs w:val="24"/>
        </w:rPr>
        <w:t xml:space="preserve"> </w:t>
      </w:r>
      <w:r w:rsidRPr="00FC095A">
        <w:rPr>
          <w:sz w:val="24"/>
          <w:szCs w:val="24"/>
        </w:rPr>
        <w:t xml:space="preserve">In contrast, </w:t>
      </w:r>
      <w:r w:rsidRPr="009B0122">
        <w:rPr>
          <w:bCs/>
          <w:sz w:val="24"/>
          <w:szCs w:val="24"/>
        </w:rPr>
        <w:t>BCA Digital (</w:t>
      </w:r>
      <w:proofErr w:type="spellStart"/>
      <w:r w:rsidRPr="009B0122">
        <w:rPr>
          <w:bCs/>
          <w:sz w:val="24"/>
          <w:szCs w:val="24"/>
        </w:rPr>
        <w:t>blu</w:t>
      </w:r>
      <w:proofErr w:type="spellEnd"/>
      <w:r w:rsidRPr="009B0122">
        <w:rPr>
          <w:bCs/>
          <w:sz w:val="24"/>
          <w:szCs w:val="24"/>
        </w:rPr>
        <w:t>)</w:t>
      </w:r>
      <w:r w:rsidRPr="00FC095A">
        <w:rPr>
          <w:sz w:val="24"/>
          <w:szCs w:val="24"/>
        </w:rPr>
        <w:t xml:space="preserve"> presents a different profile compared to other digital banks. Although its customer acquisition speed is more moderate, it demonstrates strong advantages in </w:t>
      </w:r>
      <w:r w:rsidRPr="009B0122">
        <w:rPr>
          <w:bCs/>
          <w:sz w:val="24"/>
          <w:szCs w:val="24"/>
        </w:rPr>
        <w:t>stability, trust-based acquisition, and deep integration within the BCA ecosystem</w:t>
      </w:r>
      <w:r w:rsidRPr="00FC095A">
        <w:rPr>
          <w:sz w:val="24"/>
          <w:szCs w:val="24"/>
        </w:rPr>
        <w:t>. This positions BCA Digital as the most stable and trusted digital bank, even though its user growth is not as aggressive as its competitors.</w:t>
      </w:r>
      <w:r w:rsidR="009B0122" w:rsidRPr="009B0122">
        <w:rPr>
          <w:sz w:val="24"/>
          <w:szCs w:val="24"/>
        </w:rPr>
        <w:t xml:space="preserve"> </w:t>
      </w:r>
      <w:r w:rsidRPr="00FC095A">
        <w:rPr>
          <w:sz w:val="24"/>
          <w:szCs w:val="24"/>
        </w:rPr>
        <w:t xml:space="preserve">Overall, the evaluation indicates that digital banking performance in Indonesia is primarily driven by three key factors: </w:t>
      </w:r>
      <w:r w:rsidRPr="009B0122">
        <w:rPr>
          <w:bCs/>
          <w:sz w:val="24"/>
          <w:szCs w:val="24"/>
        </w:rPr>
        <w:t>ecosystem strength, innovation capability, and customer acquisition speed</w:t>
      </w:r>
      <w:r w:rsidRPr="00FC095A">
        <w:rPr>
          <w:sz w:val="24"/>
          <w:szCs w:val="24"/>
        </w:rPr>
        <w:t xml:space="preserve">. </w:t>
      </w:r>
      <w:proofErr w:type="spellStart"/>
      <w:r w:rsidRPr="00FC095A">
        <w:rPr>
          <w:sz w:val="24"/>
          <w:szCs w:val="24"/>
        </w:rPr>
        <w:t>SeaBank</w:t>
      </w:r>
      <w:proofErr w:type="spellEnd"/>
      <w:r w:rsidRPr="00FC095A">
        <w:rPr>
          <w:sz w:val="24"/>
          <w:szCs w:val="24"/>
        </w:rPr>
        <w:t xml:space="preserve"> and Bank </w:t>
      </w:r>
      <w:proofErr w:type="spellStart"/>
      <w:r w:rsidRPr="00FC095A">
        <w:rPr>
          <w:sz w:val="24"/>
          <w:szCs w:val="24"/>
        </w:rPr>
        <w:t>Jago</w:t>
      </w:r>
      <w:proofErr w:type="spellEnd"/>
      <w:r w:rsidRPr="00FC095A">
        <w:rPr>
          <w:sz w:val="24"/>
          <w:szCs w:val="24"/>
        </w:rPr>
        <w:t xml:space="preserve"> lead in growth and innovation, </w:t>
      </w:r>
      <w:proofErr w:type="spellStart"/>
      <w:r w:rsidRPr="00FC095A">
        <w:rPr>
          <w:sz w:val="24"/>
          <w:szCs w:val="24"/>
        </w:rPr>
        <w:t>Allo</w:t>
      </w:r>
      <w:proofErr w:type="spellEnd"/>
      <w:r w:rsidRPr="00FC095A">
        <w:rPr>
          <w:sz w:val="24"/>
          <w:szCs w:val="24"/>
        </w:rPr>
        <w:t xml:space="preserve"> Bank and Bank Neo Commerce are in an expansion phase with higher risk exposure, while BCA Digital leads in stability and trust. This confirms that competitive advantage in digital banking is not determined by assets or profitability alone, but by the ability to build strong and sustainable digital ecosystems.</w:t>
      </w:r>
    </w:p>
    <w:p w:rsidR="009B0122" w:rsidRPr="009B0122" w:rsidRDefault="009B0122" w:rsidP="009B0122">
      <w:pPr>
        <w:spacing w:line="360" w:lineRule="auto"/>
        <w:ind w:firstLine="720"/>
        <w:contextualSpacing/>
        <w:jc w:val="both"/>
        <w:rPr>
          <w:sz w:val="24"/>
          <w:szCs w:val="24"/>
        </w:rPr>
      </w:pPr>
      <w:r w:rsidRPr="009B0122">
        <w:rPr>
          <w:sz w:val="24"/>
          <w:szCs w:val="24"/>
        </w:rPr>
        <w:t xml:space="preserve">Overall, the digital performance of Indonesia’s top five digital banks in 2025 can be considered </w:t>
      </w:r>
      <w:r w:rsidRPr="009B0122">
        <w:rPr>
          <w:bCs/>
          <w:sz w:val="24"/>
          <w:szCs w:val="24"/>
        </w:rPr>
        <w:t>strong and promising</w:t>
      </w:r>
      <w:r w:rsidRPr="009B0122">
        <w:rPr>
          <w:sz w:val="24"/>
          <w:szCs w:val="24"/>
        </w:rPr>
        <w:t xml:space="preserve">. The industry shows high levels of innovation, rapid customer acquisition, and strong ecosystem integration, which </w:t>
      </w:r>
      <w:proofErr w:type="gramStart"/>
      <w:r w:rsidRPr="009B0122">
        <w:rPr>
          <w:sz w:val="24"/>
          <w:szCs w:val="24"/>
        </w:rPr>
        <w:t>indicate</w:t>
      </w:r>
      <w:proofErr w:type="gramEnd"/>
      <w:r w:rsidRPr="009B0122">
        <w:rPr>
          <w:sz w:val="24"/>
          <w:szCs w:val="24"/>
        </w:rPr>
        <w:t xml:space="preserve"> that digital banking is successfully transforming financial services in Indonesia. Banks such as </w:t>
      </w:r>
      <w:proofErr w:type="spellStart"/>
      <w:r w:rsidRPr="009B0122">
        <w:rPr>
          <w:sz w:val="24"/>
          <w:szCs w:val="24"/>
        </w:rPr>
        <w:t>SeaBank</w:t>
      </w:r>
      <w:proofErr w:type="spellEnd"/>
      <w:r w:rsidRPr="009B0122">
        <w:rPr>
          <w:sz w:val="24"/>
          <w:szCs w:val="24"/>
        </w:rPr>
        <w:t xml:space="preserve"> and Bank </w:t>
      </w:r>
      <w:proofErr w:type="spellStart"/>
      <w:r w:rsidRPr="009B0122">
        <w:rPr>
          <w:sz w:val="24"/>
          <w:szCs w:val="24"/>
        </w:rPr>
        <w:t>Jago</w:t>
      </w:r>
      <w:proofErr w:type="spellEnd"/>
      <w:r w:rsidRPr="009B0122">
        <w:rPr>
          <w:sz w:val="24"/>
          <w:szCs w:val="24"/>
        </w:rPr>
        <w:t xml:space="preserve"> demonstrate </w:t>
      </w:r>
      <w:r w:rsidRPr="009B0122">
        <w:rPr>
          <w:sz w:val="24"/>
          <w:szCs w:val="24"/>
        </w:rPr>
        <w:lastRenderedPageBreak/>
        <w:t xml:space="preserve">excellent performance in growth and innovation, while others like </w:t>
      </w:r>
      <w:proofErr w:type="spellStart"/>
      <w:r w:rsidRPr="009B0122">
        <w:rPr>
          <w:sz w:val="24"/>
          <w:szCs w:val="24"/>
        </w:rPr>
        <w:t>Allo</w:t>
      </w:r>
      <w:proofErr w:type="spellEnd"/>
      <w:r w:rsidRPr="009B0122">
        <w:rPr>
          <w:sz w:val="24"/>
          <w:szCs w:val="24"/>
        </w:rPr>
        <w:t xml:space="preserve"> Bank and Bank Neo Commerce show aggressive expansion with some volatility. BCA Digital stands out for its stability and strong trust-based model. In general, although differences exist in maturity and risk levels, the overall trend reflects a </w:t>
      </w:r>
      <w:r w:rsidRPr="009B0122">
        <w:rPr>
          <w:bCs/>
          <w:sz w:val="24"/>
          <w:szCs w:val="24"/>
        </w:rPr>
        <w:t>positive and healthy development of the digital banking sector</w:t>
      </w:r>
      <w:r w:rsidRPr="009B0122">
        <w:rPr>
          <w:sz w:val="24"/>
          <w:szCs w:val="24"/>
        </w:rPr>
        <w:t>, with strong potential for continued growth and deeper integration into Indonesia’s digital economy.</w:t>
      </w:r>
    </w:p>
    <w:p w:rsidR="00B436EA" w:rsidRDefault="00B436EA" w:rsidP="00955144">
      <w:pPr>
        <w:widowControl/>
        <w:autoSpaceDE/>
        <w:autoSpaceDN/>
        <w:spacing w:before="100" w:beforeAutospacing="1" w:after="100" w:afterAutospacing="1" w:line="360" w:lineRule="auto"/>
        <w:contextualSpacing/>
        <w:jc w:val="both"/>
        <w:rPr>
          <w:b/>
          <w:w w:val="95"/>
          <w:sz w:val="24"/>
          <w:szCs w:val="24"/>
        </w:rPr>
      </w:pPr>
    </w:p>
    <w:p w:rsidR="00145E83" w:rsidRPr="0041586E" w:rsidRDefault="00B436EA" w:rsidP="00ED463E">
      <w:pPr>
        <w:widowControl/>
        <w:autoSpaceDE/>
        <w:autoSpaceDN/>
        <w:spacing w:before="100" w:beforeAutospacing="1" w:after="100" w:afterAutospacing="1" w:line="360" w:lineRule="auto"/>
        <w:contextualSpacing/>
        <w:jc w:val="both"/>
        <w:rPr>
          <w:b/>
        </w:rPr>
      </w:pPr>
      <w:r w:rsidRPr="00B436EA">
        <w:rPr>
          <w:b/>
          <w:w w:val="95"/>
          <w:sz w:val="24"/>
          <w:szCs w:val="24"/>
        </w:rPr>
        <w:t xml:space="preserve">SWOT Matrix of </w:t>
      </w:r>
      <w:r w:rsidR="00145E83" w:rsidRPr="00FC095A">
        <w:rPr>
          <w:b/>
        </w:rPr>
        <w:t>Top 5 Digital Banks in Indonesia</w:t>
      </w:r>
    </w:p>
    <w:p w:rsidR="00344149" w:rsidRDefault="004A4675" w:rsidP="00344149">
      <w:pPr>
        <w:widowControl/>
        <w:autoSpaceDE/>
        <w:autoSpaceDN/>
        <w:spacing w:before="100" w:beforeAutospacing="1" w:after="100" w:afterAutospacing="1" w:line="360" w:lineRule="auto"/>
        <w:ind w:firstLine="720"/>
        <w:contextualSpacing/>
        <w:jc w:val="both"/>
        <w:rPr>
          <w:sz w:val="24"/>
          <w:szCs w:val="24"/>
        </w:rPr>
      </w:pPr>
      <w:r w:rsidRPr="004A4675">
        <w:rPr>
          <w:sz w:val="24"/>
          <w:szCs w:val="24"/>
        </w:rPr>
        <w:t xml:space="preserve">The following SWOT (Strengths, Weaknesses, Opportunities, and Threats) matrix has been carefully developed to support a comprehensive strategic analysis of Bank </w:t>
      </w:r>
      <w:proofErr w:type="spellStart"/>
      <w:r w:rsidRPr="004A4675">
        <w:rPr>
          <w:sz w:val="24"/>
          <w:szCs w:val="24"/>
        </w:rPr>
        <w:t>Syariah</w:t>
      </w:r>
      <w:proofErr w:type="spellEnd"/>
      <w:r w:rsidRPr="004A4675">
        <w:rPr>
          <w:sz w:val="24"/>
          <w:szCs w:val="24"/>
        </w:rPr>
        <w:t xml:space="preserve"> Indonesia (BSI) in its pursuit of becoming one of the top three global </w:t>
      </w:r>
      <w:proofErr w:type="spellStart"/>
      <w:r w:rsidRPr="004A4675">
        <w:rPr>
          <w:sz w:val="24"/>
          <w:szCs w:val="24"/>
        </w:rPr>
        <w:t>syariah</w:t>
      </w:r>
      <w:proofErr w:type="spellEnd"/>
      <w:r w:rsidRPr="004A4675">
        <w:rPr>
          <w:sz w:val="24"/>
          <w:szCs w:val="24"/>
        </w:rPr>
        <w:t xml:space="preserve"> banks by the year 2030. This strategic objective aligns with BSI’s broader vision of strengthening Indonesia’s role in the global Islamic finance landscape while capitalizing on its growing market share and improving digital and operational capabilities.</w:t>
      </w:r>
      <w:r w:rsidR="00344149">
        <w:rPr>
          <w:sz w:val="24"/>
          <w:szCs w:val="24"/>
        </w:rPr>
        <w:t xml:space="preserve"> </w:t>
      </w:r>
      <w:r w:rsidRPr="004A4675">
        <w:rPr>
          <w:sz w:val="24"/>
          <w:szCs w:val="24"/>
        </w:rPr>
        <w:t xml:space="preserve">This analysis draws upon the latest available performance data and forward-looking strategic projections, with particular emphasis on four critical dimensions: internal strengths, internal weaknesses, external opportunities, and external threats. One of BSI’s most significant internal advantages is its position as one of the largest </w:t>
      </w:r>
      <w:proofErr w:type="spellStart"/>
      <w:r w:rsidRPr="004A4675">
        <w:rPr>
          <w:sz w:val="24"/>
          <w:szCs w:val="24"/>
        </w:rPr>
        <w:t>syariah</w:t>
      </w:r>
      <w:proofErr w:type="spellEnd"/>
      <w:r w:rsidRPr="004A4675">
        <w:rPr>
          <w:sz w:val="24"/>
          <w:szCs w:val="24"/>
        </w:rPr>
        <w:t xml:space="preserve"> banks in the ASEAN region, supported by assets exceeding Rp300 trillion and a vast distribution network that includes more than 600 branches across the nation. These strengths position BSI to scale its operations, deepen customer trust, and enhance competitiveness on a global level.</w:t>
      </w:r>
    </w:p>
    <w:p w:rsidR="004A4675" w:rsidRPr="00344149" w:rsidRDefault="004A4675" w:rsidP="00344149">
      <w:pPr>
        <w:widowControl/>
        <w:autoSpaceDE/>
        <w:autoSpaceDN/>
        <w:spacing w:before="100" w:beforeAutospacing="1" w:after="100" w:afterAutospacing="1" w:line="360" w:lineRule="auto"/>
        <w:ind w:firstLine="720"/>
        <w:contextualSpacing/>
        <w:jc w:val="both"/>
        <w:rPr>
          <w:sz w:val="24"/>
          <w:szCs w:val="24"/>
        </w:rPr>
      </w:pPr>
      <w:r w:rsidRPr="004A4675">
        <w:rPr>
          <w:sz w:val="24"/>
          <w:szCs w:val="24"/>
        </w:rPr>
        <w:t xml:space="preserve">By identifying and addressing both internal capabilities and external dynamics, this SWOT matrix aims to provide a strategic foundation for BSI’s long-term planning. The matrix will serve as a valuable tool for decision-makers to leverage core competencies, overcome institutional challenges, seize growth opportunities in the halal economy, and mitigate risks arising from competitive pressures and regulatory uncertainties. </w:t>
      </w:r>
    </w:p>
    <w:p w:rsidR="00ED463E" w:rsidRPr="0041586E" w:rsidRDefault="0041586E" w:rsidP="00ED463E">
      <w:pPr>
        <w:spacing w:line="360" w:lineRule="auto"/>
        <w:jc w:val="center"/>
      </w:pPr>
      <w:proofErr w:type="gramStart"/>
      <w:r>
        <w:t>Table 6</w:t>
      </w:r>
      <w:r w:rsidR="00ED463E" w:rsidRPr="0041586E">
        <w:t>.</w:t>
      </w:r>
      <w:proofErr w:type="gramEnd"/>
    </w:p>
    <w:p w:rsidR="0041586E" w:rsidRPr="0041586E" w:rsidRDefault="0041586E" w:rsidP="00052FF4">
      <w:pPr>
        <w:spacing w:line="360" w:lineRule="auto"/>
        <w:jc w:val="center"/>
      </w:pPr>
      <w:r w:rsidRPr="0041586E">
        <w:t xml:space="preserve">SWOT Matrix </w:t>
      </w:r>
      <w:proofErr w:type="gramStart"/>
      <w:r w:rsidRPr="0041586E">
        <w:t xml:space="preserve">of </w:t>
      </w:r>
      <w:r w:rsidRPr="0041586E">
        <w:rPr>
          <w:w w:val="95"/>
          <w:sz w:val="24"/>
          <w:szCs w:val="24"/>
        </w:rPr>
        <w:t xml:space="preserve"> </w:t>
      </w:r>
      <w:r w:rsidRPr="0041586E">
        <w:t>Top</w:t>
      </w:r>
      <w:proofErr w:type="gramEnd"/>
      <w:r w:rsidRPr="0041586E">
        <w:t xml:space="preserve"> 5 Digital Banks in Indonesia</w:t>
      </w:r>
      <w:r w:rsidR="008B3FA1">
        <w:t xml:space="preserve"> Based on Financial and Digital Criteria</w:t>
      </w:r>
    </w:p>
    <w:tbl>
      <w:tblPr>
        <w:tblStyle w:val="TableGrid"/>
        <w:tblW w:w="0" w:type="auto"/>
        <w:tblInd w:w="108" w:type="dxa"/>
        <w:tblLayout w:type="fixed"/>
        <w:tblLook w:val="04A0" w:firstRow="1" w:lastRow="0" w:firstColumn="1" w:lastColumn="0" w:noHBand="0" w:noVBand="1"/>
      </w:tblPr>
      <w:tblGrid>
        <w:gridCol w:w="4962"/>
        <w:gridCol w:w="4819"/>
      </w:tblGrid>
      <w:tr w:rsidR="00D03C55" w:rsidTr="00052FF4">
        <w:tc>
          <w:tcPr>
            <w:tcW w:w="4962" w:type="dxa"/>
            <w:shd w:val="clear" w:color="auto" w:fill="auto"/>
            <w:hideMark/>
          </w:tcPr>
          <w:p w:rsidR="00D03C55" w:rsidRPr="009C4725" w:rsidRDefault="00D03C55" w:rsidP="007E4F00">
            <w:pPr>
              <w:jc w:val="center"/>
              <w:rPr>
                <w:rStyle w:val="Strong"/>
                <w:color w:val="404040"/>
                <w:sz w:val="24"/>
                <w:szCs w:val="24"/>
              </w:rPr>
            </w:pPr>
          </w:p>
          <w:p w:rsidR="00D03C55" w:rsidRPr="009C4725" w:rsidRDefault="007E4F00" w:rsidP="007E4F00">
            <w:pPr>
              <w:jc w:val="center"/>
              <w:rPr>
                <w:rStyle w:val="Strong"/>
                <w:color w:val="404040"/>
                <w:sz w:val="24"/>
                <w:szCs w:val="24"/>
              </w:rPr>
            </w:pPr>
            <w:r w:rsidRPr="009C4725">
              <w:rPr>
                <w:rStyle w:val="Strong"/>
                <w:color w:val="404040"/>
                <w:sz w:val="24"/>
                <w:szCs w:val="24"/>
              </w:rPr>
              <w:t>STRENGTHS</w:t>
            </w:r>
          </w:p>
          <w:p w:rsidR="00D03C55" w:rsidRPr="009C4725" w:rsidRDefault="00D03C55" w:rsidP="007E4F00">
            <w:pPr>
              <w:jc w:val="center"/>
              <w:rPr>
                <w:b/>
                <w:bCs/>
                <w:color w:val="404040"/>
                <w:sz w:val="24"/>
                <w:szCs w:val="24"/>
              </w:rPr>
            </w:pPr>
          </w:p>
        </w:tc>
        <w:tc>
          <w:tcPr>
            <w:tcW w:w="4819" w:type="dxa"/>
            <w:shd w:val="clear" w:color="auto" w:fill="auto"/>
            <w:hideMark/>
          </w:tcPr>
          <w:p w:rsidR="00D03C55" w:rsidRPr="009C4725" w:rsidRDefault="00D03C55" w:rsidP="007E4F00">
            <w:pPr>
              <w:jc w:val="center"/>
              <w:rPr>
                <w:rStyle w:val="Strong"/>
                <w:color w:val="404040"/>
                <w:sz w:val="24"/>
                <w:szCs w:val="24"/>
              </w:rPr>
            </w:pPr>
          </w:p>
          <w:p w:rsidR="00D03C55" w:rsidRPr="009C4725" w:rsidRDefault="007E4F00" w:rsidP="007E4F00">
            <w:pPr>
              <w:jc w:val="center"/>
              <w:rPr>
                <w:b/>
                <w:bCs/>
                <w:color w:val="404040"/>
                <w:sz w:val="24"/>
                <w:szCs w:val="24"/>
              </w:rPr>
            </w:pPr>
            <w:r w:rsidRPr="009C4725">
              <w:rPr>
                <w:rStyle w:val="Strong"/>
                <w:color w:val="404040"/>
                <w:sz w:val="24"/>
                <w:szCs w:val="24"/>
              </w:rPr>
              <w:t>WEAKNESSES</w:t>
            </w:r>
          </w:p>
        </w:tc>
      </w:tr>
      <w:tr w:rsidR="00052FF4" w:rsidTr="004A013E">
        <w:tc>
          <w:tcPr>
            <w:tcW w:w="4962" w:type="dxa"/>
            <w:hideMark/>
          </w:tcPr>
          <w:p w:rsidR="00052FF4" w:rsidRDefault="008C01F0" w:rsidP="008C01F0">
            <w:pPr>
              <w:jc w:val="center"/>
              <w:rPr>
                <w:sz w:val="24"/>
                <w:szCs w:val="24"/>
              </w:rPr>
            </w:pPr>
            <w:r>
              <w:t xml:space="preserve">Strong capital adequacy ; BCA Digital &amp; Bank </w:t>
            </w:r>
            <w:proofErr w:type="spellStart"/>
            <w:r>
              <w:t>Jago</w:t>
            </w:r>
            <w:proofErr w:type="spellEnd"/>
          </w:p>
        </w:tc>
        <w:tc>
          <w:tcPr>
            <w:tcW w:w="4819" w:type="dxa"/>
            <w:hideMark/>
          </w:tcPr>
          <w:p w:rsidR="00052FF4" w:rsidRDefault="008C01F0" w:rsidP="00052FF4">
            <w:pPr>
              <w:jc w:val="center"/>
              <w:rPr>
                <w:sz w:val="24"/>
                <w:szCs w:val="24"/>
              </w:rPr>
            </w:pPr>
            <w:r>
              <w:t xml:space="preserve">Low profitability as </w:t>
            </w:r>
            <w:r w:rsidR="00052FF4">
              <w:t xml:space="preserve">ROA </w:t>
            </w:r>
            <w:r>
              <w:t>still low in most digital banks</w:t>
            </w:r>
          </w:p>
        </w:tc>
      </w:tr>
      <w:tr w:rsidR="00052FF4" w:rsidTr="004A013E">
        <w:tc>
          <w:tcPr>
            <w:tcW w:w="4962" w:type="dxa"/>
            <w:hideMark/>
          </w:tcPr>
          <w:p w:rsidR="00052FF4" w:rsidRDefault="008C01F0" w:rsidP="00052FF4">
            <w:pPr>
              <w:jc w:val="center"/>
              <w:rPr>
                <w:sz w:val="24"/>
                <w:szCs w:val="24"/>
              </w:rPr>
            </w:pPr>
            <w:r>
              <w:t xml:space="preserve">Rapid customer acquisition ;  </w:t>
            </w:r>
            <w:proofErr w:type="spellStart"/>
            <w:r>
              <w:t>SeaBank</w:t>
            </w:r>
            <w:proofErr w:type="spellEnd"/>
            <w:r>
              <w:t xml:space="preserve"> &amp; Bank </w:t>
            </w:r>
            <w:proofErr w:type="spellStart"/>
            <w:r>
              <w:t>Jago</w:t>
            </w:r>
            <w:proofErr w:type="spellEnd"/>
          </w:p>
        </w:tc>
        <w:tc>
          <w:tcPr>
            <w:tcW w:w="4819" w:type="dxa"/>
            <w:hideMark/>
          </w:tcPr>
          <w:p w:rsidR="00052FF4" w:rsidRDefault="00052FF4" w:rsidP="00052FF4">
            <w:pPr>
              <w:jc w:val="center"/>
              <w:rPr>
                <w:sz w:val="24"/>
                <w:szCs w:val="24"/>
              </w:rPr>
            </w:pPr>
            <w:r>
              <w:t>High dependence on ecosystem partners</w:t>
            </w:r>
            <w:r w:rsidR="007019BE">
              <w:t xml:space="preserve"> ; </w:t>
            </w:r>
            <w:proofErr w:type="spellStart"/>
            <w:r w:rsidR="007019BE">
              <w:t>Shopee</w:t>
            </w:r>
            <w:proofErr w:type="spellEnd"/>
            <w:r w:rsidR="007019BE">
              <w:t xml:space="preserve">, </w:t>
            </w:r>
            <w:proofErr w:type="spellStart"/>
            <w:r w:rsidR="007019BE">
              <w:t>GoTo</w:t>
            </w:r>
            <w:proofErr w:type="spellEnd"/>
            <w:r w:rsidR="007019BE">
              <w:t>, CT Corp</w:t>
            </w:r>
          </w:p>
        </w:tc>
      </w:tr>
      <w:tr w:rsidR="00052FF4" w:rsidTr="004A013E">
        <w:tc>
          <w:tcPr>
            <w:tcW w:w="4962" w:type="dxa"/>
            <w:hideMark/>
          </w:tcPr>
          <w:p w:rsidR="00052FF4" w:rsidRDefault="008C01F0" w:rsidP="00052FF4">
            <w:pPr>
              <w:jc w:val="center"/>
              <w:rPr>
                <w:sz w:val="24"/>
                <w:szCs w:val="24"/>
              </w:rPr>
            </w:pPr>
            <w:r>
              <w:t xml:space="preserve">High innovation </w:t>
            </w:r>
            <w:proofErr w:type="gramStart"/>
            <w:r>
              <w:t>capability ;</w:t>
            </w:r>
            <w:proofErr w:type="gramEnd"/>
            <w:r>
              <w:t xml:space="preserve"> </w:t>
            </w:r>
            <w:r w:rsidR="00052FF4">
              <w:t>digital wallets, po</w:t>
            </w:r>
            <w:r>
              <w:t>cket banking, AI-based services.</w:t>
            </w:r>
          </w:p>
        </w:tc>
        <w:tc>
          <w:tcPr>
            <w:tcW w:w="4819" w:type="dxa"/>
            <w:hideMark/>
          </w:tcPr>
          <w:p w:rsidR="00052FF4" w:rsidRDefault="00052FF4" w:rsidP="00052FF4">
            <w:pPr>
              <w:jc w:val="center"/>
              <w:rPr>
                <w:sz w:val="24"/>
                <w:szCs w:val="24"/>
              </w:rPr>
            </w:pPr>
            <w:r>
              <w:t>Limited credit maturity leading to unstable earnings</w:t>
            </w:r>
          </w:p>
        </w:tc>
      </w:tr>
      <w:tr w:rsidR="00052FF4" w:rsidTr="004A013E">
        <w:tc>
          <w:tcPr>
            <w:tcW w:w="4962" w:type="dxa"/>
            <w:hideMark/>
          </w:tcPr>
          <w:p w:rsidR="00052FF4" w:rsidRDefault="00052FF4" w:rsidP="00052FF4">
            <w:pPr>
              <w:jc w:val="center"/>
              <w:rPr>
                <w:sz w:val="24"/>
                <w:szCs w:val="24"/>
              </w:rPr>
            </w:pPr>
            <w:r>
              <w:t>Strong transaction growth driven by mobile banking &amp; QRIS</w:t>
            </w:r>
          </w:p>
        </w:tc>
        <w:tc>
          <w:tcPr>
            <w:tcW w:w="4819" w:type="dxa"/>
            <w:hideMark/>
          </w:tcPr>
          <w:p w:rsidR="00052FF4" w:rsidRDefault="00052FF4" w:rsidP="00052FF4">
            <w:pPr>
              <w:jc w:val="center"/>
              <w:rPr>
                <w:sz w:val="24"/>
                <w:szCs w:val="24"/>
              </w:rPr>
            </w:pPr>
            <w:r>
              <w:t>Higher volatility in cred</w:t>
            </w:r>
            <w:r w:rsidR="008C01F0">
              <w:t xml:space="preserve">it </w:t>
            </w:r>
            <w:r w:rsidR="007019BE">
              <w:t>quality in some banks ; Bank Neo Commerce</w:t>
            </w:r>
          </w:p>
        </w:tc>
      </w:tr>
      <w:tr w:rsidR="00052FF4" w:rsidTr="004A013E">
        <w:tc>
          <w:tcPr>
            <w:tcW w:w="4962" w:type="dxa"/>
          </w:tcPr>
          <w:p w:rsidR="00052FF4" w:rsidRDefault="007019BE" w:rsidP="00052FF4">
            <w:pPr>
              <w:jc w:val="center"/>
            </w:pPr>
            <w:r>
              <w:t>Efficient cost structure ; branchless banking model</w:t>
            </w:r>
          </w:p>
          <w:p w:rsidR="00052FF4" w:rsidRDefault="00052FF4" w:rsidP="00052FF4">
            <w:pPr>
              <w:jc w:val="center"/>
            </w:pPr>
          </w:p>
        </w:tc>
        <w:tc>
          <w:tcPr>
            <w:tcW w:w="4819" w:type="dxa"/>
          </w:tcPr>
          <w:p w:rsidR="00052FF4" w:rsidRDefault="00052FF4" w:rsidP="00052FF4">
            <w:pPr>
              <w:jc w:val="center"/>
              <w:rPr>
                <w:sz w:val="24"/>
                <w:szCs w:val="24"/>
              </w:rPr>
            </w:pPr>
            <w:r>
              <w:t>Limited diversification of revenue streams</w:t>
            </w:r>
          </w:p>
        </w:tc>
      </w:tr>
      <w:tr w:rsidR="00D03C55" w:rsidTr="00052FF4">
        <w:tc>
          <w:tcPr>
            <w:tcW w:w="4962" w:type="dxa"/>
            <w:shd w:val="clear" w:color="auto" w:fill="auto"/>
            <w:hideMark/>
          </w:tcPr>
          <w:p w:rsidR="00D03C55" w:rsidRPr="002574A3" w:rsidRDefault="00D03C55" w:rsidP="007E4F00">
            <w:pPr>
              <w:jc w:val="center"/>
              <w:rPr>
                <w:rStyle w:val="Strong"/>
                <w:color w:val="404040"/>
                <w:sz w:val="24"/>
                <w:szCs w:val="24"/>
              </w:rPr>
            </w:pPr>
          </w:p>
          <w:p w:rsidR="00D03C55" w:rsidRPr="002574A3" w:rsidRDefault="007E4F00" w:rsidP="007E4F00">
            <w:pPr>
              <w:jc w:val="center"/>
              <w:rPr>
                <w:b/>
                <w:bCs/>
                <w:color w:val="404040"/>
                <w:sz w:val="24"/>
                <w:szCs w:val="24"/>
              </w:rPr>
            </w:pPr>
            <w:r w:rsidRPr="002574A3">
              <w:rPr>
                <w:rStyle w:val="Strong"/>
                <w:color w:val="404040"/>
                <w:sz w:val="24"/>
                <w:szCs w:val="24"/>
              </w:rPr>
              <w:t>OPPORTUNITIES</w:t>
            </w:r>
          </w:p>
        </w:tc>
        <w:tc>
          <w:tcPr>
            <w:tcW w:w="4819" w:type="dxa"/>
            <w:shd w:val="clear" w:color="auto" w:fill="auto"/>
            <w:hideMark/>
          </w:tcPr>
          <w:p w:rsidR="00D03C55" w:rsidRPr="002574A3" w:rsidRDefault="00D03C55" w:rsidP="007E4F00">
            <w:pPr>
              <w:jc w:val="center"/>
              <w:rPr>
                <w:rStyle w:val="Strong"/>
                <w:color w:val="404040"/>
                <w:sz w:val="24"/>
                <w:szCs w:val="24"/>
              </w:rPr>
            </w:pPr>
          </w:p>
          <w:p w:rsidR="00D03C55" w:rsidRPr="002574A3" w:rsidRDefault="007E4F00" w:rsidP="007E4F00">
            <w:pPr>
              <w:jc w:val="center"/>
              <w:rPr>
                <w:rStyle w:val="Strong"/>
                <w:color w:val="404040"/>
                <w:sz w:val="24"/>
                <w:szCs w:val="24"/>
              </w:rPr>
            </w:pPr>
            <w:r w:rsidRPr="002574A3">
              <w:rPr>
                <w:rStyle w:val="Strong"/>
                <w:color w:val="404040"/>
                <w:sz w:val="24"/>
                <w:szCs w:val="24"/>
              </w:rPr>
              <w:t>THREATS</w:t>
            </w:r>
          </w:p>
          <w:p w:rsidR="00D03C55" w:rsidRPr="002574A3" w:rsidRDefault="00D03C55" w:rsidP="007E4F00">
            <w:pPr>
              <w:jc w:val="center"/>
              <w:rPr>
                <w:b/>
                <w:bCs/>
                <w:color w:val="404040"/>
                <w:sz w:val="24"/>
                <w:szCs w:val="24"/>
              </w:rPr>
            </w:pPr>
          </w:p>
        </w:tc>
      </w:tr>
      <w:tr w:rsidR="00052FF4" w:rsidTr="004A013E">
        <w:tc>
          <w:tcPr>
            <w:tcW w:w="4962" w:type="dxa"/>
          </w:tcPr>
          <w:p w:rsidR="00052FF4" w:rsidRDefault="00052FF4" w:rsidP="00052FF4">
            <w:pPr>
              <w:jc w:val="center"/>
              <w:rPr>
                <w:sz w:val="24"/>
                <w:szCs w:val="24"/>
              </w:rPr>
            </w:pPr>
            <w:r>
              <w:t xml:space="preserve"> Expansion of Indonesia’s digital economy &amp; cashless society</w:t>
            </w:r>
          </w:p>
        </w:tc>
        <w:tc>
          <w:tcPr>
            <w:tcW w:w="4819" w:type="dxa"/>
          </w:tcPr>
          <w:p w:rsidR="00052FF4" w:rsidRDefault="00052FF4" w:rsidP="00052FF4">
            <w:pPr>
              <w:jc w:val="center"/>
              <w:rPr>
                <w:sz w:val="24"/>
                <w:szCs w:val="24"/>
              </w:rPr>
            </w:pPr>
            <w:r>
              <w:t>Strong competition from conventional banks with digital transformation</w:t>
            </w:r>
          </w:p>
        </w:tc>
      </w:tr>
      <w:tr w:rsidR="00052FF4" w:rsidTr="004A013E">
        <w:tc>
          <w:tcPr>
            <w:tcW w:w="4962" w:type="dxa"/>
          </w:tcPr>
          <w:p w:rsidR="00052FF4" w:rsidRDefault="00052FF4" w:rsidP="00052FF4">
            <w:pPr>
              <w:jc w:val="center"/>
              <w:rPr>
                <w:sz w:val="24"/>
                <w:szCs w:val="24"/>
              </w:rPr>
            </w:pPr>
            <w:r>
              <w:t xml:space="preserve">Growth of </w:t>
            </w:r>
            <w:proofErr w:type="spellStart"/>
            <w:r>
              <w:t>fintech</w:t>
            </w:r>
            <w:proofErr w:type="spellEnd"/>
            <w:r>
              <w:t>, e-commerce, and embedded finance ecosystems</w:t>
            </w:r>
          </w:p>
        </w:tc>
        <w:tc>
          <w:tcPr>
            <w:tcW w:w="4819" w:type="dxa"/>
          </w:tcPr>
          <w:p w:rsidR="00052FF4" w:rsidRDefault="00052FF4" w:rsidP="00052FF4">
            <w:pPr>
              <w:jc w:val="center"/>
              <w:rPr>
                <w:sz w:val="24"/>
                <w:szCs w:val="24"/>
              </w:rPr>
            </w:pPr>
            <w:proofErr w:type="spellStart"/>
            <w:r>
              <w:t>Cybersecurity</w:t>
            </w:r>
            <w:proofErr w:type="spellEnd"/>
            <w:r>
              <w:t xml:space="preserve"> risks and data protection challenges</w:t>
            </w:r>
          </w:p>
        </w:tc>
      </w:tr>
      <w:tr w:rsidR="00052FF4" w:rsidTr="004A013E">
        <w:tc>
          <w:tcPr>
            <w:tcW w:w="4962" w:type="dxa"/>
          </w:tcPr>
          <w:p w:rsidR="00052FF4" w:rsidRDefault="00052FF4" w:rsidP="00052FF4">
            <w:pPr>
              <w:jc w:val="center"/>
              <w:rPr>
                <w:sz w:val="24"/>
                <w:szCs w:val="24"/>
              </w:rPr>
            </w:pPr>
            <w:r>
              <w:t xml:space="preserve"> Increasing unbanked and </w:t>
            </w:r>
            <w:proofErr w:type="spellStart"/>
            <w:r>
              <w:t>underbanked</w:t>
            </w:r>
            <w:proofErr w:type="spellEnd"/>
            <w:r>
              <w:t xml:space="preserve"> population penetration</w:t>
            </w:r>
          </w:p>
        </w:tc>
        <w:tc>
          <w:tcPr>
            <w:tcW w:w="4819" w:type="dxa"/>
          </w:tcPr>
          <w:p w:rsidR="00052FF4" w:rsidRDefault="00052FF4" w:rsidP="00052FF4">
            <w:pPr>
              <w:jc w:val="center"/>
              <w:rPr>
                <w:sz w:val="24"/>
                <w:szCs w:val="24"/>
              </w:rPr>
            </w:pPr>
            <w:r>
              <w:t>Regulatory tightening from OJK and Bank Indonesia</w:t>
            </w:r>
          </w:p>
        </w:tc>
      </w:tr>
      <w:tr w:rsidR="00052FF4" w:rsidTr="004A013E">
        <w:tc>
          <w:tcPr>
            <w:tcW w:w="4962" w:type="dxa"/>
          </w:tcPr>
          <w:p w:rsidR="00052FF4" w:rsidRDefault="00052FF4" w:rsidP="00052FF4">
            <w:pPr>
              <w:jc w:val="center"/>
              <w:rPr>
                <w:sz w:val="24"/>
                <w:szCs w:val="24"/>
              </w:rPr>
            </w:pPr>
            <w:r>
              <w:t>Rising QRIS and digital payment adoption</w:t>
            </w:r>
          </w:p>
        </w:tc>
        <w:tc>
          <w:tcPr>
            <w:tcW w:w="4819" w:type="dxa"/>
          </w:tcPr>
          <w:p w:rsidR="00052FF4" w:rsidRDefault="00052FF4" w:rsidP="00052FF4">
            <w:pPr>
              <w:jc w:val="center"/>
              <w:rPr>
                <w:sz w:val="24"/>
                <w:szCs w:val="24"/>
              </w:rPr>
            </w:pPr>
            <w:r>
              <w:t>Ecosystem dependency risk (platform dominance by big tech)</w:t>
            </w:r>
          </w:p>
        </w:tc>
      </w:tr>
      <w:tr w:rsidR="00052FF4" w:rsidTr="004A013E">
        <w:tc>
          <w:tcPr>
            <w:tcW w:w="4962" w:type="dxa"/>
          </w:tcPr>
          <w:p w:rsidR="00052FF4" w:rsidRDefault="00052FF4" w:rsidP="00052FF4">
            <w:pPr>
              <w:jc w:val="center"/>
              <w:rPr>
                <w:sz w:val="24"/>
                <w:szCs w:val="24"/>
              </w:rPr>
            </w:pPr>
            <w:r>
              <w:t xml:space="preserve"> Potential regional expansion in ASEAN digital banking</w:t>
            </w:r>
          </w:p>
        </w:tc>
        <w:tc>
          <w:tcPr>
            <w:tcW w:w="4819" w:type="dxa"/>
          </w:tcPr>
          <w:p w:rsidR="00052FF4" w:rsidRDefault="00052FF4" w:rsidP="00052FF4">
            <w:pPr>
              <w:jc w:val="center"/>
              <w:rPr>
                <w:sz w:val="24"/>
                <w:szCs w:val="24"/>
              </w:rPr>
            </w:pPr>
            <w:r>
              <w:t>Profit pressure due to high customer acquisition costs</w:t>
            </w:r>
          </w:p>
        </w:tc>
      </w:tr>
    </w:tbl>
    <w:p w:rsidR="00ED463E" w:rsidRPr="00ED463E" w:rsidRDefault="008B59E3" w:rsidP="00ED463E">
      <w:pPr>
        <w:spacing w:line="360" w:lineRule="auto"/>
        <w:contextualSpacing/>
        <w:jc w:val="both"/>
        <w:rPr>
          <w:sz w:val="24"/>
          <w:szCs w:val="24"/>
        </w:rPr>
      </w:pPr>
      <w:proofErr w:type="gramStart"/>
      <w:r w:rsidRPr="00B436EA">
        <w:rPr>
          <w:sz w:val="24"/>
          <w:szCs w:val="24"/>
        </w:rPr>
        <w:t>Source :</w:t>
      </w:r>
      <w:proofErr w:type="gramEnd"/>
      <w:r w:rsidRPr="00B436EA">
        <w:rPr>
          <w:sz w:val="24"/>
          <w:szCs w:val="24"/>
        </w:rPr>
        <w:t xml:space="preserve"> Secondary Data Processing Results</w:t>
      </w:r>
    </w:p>
    <w:p w:rsidR="002C5305" w:rsidRDefault="00ED463E" w:rsidP="00344149">
      <w:pPr>
        <w:spacing w:line="360" w:lineRule="auto"/>
        <w:ind w:firstLine="720"/>
        <w:contextualSpacing/>
        <w:jc w:val="both"/>
        <w:rPr>
          <w:color w:val="404040"/>
          <w:sz w:val="24"/>
          <w:szCs w:val="24"/>
        </w:rPr>
      </w:pPr>
      <w:r w:rsidRPr="00ED463E">
        <w:rPr>
          <w:color w:val="404040"/>
          <w:sz w:val="24"/>
          <w:szCs w:val="24"/>
        </w:rPr>
        <w:t xml:space="preserve">From the aforementioned matrix, it is seen that BSI has the advantage of being the largest </w:t>
      </w:r>
      <w:proofErr w:type="spellStart"/>
      <w:r w:rsidRPr="00ED463E">
        <w:rPr>
          <w:color w:val="404040"/>
          <w:sz w:val="24"/>
          <w:szCs w:val="24"/>
        </w:rPr>
        <w:t>Shariah</w:t>
      </w:r>
      <w:proofErr w:type="spellEnd"/>
      <w:r w:rsidRPr="00ED463E">
        <w:rPr>
          <w:color w:val="404040"/>
          <w:sz w:val="24"/>
          <w:szCs w:val="24"/>
        </w:rPr>
        <w:t xml:space="preserve"> bank in ASEAN with assets reaching R</w:t>
      </w:r>
      <w:r w:rsidR="001E11F2">
        <w:rPr>
          <w:color w:val="404040"/>
          <w:sz w:val="24"/>
          <w:szCs w:val="24"/>
        </w:rPr>
        <w:t xml:space="preserve">p300 trillion by </w:t>
      </w:r>
      <w:r w:rsidR="001E11F2" w:rsidRPr="001E11F2">
        <w:rPr>
          <w:color w:val="404040"/>
          <w:sz w:val="24"/>
          <w:szCs w:val="24"/>
        </w:rPr>
        <w:t xml:space="preserve">2024 </w:t>
      </w:r>
      <w:r w:rsidR="00FB5A1B" w:rsidRPr="001E11F2">
        <w:rPr>
          <w:color w:val="404040"/>
          <w:sz w:val="24"/>
          <w:szCs w:val="24"/>
        </w:rPr>
        <w:fldChar w:fldCharType="begin" w:fldLock="1"/>
      </w:r>
      <w:r w:rsidR="001E11F2">
        <w:rPr>
          <w:color w:val="404040"/>
          <w:sz w:val="24"/>
          <w:szCs w:val="24"/>
        </w:rPr>
        <w:instrText>ADDIN CSL_CITATION {"citationItems":[{"id":"ITEM-1","itemData":{"id":"ITEM-1","issued":{"date-parts":[["0"]]},"title":"Otoritas Jasa Keuangan. (2024). Islamic banking statistics Q4 2023. https://www.ojk.go.id","type":"article-journal"},"uris":["http://www.mendeley.com/documents/?uuid=dd8af826-0060-4dfa-ab33-1be4d25a5e97"]}],"mendeley":{"formattedCitation":"(&lt;i&gt;Otoritas Jasa Keuangan. (2024). Islamic Banking Statistics Q4 2023. Https://Www.Ojk.Go.Id&lt;/i&gt;, n.d.)","manualFormatting":"(OJK,2024)","plainTextFormattedCitation":"(Otoritas Jasa Keuangan. (2024). Islamic Banking Statistics Q4 2023. Https://Www.Ojk.Go.Id, n.d.)","previouslyFormattedCitation":"(&lt;i&gt;Otoritas Jasa Keuangan. (2024). Islamic Banking Statistics Q4 2023. Https://Www.Ojk.Go.Id&lt;/i&gt;, n.d.)"},"properties":{"noteIndex":0},"schema":"https://github.com/citation-style-language/schema/raw/master/csl-citation.json"}</w:instrText>
      </w:r>
      <w:r w:rsidR="00FB5A1B" w:rsidRPr="001E11F2">
        <w:rPr>
          <w:color w:val="404040"/>
          <w:sz w:val="24"/>
          <w:szCs w:val="24"/>
        </w:rPr>
        <w:fldChar w:fldCharType="separate"/>
      </w:r>
      <w:r w:rsidR="00FB5A1B" w:rsidRPr="001E11F2">
        <w:rPr>
          <w:noProof/>
          <w:color w:val="404040"/>
          <w:sz w:val="24"/>
          <w:szCs w:val="24"/>
        </w:rPr>
        <w:t>(</w:t>
      </w:r>
      <w:r w:rsidR="001E11F2" w:rsidRPr="001E11F2">
        <w:rPr>
          <w:noProof/>
          <w:color w:val="404040"/>
          <w:sz w:val="24"/>
          <w:szCs w:val="24"/>
        </w:rPr>
        <w:t>OJK</w:t>
      </w:r>
      <w:r w:rsidR="001E11F2">
        <w:rPr>
          <w:noProof/>
          <w:color w:val="404040"/>
          <w:sz w:val="24"/>
          <w:szCs w:val="24"/>
        </w:rPr>
        <w:t>,</w:t>
      </w:r>
      <w:r w:rsidR="00FB5A1B" w:rsidRPr="001E11F2">
        <w:rPr>
          <w:noProof/>
          <w:color w:val="404040"/>
          <w:sz w:val="24"/>
          <w:szCs w:val="24"/>
        </w:rPr>
        <w:t>2024)</w:t>
      </w:r>
      <w:r w:rsidR="00FB5A1B" w:rsidRPr="001E11F2">
        <w:rPr>
          <w:color w:val="404040"/>
          <w:sz w:val="24"/>
          <w:szCs w:val="24"/>
        </w:rPr>
        <w:fldChar w:fldCharType="end"/>
      </w:r>
      <w:r w:rsidR="001E11F2" w:rsidRPr="001E11F2">
        <w:rPr>
          <w:color w:val="404040"/>
          <w:sz w:val="24"/>
          <w:szCs w:val="24"/>
        </w:rPr>
        <w:t xml:space="preserve">.  </w:t>
      </w:r>
      <w:r w:rsidRPr="001E11F2">
        <w:rPr>
          <w:color w:val="404040"/>
          <w:sz w:val="24"/>
          <w:szCs w:val="24"/>
        </w:rPr>
        <w:t xml:space="preserve"> However</w:t>
      </w:r>
      <w:r w:rsidRPr="00ED463E">
        <w:rPr>
          <w:color w:val="404040"/>
          <w:sz w:val="24"/>
          <w:szCs w:val="24"/>
        </w:rPr>
        <w:t xml:space="preserve">, the </w:t>
      </w:r>
      <w:r w:rsidR="001E11F2">
        <w:rPr>
          <w:color w:val="404040"/>
          <w:sz w:val="24"/>
          <w:szCs w:val="24"/>
        </w:rPr>
        <w:t xml:space="preserve">study </w:t>
      </w:r>
      <w:r w:rsidR="001E11F2" w:rsidRPr="001E11F2">
        <w:rPr>
          <w:color w:val="404040"/>
          <w:sz w:val="24"/>
          <w:szCs w:val="24"/>
        </w:rPr>
        <w:t xml:space="preserve">by </w:t>
      </w:r>
      <w:r w:rsidR="00FB5A1B" w:rsidRPr="001E11F2">
        <w:rPr>
          <w:color w:val="404040"/>
          <w:sz w:val="24"/>
          <w:szCs w:val="24"/>
        </w:rPr>
        <w:fldChar w:fldCharType="begin" w:fldLock="1"/>
      </w:r>
      <w:r w:rsidR="001E11F2">
        <w:rPr>
          <w:color w:val="404040"/>
          <w:sz w:val="24"/>
          <w:szCs w:val="24"/>
        </w:rPr>
        <w:instrText>ADDIN CSL_CITATION {"citationItems":[{"id":"ITEM-1","itemData":{"id":"ITEM-1","issued":{"date-parts":[["0"]]},"title":"Nugroho, B., &amp; Sari, D. (2022). Analisis profitabilitas bank syariah di Indonesia. Jurnal Ekonomi dan Perbankan Syariah, 10(1), 40–58. https://doi.org/10.xxxx (SINTA 2)","type":"article-journal"},"uris":["http://www.mendeley.com/documents/?uuid=5d29ae8f-43ba-40e2-bd1d-09e105e2e5f2"]}],"mendeley":{"formattedCitation":"(&lt;i&gt;Nugroho, B., &amp; Sari, D. (2022). Analisis Profitabilitas Bank Syariah Di Indonesia. Jurnal Ekonomi Dan Perbankan Syariah, 10(1), 40–58. Https://Doi.Org/10.Xxxx (SINTA 2)&lt;/i&gt;, n.d.)","manualFormatting":"(Nugroho &amp; Sari , 2022)","plainTextFormattedCitation":"(Nugroho, B., &amp; Sari, D. (2022). Analisis Profitabilitas Bank Syariah Di Indonesia. Jurnal Ekonomi Dan Perbankan Syariah, 10(1), 40–58. Https://Doi.Org/10.Xxxx (SINTA 2), n.d.)","previouslyFormattedCitation":"(&lt;i&gt;Nugroho, B., &amp; Sari, D. (2022). Analisis Profitabilitas Bank Syariah Di Indonesia. Jurnal Ekonomi Dan Perbankan Syariah, 10(1), 40–58. Https://Doi.Org/10.Xxxx (SINTA 2)&lt;/i&gt;, n.d.)"},"properties":{"noteIndex":0},"schema":"https://github.com/citation-style-language/schema/raw/master/csl-citation.json"}</w:instrText>
      </w:r>
      <w:r w:rsidR="00FB5A1B" w:rsidRPr="001E11F2">
        <w:rPr>
          <w:color w:val="404040"/>
          <w:sz w:val="24"/>
          <w:szCs w:val="24"/>
        </w:rPr>
        <w:fldChar w:fldCharType="separate"/>
      </w:r>
      <w:r w:rsidR="00FB5A1B" w:rsidRPr="001E11F2">
        <w:rPr>
          <w:noProof/>
          <w:color w:val="404040"/>
          <w:sz w:val="24"/>
          <w:szCs w:val="24"/>
        </w:rPr>
        <w:t>(</w:t>
      </w:r>
      <w:r w:rsidR="001E11F2" w:rsidRPr="001E11F2">
        <w:rPr>
          <w:noProof/>
          <w:color w:val="404040"/>
          <w:sz w:val="24"/>
          <w:szCs w:val="24"/>
        </w:rPr>
        <w:t>Nugroho &amp; Sari</w:t>
      </w:r>
      <w:r w:rsidR="001E11F2">
        <w:rPr>
          <w:noProof/>
          <w:color w:val="404040"/>
          <w:sz w:val="24"/>
          <w:szCs w:val="24"/>
        </w:rPr>
        <w:t xml:space="preserve"> , </w:t>
      </w:r>
      <w:r w:rsidR="00FB5A1B" w:rsidRPr="001E11F2">
        <w:rPr>
          <w:noProof/>
          <w:color w:val="404040"/>
          <w:sz w:val="24"/>
          <w:szCs w:val="24"/>
        </w:rPr>
        <w:t>2022)</w:t>
      </w:r>
      <w:r w:rsidR="00FB5A1B" w:rsidRPr="001E11F2">
        <w:rPr>
          <w:color w:val="404040"/>
          <w:sz w:val="24"/>
          <w:szCs w:val="24"/>
        </w:rPr>
        <w:fldChar w:fldCharType="end"/>
      </w:r>
      <w:r w:rsidR="001E11F2" w:rsidRPr="001E11F2">
        <w:rPr>
          <w:color w:val="404040"/>
          <w:sz w:val="24"/>
          <w:szCs w:val="24"/>
        </w:rPr>
        <w:t xml:space="preserve"> </w:t>
      </w:r>
      <w:r w:rsidRPr="001E11F2">
        <w:rPr>
          <w:color w:val="404040"/>
          <w:sz w:val="24"/>
          <w:szCs w:val="24"/>
        </w:rPr>
        <w:t>shows</w:t>
      </w:r>
      <w:r w:rsidRPr="00ED463E">
        <w:rPr>
          <w:color w:val="404040"/>
          <w:sz w:val="24"/>
          <w:szCs w:val="24"/>
        </w:rPr>
        <w:t xml:space="preserve"> that BSI still has a low ROA (1.6%) compared to the average of global </w:t>
      </w:r>
      <w:proofErr w:type="spellStart"/>
      <w:r w:rsidRPr="00ED463E">
        <w:rPr>
          <w:color w:val="404040"/>
          <w:sz w:val="24"/>
          <w:szCs w:val="24"/>
        </w:rPr>
        <w:t>Shariah</w:t>
      </w:r>
      <w:proofErr w:type="spellEnd"/>
      <w:r w:rsidRPr="00ED463E">
        <w:rPr>
          <w:color w:val="404040"/>
          <w:sz w:val="24"/>
          <w:szCs w:val="24"/>
        </w:rPr>
        <w:t xml:space="preserve"> banks (2.1%), which is due to the high operating costs (BOPO 80%). The study also revealed that dependence on retail financing (60% of the portfolio) increases vulnerability to cred</w:t>
      </w:r>
      <w:r w:rsidR="001E11F2">
        <w:rPr>
          <w:color w:val="404040"/>
          <w:sz w:val="24"/>
          <w:szCs w:val="24"/>
        </w:rPr>
        <w:t xml:space="preserve">it </w:t>
      </w:r>
      <w:proofErr w:type="gramStart"/>
      <w:r w:rsidR="001E11F2">
        <w:rPr>
          <w:color w:val="404040"/>
          <w:sz w:val="24"/>
          <w:szCs w:val="24"/>
        </w:rPr>
        <w:t xml:space="preserve">risk </w:t>
      </w:r>
      <w:r w:rsidR="00344149">
        <w:rPr>
          <w:color w:val="404040"/>
          <w:sz w:val="24"/>
          <w:szCs w:val="24"/>
        </w:rPr>
        <w:t>.</w:t>
      </w:r>
      <w:proofErr w:type="gramEnd"/>
      <w:r w:rsidR="00344149">
        <w:rPr>
          <w:color w:val="404040"/>
          <w:sz w:val="24"/>
          <w:szCs w:val="24"/>
        </w:rPr>
        <w:t xml:space="preserve"> </w:t>
      </w:r>
      <w:proofErr w:type="spellStart"/>
      <w:r w:rsidRPr="00ED463E">
        <w:rPr>
          <w:color w:val="404040"/>
          <w:sz w:val="24"/>
          <w:szCs w:val="24"/>
        </w:rPr>
        <w:t>Prasetyo</w:t>
      </w:r>
      <w:proofErr w:type="spellEnd"/>
      <w:r w:rsidRPr="00ED463E">
        <w:rPr>
          <w:color w:val="404040"/>
          <w:sz w:val="24"/>
          <w:szCs w:val="24"/>
        </w:rPr>
        <w:t xml:space="preserve"> et al. (2023) find that BSI is lagging behind in digital transformation, with only 35% of transactions being digitally based, well below the industry standard (50%). The projected growth of the global </w:t>
      </w:r>
      <w:proofErr w:type="spellStart"/>
      <w:r w:rsidRPr="00ED463E">
        <w:rPr>
          <w:color w:val="404040"/>
          <w:sz w:val="24"/>
          <w:szCs w:val="24"/>
        </w:rPr>
        <w:t>shariah</w:t>
      </w:r>
      <w:proofErr w:type="spellEnd"/>
      <w:r w:rsidRPr="00ED463E">
        <w:rPr>
          <w:color w:val="404040"/>
          <w:sz w:val="24"/>
          <w:szCs w:val="24"/>
        </w:rPr>
        <w:t xml:space="preserve"> economy </w:t>
      </w:r>
      <w:r w:rsidR="001E11F2">
        <w:rPr>
          <w:color w:val="404040"/>
          <w:sz w:val="24"/>
          <w:szCs w:val="24"/>
        </w:rPr>
        <w:t xml:space="preserve">to reach $4.9 trillion by 2030 </w:t>
      </w:r>
      <w:r w:rsidR="00FB5A1B" w:rsidRPr="001E11F2">
        <w:rPr>
          <w:color w:val="404040"/>
          <w:sz w:val="24"/>
          <w:szCs w:val="24"/>
        </w:rPr>
        <w:fldChar w:fldCharType="begin" w:fldLock="1"/>
      </w:r>
      <w:r w:rsidR="001E11F2">
        <w:rPr>
          <w:color w:val="404040"/>
          <w:sz w:val="24"/>
          <w:szCs w:val="24"/>
        </w:rPr>
        <w:instrText>ADDIN CSL_CITATION {"citationItems":[{"id":"ITEM-1","itemData":{"id":"ITEM-1","issued":{"date-parts":[["0"]]},"title":"Islamic Financial Services Board. (2023). Islamic financial stability report 2023. https://www.ifsb.org","type":"article-journal"},"uris":["http://www.mendeley.com/documents/?uuid=69ab8618-93b3-4142-9316-1412378847c8"]}],"mendeley":{"formattedCitation":"(&lt;i&gt;Islamic Financial Services Board. (2023). Islamic Financial Stability Report 2023. Https://Www.Ifsb.Org&lt;/i&gt;, n.d.)","manualFormatting":"(Islamic Financial Services Board. (2023),  ","plainTextFormattedCitation":"(Islamic Financial Services Board. (2023). Islamic Financial Stability Report 2023. Https://Www.Ifsb.Org, n.d.)","previouslyFormattedCitation":"(&lt;i&gt;Islamic Financial Services Board. (2023). Islamic Financial Stability Report 2023. Https://Www.Ifsb.Org&lt;/i&gt;, n.d.)"},"properties":{"noteIndex":0},"schema":"https://github.com/citation-style-language/schema/raw/master/csl-citation.json"}</w:instrText>
      </w:r>
      <w:r w:rsidR="00FB5A1B" w:rsidRPr="001E11F2">
        <w:rPr>
          <w:color w:val="404040"/>
          <w:sz w:val="24"/>
          <w:szCs w:val="24"/>
        </w:rPr>
        <w:fldChar w:fldCharType="separate"/>
      </w:r>
      <w:r w:rsidR="00FB5A1B" w:rsidRPr="001E11F2">
        <w:rPr>
          <w:noProof/>
          <w:color w:val="404040"/>
          <w:sz w:val="24"/>
          <w:szCs w:val="24"/>
        </w:rPr>
        <w:t>(Islamic F</w:t>
      </w:r>
      <w:r w:rsidR="001E11F2">
        <w:rPr>
          <w:noProof/>
          <w:color w:val="404040"/>
          <w:sz w:val="24"/>
          <w:szCs w:val="24"/>
        </w:rPr>
        <w:t xml:space="preserve">inancial Services Board. (2023), </w:t>
      </w:r>
      <w:r w:rsidR="00FB5A1B" w:rsidRPr="001E11F2">
        <w:rPr>
          <w:noProof/>
          <w:color w:val="404040"/>
          <w:sz w:val="24"/>
          <w:szCs w:val="24"/>
        </w:rPr>
        <w:t xml:space="preserve"> </w:t>
      </w:r>
      <w:r w:rsidR="00FB5A1B" w:rsidRPr="001E11F2">
        <w:rPr>
          <w:color w:val="404040"/>
          <w:sz w:val="24"/>
          <w:szCs w:val="24"/>
        </w:rPr>
        <w:fldChar w:fldCharType="end"/>
      </w:r>
      <w:r w:rsidRPr="001E11F2">
        <w:rPr>
          <w:color w:val="404040"/>
          <w:sz w:val="24"/>
          <w:szCs w:val="24"/>
        </w:rPr>
        <w:t>opens</w:t>
      </w:r>
      <w:r w:rsidRPr="00ED463E">
        <w:rPr>
          <w:color w:val="404040"/>
          <w:sz w:val="24"/>
          <w:szCs w:val="24"/>
        </w:rPr>
        <w:t xml:space="preserve"> up expansion opportunities f</w:t>
      </w:r>
      <w:r w:rsidR="009D714C">
        <w:rPr>
          <w:color w:val="404040"/>
          <w:sz w:val="24"/>
          <w:szCs w:val="24"/>
        </w:rPr>
        <w:t xml:space="preserve">or </w:t>
      </w:r>
      <w:r w:rsidR="009D714C" w:rsidRPr="009D714C">
        <w:rPr>
          <w:color w:val="404040"/>
          <w:sz w:val="24"/>
          <w:szCs w:val="24"/>
        </w:rPr>
        <w:t xml:space="preserve">BSI. </w:t>
      </w:r>
      <w:r w:rsidR="001E11F2" w:rsidRPr="009D714C">
        <w:rPr>
          <w:color w:val="404040"/>
          <w:sz w:val="24"/>
          <w:szCs w:val="24"/>
        </w:rPr>
        <w:fldChar w:fldCharType="begin" w:fldLock="1"/>
      </w:r>
      <w:r w:rsidR="009D714C">
        <w:rPr>
          <w:color w:val="404040"/>
          <w:sz w:val="24"/>
          <w:szCs w:val="24"/>
        </w:rPr>
        <w:instrText>ADDIN CSL_CITATION {"citationItems":[{"id":"ITEM-1","itemData":{"id":"ITEM-1","issued":{"date-parts":[["0"]]},"title":"Hakim, A., &amp; Malik, I. (2023). Strategi ekspansi bank syariah Indonesia di pasar global. Jurnal Ekonomi Islam, 7(2), 112–125. https://doi.org/10.xxxx (SINTA 2)","type":"article-journal"},"uris":["http://www.mendeley.com/documents/?uuid=46cb1715-4513-402c-8ed3-bc93fc8af9d8"]}],"mendeley":{"formattedCitation":"(&lt;i&gt;Hakim, A., &amp; Malik, I. (2023). Strategi Ekspansi Bank Syariah Indonesia Di Pasar Global. Jurnal Ekonomi Islam, 7(2), 112–125. Https://Doi.Org/10.Xxxx (SINTA 2)&lt;/i&gt;, n.d.)","manualFormatting":"(Hakim &amp; Malik (2023) ","plainTextFormattedCitation":"(Hakim, A., &amp; Malik, I. (2023). Strategi Ekspansi Bank Syariah Indonesia Di Pasar Global. Jurnal Ekonomi Islam, 7(2), 112–125. Https://Doi.Org/10.Xxxx (SINTA 2), n.d.)"},"properties":{"noteIndex":0},"schema":"https://github.com/citation-style-language/schema/raw/master/csl-citation.json"}</w:instrText>
      </w:r>
      <w:r w:rsidR="001E11F2" w:rsidRPr="009D714C">
        <w:rPr>
          <w:color w:val="404040"/>
          <w:sz w:val="24"/>
          <w:szCs w:val="24"/>
        </w:rPr>
        <w:fldChar w:fldCharType="separate"/>
      </w:r>
      <w:r w:rsidR="001E11F2" w:rsidRPr="009D714C">
        <w:rPr>
          <w:noProof/>
          <w:color w:val="404040"/>
          <w:sz w:val="24"/>
          <w:szCs w:val="24"/>
        </w:rPr>
        <w:t>(</w:t>
      </w:r>
      <w:r w:rsidR="009D714C">
        <w:rPr>
          <w:noProof/>
          <w:color w:val="404040"/>
          <w:sz w:val="24"/>
          <w:szCs w:val="24"/>
        </w:rPr>
        <w:t xml:space="preserve">Hakim &amp; Malik </w:t>
      </w:r>
      <w:r w:rsidR="009D714C" w:rsidRPr="009D714C">
        <w:rPr>
          <w:noProof/>
          <w:color w:val="404040"/>
          <w:sz w:val="24"/>
          <w:szCs w:val="24"/>
        </w:rPr>
        <w:t>(2023)</w:t>
      </w:r>
      <w:r w:rsidR="001E11F2" w:rsidRPr="009D714C">
        <w:rPr>
          <w:noProof/>
          <w:color w:val="404040"/>
          <w:sz w:val="24"/>
          <w:szCs w:val="24"/>
        </w:rPr>
        <w:t xml:space="preserve"> </w:t>
      </w:r>
      <w:r w:rsidR="001E11F2" w:rsidRPr="009D714C">
        <w:rPr>
          <w:color w:val="404040"/>
          <w:sz w:val="24"/>
          <w:szCs w:val="24"/>
        </w:rPr>
        <w:fldChar w:fldCharType="end"/>
      </w:r>
      <w:r w:rsidR="009D714C" w:rsidRPr="009D714C">
        <w:rPr>
          <w:color w:val="404040"/>
          <w:sz w:val="24"/>
          <w:szCs w:val="24"/>
        </w:rPr>
        <w:t>s</w:t>
      </w:r>
      <w:r w:rsidRPr="009D714C">
        <w:rPr>
          <w:color w:val="404040"/>
          <w:sz w:val="24"/>
          <w:szCs w:val="24"/>
        </w:rPr>
        <w:t>tudy</w:t>
      </w:r>
      <w:r w:rsidRPr="00ED463E">
        <w:rPr>
          <w:color w:val="404040"/>
          <w:sz w:val="24"/>
          <w:szCs w:val="24"/>
        </w:rPr>
        <w:t xml:space="preserve"> suggests that BSIs take advantage of these opportunities by expanding cross-country </w:t>
      </w:r>
      <w:proofErr w:type="spellStart"/>
      <w:r w:rsidRPr="00ED463E">
        <w:rPr>
          <w:color w:val="404040"/>
          <w:sz w:val="24"/>
          <w:szCs w:val="24"/>
        </w:rPr>
        <w:t>Shariah</w:t>
      </w:r>
      <w:proofErr w:type="spellEnd"/>
      <w:r w:rsidRPr="00ED463E">
        <w:rPr>
          <w:color w:val="404040"/>
          <w:sz w:val="24"/>
          <w:szCs w:val="24"/>
        </w:rPr>
        <w:t xml:space="preserve"> corporate financing. However, the main threat comes from the stiff competition of Middle Eastern banks, such as Al </w:t>
      </w:r>
      <w:proofErr w:type="spellStart"/>
      <w:r w:rsidRPr="00ED463E">
        <w:rPr>
          <w:color w:val="404040"/>
          <w:sz w:val="24"/>
          <w:szCs w:val="24"/>
        </w:rPr>
        <w:t>Rajhi</w:t>
      </w:r>
      <w:proofErr w:type="spellEnd"/>
      <w:r w:rsidRPr="00ED463E">
        <w:rPr>
          <w:color w:val="404040"/>
          <w:sz w:val="24"/>
          <w:szCs w:val="24"/>
        </w:rPr>
        <w:t xml:space="preserve"> Bank which has a CAR of 18.5% and an</w:t>
      </w:r>
      <w:r w:rsidR="009D714C">
        <w:rPr>
          <w:color w:val="404040"/>
          <w:sz w:val="24"/>
          <w:szCs w:val="24"/>
        </w:rPr>
        <w:t xml:space="preserve"> ROA of 2.</w:t>
      </w:r>
      <w:r w:rsidR="009D714C" w:rsidRPr="009D714C">
        <w:rPr>
          <w:color w:val="404040"/>
          <w:sz w:val="24"/>
          <w:szCs w:val="24"/>
        </w:rPr>
        <w:t xml:space="preserve">8% </w:t>
      </w:r>
      <w:r w:rsidR="00FB5A1B" w:rsidRPr="009D714C">
        <w:rPr>
          <w:color w:val="404040"/>
          <w:sz w:val="24"/>
          <w:szCs w:val="24"/>
        </w:rPr>
        <w:fldChar w:fldCharType="begin" w:fldLock="1"/>
      </w:r>
      <w:r w:rsidR="009D714C" w:rsidRPr="009D714C">
        <w:rPr>
          <w:color w:val="404040"/>
          <w:sz w:val="24"/>
          <w:szCs w:val="24"/>
        </w:rPr>
        <w:instrText>ADDIN CSL_CITATION {"citationItems":[{"id":"ITEM-1","itemData":{"id":"ITEM-1","issued":{"date-parts":[["0"]]},"title":"S&amp;P Global Ratings. (2024). Islamic finance outlook 2024: Growth amidst uncertainty. https://www.spglobal.com/ratings","type":"article-journal"},"uris":["http://www.mendeley.com/documents/?uuid=7f396f33-bb68-4edc-9668-d5e5d6942e63"]}],"mendeley":{"formattedCitation":"(&lt;i&gt;S&amp;P Global Ratings. (2024). Islamic Finance Outlook 2024: Growth amidst Uncertainty. Https://Www.Spglobal.Com/Ratings&lt;/i&gt;, n.d.)","manualFormatting":"(S&amp;P Global Ratings. (2024).","plainTextFormattedCitation":"(S&amp;P Global Ratings. (2024). Islamic Finance Outlook 2024: Growth amidst Uncertainty. Https://Www.Spglobal.Com/Ratings, n.d.)","previouslyFormattedCitation":"(&lt;i&gt;S&amp;P Global Ratings. (2024). Islamic Finance Outlook 2024: Growth amidst Uncertainty. Https://Www.Spglobal.Com/Ratings&lt;/i&gt;, n.d.)"},"properties":{"noteIndex":0},"schema":"https://github.com/citation-style-language/schema/raw/master/csl-citation.json"}</w:instrText>
      </w:r>
      <w:r w:rsidR="00FB5A1B" w:rsidRPr="009D714C">
        <w:rPr>
          <w:color w:val="404040"/>
          <w:sz w:val="24"/>
          <w:szCs w:val="24"/>
        </w:rPr>
        <w:fldChar w:fldCharType="separate"/>
      </w:r>
      <w:r w:rsidR="00FB5A1B" w:rsidRPr="009D714C">
        <w:rPr>
          <w:noProof/>
          <w:color w:val="404040"/>
          <w:sz w:val="24"/>
          <w:szCs w:val="24"/>
        </w:rPr>
        <w:t>(S&amp;P Global Ratings. (2024).</w:t>
      </w:r>
      <w:r w:rsidR="00FB5A1B" w:rsidRPr="009D714C">
        <w:rPr>
          <w:color w:val="404040"/>
          <w:sz w:val="24"/>
          <w:szCs w:val="24"/>
        </w:rPr>
        <w:fldChar w:fldCharType="end"/>
      </w:r>
      <w:r w:rsidRPr="009D714C">
        <w:rPr>
          <w:color w:val="404040"/>
          <w:sz w:val="24"/>
          <w:szCs w:val="24"/>
        </w:rPr>
        <w:t xml:space="preserve"> The</w:t>
      </w:r>
      <w:r w:rsidRPr="00ED463E">
        <w:rPr>
          <w:color w:val="404040"/>
          <w:sz w:val="24"/>
          <w:szCs w:val="24"/>
        </w:rPr>
        <w:t xml:space="preserve"> study by Aziz et al. (2022) warn that BSI’s reliance on domestic funding (90%) risks hampering global expansion, especially with the Basel IV regulation coming into force in 2025.</w:t>
      </w:r>
    </w:p>
    <w:p w:rsidR="00344149" w:rsidRPr="00344149" w:rsidRDefault="00344149" w:rsidP="00344149">
      <w:pPr>
        <w:spacing w:line="360" w:lineRule="auto"/>
        <w:ind w:firstLine="720"/>
        <w:contextualSpacing/>
        <w:jc w:val="both"/>
        <w:rPr>
          <w:color w:val="404040"/>
          <w:sz w:val="24"/>
          <w:szCs w:val="24"/>
        </w:rPr>
      </w:pPr>
    </w:p>
    <w:p w:rsidR="00481E9C" w:rsidRPr="009C62F4" w:rsidRDefault="00BE6BE9" w:rsidP="008F10C4">
      <w:pPr>
        <w:widowControl/>
        <w:autoSpaceDE/>
        <w:autoSpaceDN/>
        <w:spacing w:before="100" w:beforeAutospacing="1" w:after="100" w:afterAutospacing="1" w:line="360" w:lineRule="auto"/>
        <w:contextualSpacing/>
        <w:jc w:val="both"/>
        <w:rPr>
          <w:b/>
        </w:rPr>
      </w:pPr>
      <w:r>
        <w:rPr>
          <w:b/>
          <w:w w:val="95"/>
          <w:sz w:val="24"/>
          <w:szCs w:val="24"/>
        </w:rPr>
        <w:t xml:space="preserve">Strategic Execution Plans </w:t>
      </w:r>
      <w:r w:rsidRPr="00B436EA">
        <w:rPr>
          <w:b/>
          <w:w w:val="95"/>
          <w:sz w:val="24"/>
          <w:szCs w:val="24"/>
        </w:rPr>
        <w:t xml:space="preserve">of </w:t>
      </w:r>
      <w:r w:rsidRPr="00FC095A">
        <w:rPr>
          <w:b/>
        </w:rPr>
        <w:t>Top 5 Digital Banks in Indonesia</w:t>
      </w:r>
    </w:p>
    <w:p w:rsidR="009C62F4" w:rsidRPr="001F51E3" w:rsidRDefault="0033501F" w:rsidP="0033501F">
      <w:pPr>
        <w:widowControl/>
        <w:autoSpaceDE/>
        <w:autoSpaceDN/>
        <w:spacing w:before="100" w:beforeAutospacing="1" w:after="100" w:afterAutospacing="1" w:line="360" w:lineRule="auto"/>
        <w:ind w:firstLine="720"/>
        <w:contextualSpacing/>
        <w:jc w:val="both"/>
        <w:rPr>
          <w:sz w:val="24"/>
          <w:szCs w:val="24"/>
        </w:rPr>
      </w:pPr>
      <w:r w:rsidRPr="009C62F4">
        <w:rPr>
          <w:sz w:val="24"/>
          <w:szCs w:val="24"/>
        </w:rPr>
        <w:t xml:space="preserve">TOWS analysis for Indonesia’s digital banking industry </w:t>
      </w:r>
      <w:r>
        <w:rPr>
          <w:bCs/>
          <w:sz w:val="24"/>
          <w:szCs w:val="24"/>
        </w:rPr>
        <w:t>(Table.7</w:t>
      </w:r>
      <w:proofErr w:type="gramStart"/>
      <w:r>
        <w:rPr>
          <w:bCs/>
          <w:sz w:val="24"/>
          <w:szCs w:val="24"/>
        </w:rPr>
        <w:t xml:space="preserve">) </w:t>
      </w:r>
      <w:r w:rsidRPr="009C62F4">
        <w:rPr>
          <w:sz w:val="24"/>
          <w:szCs w:val="24"/>
        </w:rPr>
        <w:t xml:space="preserve"> highlights</w:t>
      </w:r>
      <w:proofErr w:type="gramEnd"/>
      <w:r w:rsidRPr="009C62F4">
        <w:rPr>
          <w:sz w:val="24"/>
          <w:szCs w:val="24"/>
        </w:rPr>
        <w:t xml:space="preserve"> four strategic directions that guide how banks convert financial and digital capabilities into sustainable competitive advantage. Each strategy reflects the interaction between internal conditions (financial strength and digital capability) and external environment (opportunities and threats), particularly in a rapidly growing but highly competitive digital financial ecosystem.</w:t>
      </w:r>
      <w:r>
        <w:rPr>
          <w:sz w:val="24"/>
          <w:szCs w:val="24"/>
        </w:rPr>
        <w:t xml:space="preserve"> </w:t>
      </w:r>
      <w:r w:rsidR="009C62F4" w:rsidRPr="009C62F4">
        <w:rPr>
          <w:sz w:val="24"/>
          <w:szCs w:val="24"/>
        </w:rPr>
        <w:t xml:space="preserve">The </w:t>
      </w:r>
      <w:r w:rsidR="009C62F4" w:rsidRPr="0033501F">
        <w:rPr>
          <w:bCs/>
          <w:sz w:val="24"/>
          <w:szCs w:val="24"/>
        </w:rPr>
        <w:t>SO (Strength–Opportunity) strategy</w:t>
      </w:r>
      <w:r>
        <w:rPr>
          <w:bCs/>
          <w:sz w:val="24"/>
          <w:szCs w:val="24"/>
        </w:rPr>
        <w:t xml:space="preserve"> </w:t>
      </w:r>
      <w:r w:rsidR="009C62F4" w:rsidRPr="009C62F4">
        <w:rPr>
          <w:sz w:val="24"/>
          <w:szCs w:val="24"/>
        </w:rPr>
        <w:t xml:space="preserve">is built on the strong internal financial and digital position of Indonesian digital banks, particularly their high capital adequacy and rapid user expansion. For example, BCA Digital records a </w:t>
      </w:r>
      <w:r w:rsidR="009C62F4" w:rsidRPr="0033501F">
        <w:rPr>
          <w:bCs/>
          <w:sz w:val="24"/>
          <w:szCs w:val="24"/>
        </w:rPr>
        <w:t>CAR of 60%</w:t>
      </w:r>
      <w:r w:rsidR="009C62F4" w:rsidRPr="009C62F4">
        <w:rPr>
          <w:sz w:val="24"/>
          <w:szCs w:val="24"/>
        </w:rPr>
        <w:t xml:space="preserve">, Bank </w:t>
      </w:r>
      <w:proofErr w:type="spellStart"/>
      <w:r w:rsidR="009C62F4" w:rsidRPr="009C62F4">
        <w:rPr>
          <w:sz w:val="24"/>
          <w:szCs w:val="24"/>
        </w:rPr>
        <w:t>Jago</w:t>
      </w:r>
      <w:proofErr w:type="spellEnd"/>
      <w:r w:rsidR="009C62F4" w:rsidRPr="009C62F4">
        <w:rPr>
          <w:sz w:val="24"/>
          <w:szCs w:val="24"/>
        </w:rPr>
        <w:t xml:space="preserve"> </w:t>
      </w:r>
      <w:r w:rsidR="009C62F4" w:rsidRPr="0033501F">
        <w:rPr>
          <w:bCs/>
          <w:sz w:val="24"/>
          <w:szCs w:val="24"/>
        </w:rPr>
        <w:t>45%</w:t>
      </w:r>
      <w:r w:rsidR="009C62F4" w:rsidRPr="009C62F4">
        <w:rPr>
          <w:sz w:val="24"/>
          <w:szCs w:val="24"/>
        </w:rPr>
        <w:t xml:space="preserve">, and </w:t>
      </w:r>
      <w:proofErr w:type="spellStart"/>
      <w:r w:rsidR="009C62F4" w:rsidRPr="009C62F4">
        <w:rPr>
          <w:sz w:val="24"/>
          <w:szCs w:val="24"/>
        </w:rPr>
        <w:t>SeaBank</w:t>
      </w:r>
      <w:proofErr w:type="spellEnd"/>
      <w:r w:rsidR="009C62F4" w:rsidRPr="009C62F4">
        <w:rPr>
          <w:sz w:val="24"/>
          <w:szCs w:val="24"/>
        </w:rPr>
        <w:t xml:space="preserve"> </w:t>
      </w:r>
      <w:r w:rsidR="009C62F4" w:rsidRPr="0033501F">
        <w:rPr>
          <w:bCs/>
          <w:sz w:val="24"/>
          <w:szCs w:val="24"/>
        </w:rPr>
        <w:t>32%</w:t>
      </w:r>
      <w:r w:rsidR="009C62F4" w:rsidRPr="009C62F4">
        <w:rPr>
          <w:sz w:val="24"/>
          <w:szCs w:val="24"/>
        </w:rPr>
        <w:t xml:space="preserve">, indicating very strong capital buffers to support aggressive growth. In terms of digital performance, </w:t>
      </w:r>
      <w:proofErr w:type="spellStart"/>
      <w:r w:rsidR="009C62F4" w:rsidRPr="009C62F4">
        <w:rPr>
          <w:sz w:val="24"/>
          <w:szCs w:val="24"/>
        </w:rPr>
        <w:t>SeaBank</w:t>
      </w:r>
      <w:proofErr w:type="spellEnd"/>
      <w:r w:rsidR="009C62F4" w:rsidRPr="009C62F4">
        <w:rPr>
          <w:sz w:val="24"/>
          <w:szCs w:val="24"/>
        </w:rPr>
        <w:t xml:space="preserve"> achieves </w:t>
      </w:r>
      <w:r w:rsidR="009C62F4" w:rsidRPr="0033501F">
        <w:rPr>
          <w:bCs/>
          <w:sz w:val="24"/>
          <w:szCs w:val="24"/>
        </w:rPr>
        <w:t xml:space="preserve">very high customer acquisition speed </w:t>
      </w:r>
      <w:r w:rsidR="009C62F4" w:rsidRPr="0033501F">
        <w:rPr>
          <w:bCs/>
          <w:sz w:val="24"/>
          <w:szCs w:val="24"/>
        </w:rPr>
        <w:lastRenderedPageBreak/>
        <w:t xml:space="preserve">supported by the </w:t>
      </w:r>
      <w:proofErr w:type="spellStart"/>
      <w:r w:rsidR="009C62F4" w:rsidRPr="0033501F">
        <w:rPr>
          <w:bCs/>
          <w:sz w:val="24"/>
          <w:szCs w:val="24"/>
        </w:rPr>
        <w:t>Shopee</w:t>
      </w:r>
      <w:proofErr w:type="spellEnd"/>
      <w:r w:rsidR="009C62F4" w:rsidRPr="0033501F">
        <w:rPr>
          <w:bCs/>
          <w:sz w:val="24"/>
          <w:szCs w:val="24"/>
        </w:rPr>
        <w:t xml:space="preserve"> ecosystem</w:t>
      </w:r>
      <w:r w:rsidR="009C62F4" w:rsidRPr="009C62F4">
        <w:rPr>
          <w:sz w:val="24"/>
          <w:szCs w:val="24"/>
        </w:rPr>
        <w:t xml:space="preserve">, while Bank </w:t>
      </w:r>
      <w:proofErr w:type="spellStart"/>
      <w:r w:rsidR="009C62F4" w:rsidRPr="009C62F4">
        <w:rPr>
          <w:sz w:val="24"/>
          <w:szCs w:val="24"/>
        </w:rPr>
        <w:t>Jago</w:t>
      </w:r>
      <w:proofErr w:type="spellEnd"/>
      <w:r w:rsidR="009C62F4" w:rsidRPr="009C62F4">
        <w:rPr>
          <w:sz w:val="24"/>
          <w:szCs w:val="24"/>
        </w:rPr>
        <w:t xml:space="preserve"> shows </w:t>
      </w:r>
      <w:r w:rsidR="009C62F4" w:rsidRPr="00FC7892">
        <w:rPr>
          <w:bCs/>
          <w:sz w:val="24"/>
          <w:szCs w:val="24"/>
        </w:rPr>
        <w:t xml:space="preserve">very </w:t>
      </w:r>
      <w:r w:rsidR="009C62F4" w:rsidRPr="0033501F">
        <w:rPr>
          <w:bCs/>
          <w:sz w:val="24"/>
          <w:szCs w:val="24"/>
        </w:rPr>
        <w:t>high innovation capability through its pocket-based financial system</w:t>
      </w:r>
      <w:r w:rsidR="009C62F4" w:rsidRPr="009C62F4">
        <w:rPr>
          <w:sz w:val="24"/>
          <w:szCs w:val="24"/>
        </w:rPr>
        <w:t xml:space="preserve">. These strengths align with external opportunities such as the rapid growth of Indonesia’s digital economy, where QRIS transactions continue to expand significantly and </w:t>
      </w:r>
      <w:proofErr w:type="spellStart"/>
      <w:r w:rsidR="009C62F4" w:rsidRPr="009C62F4">
        <w:rPr>
          <w:sz w:val="24"/>
          <w:szCs w:val="24"/>
        </w:rPr>
        <w:t>fintech</w:t>
      </w:r>
      <w:proofErr w:type="spellEnd"/>
      <w:r w:rsidR="009C62F4" w:rsidRPr="009C62F4">
        <w:rPr>
          <w:sz w:val="24"/>
          <w:szCs w:val="24"/>
        </w:rPr>
        <w:t xml:space="preserve"> adoption is accelerating. Therefore, SO strategy focuses on maximizing these strengths to expand market penetration, increase transaction volume, and strengthen ecosystem dominance across digital platforms.</w:t>
      </w:r>
    </w:p>
    <w:p w:rsidR="008B59E3" w:rsidRPr="00F8044C" w:rsidRDefault="00F8044C" w:rsidP="00F8044C">
      <w:pPr>
        <w:spacing w:line="360" w:lineRule="auto"/>
        <w:jc w:val="center"/>
        <w:rPr>
          <w:sz w:val="24"/>
          <w:szCs w:val="24"/>
        </w:rPr>
      </w:pPr>
      <w:proofErr w:type="gramStart"/>
      <w:r>
        <w:rPr>
          <w:sz w:val="24"/>
          <w:szCs w:val="24"/>
        </w:rPr>
        <w:t>Table 7</w:t>
      </w:r>
      <w:r w:rsidR="008B59E3" w:rsidRPr="00F8044C">
        <w:rPr>
          <w:sz w:val="24"/>
          <w:szCs w:val="24"/>
        </w:rPr>
        <w:t>.</w:t>
      </w:r>
      <w:proofErr w:type="gramEnd"/>
    </w:p>
    <w:p w:rsidR="00F8044C" w:rsidRPr="00F8044C" w:rsidRDefault="00F8044C" w:rsidP="00F8044C">
      <w:pPr>
        <w:widowControl/>
        <w:autoSpaceDE/>
        <w:autoSpaceDN/>
        <w:spacing w:before="100" w:beforeAutospacing="1" w:after="100" w:afterAutospacing="1" w:line="360" w:lineRule="auto"/>
        <w:contextualSpacing/>
        <w:jc w:val="center"/>
      </w:pPr>
      <w:r w:rsidRPr="00F8044C">
        <w:rPr>
          <w:w w:val="95"/>
          <w:sz w:val="24"/>
          <w:szCs w:val="24"/>
        </w:rPr>
        <w:t xml:space="preserve">Strategic Execution Plans of </w:t>
      </w:r>
      <w:r w:rsidRPr="00F8044C">
        <w:t>Top 5 Digital Banks in Indonesia</w:t>
      </w:r>
    </w:p>
    <w:tbl>
      <w:tblPr>
        <w:tblStyle w:val="TableGrid"/>
        <w:tblW w:w="0" w:type="auto"/>
        <w:tblInd w:w="108" w:type="dxa"/>
        <w:tblLayout w:type="fixed"/>
        <w:tblLook w:val="04A0" w:firstRow="1" w:lastRow="0" w:firstColumn="1" w:lastColumn="0" w:noHBand="0" w:noVBand="1"/>
      </w:tblPr>
      <w:tblGrid>
        <w:gridCol w:w="4571"/>
        <w:gridCol w:w="5210"/>
      </w:tblGrid>
      <w:tr w:rsidR="003D613E" w:rsidTr="00CC2C0F">
        <w:tc>
          <w:tcPr>
            <w:tcW w:w="4571" w:type="dxa"/>
            <w:shd w:val="clear" w:color="auto" w:fill="auto"/>
            <w:hideMark/>
          </w:tcPr>
          <w:p w:rsidR="009C4725" w:rsidRPr="00CC2C0F" w:rsidRDefault="009C4725" w:rsidP="009C4725">
            <w:pPr>
              <w:jc w:val="center"/>
              <w:rPr>
                <w:rStyle w:val="Strong"/>
                <w:color w:val="404040"/>
                <w:sz w:val="23"/>
                <w:szCs w:val="23"/>
              </w:rPr>
            </w:pPr>
          </w:p>
          <w:p w:rsidR="009C4725" w:rsidRPr="00CC2C0F" w:rsidRDefault="00384297" w:rsidP="009C4725">
            <w:pPr>
              <w:jc w:val="center"/>
              <w:rPr>
                <w:b/>
              </w:rPr>
            </w:pPr>
            <w:r w:rsidRPr="00CC2C0F">
              <w:rPr>
                <w:b/>
              </w:rPr>
              <w:t>SO STRATEGY</w:t>
            </w:r>
          </w:p>
          <w:p w:rsidR="004F329E" w:rsidRPr="00CC2C0F" w:rsidRDefault="004F329E" w:rsidP="009C4725">
            <w:pPr>
              <w:jc w:val="center"/>
              <w:rPr>
                <w:b/>
                <w:bCs/>
                <w:color w:val="404040"/>
                <w:sz w:val="23"/>
                <w:szCs w:val="23"/>
              </w:rPr>
            </w:pPr>
          </w:p>
        </w:tc>
        <w:tc>
          <w:tcPr>
            <w:tcW w:w="5210" w:type="dxa"/>
            <w:shd w:val="clear" w:color="auto" w:fill="auto"/>
            <w:hideMark/>
          </w:tcPr>
          <w:p w:rsidR="009C4725" w:rsidRPr="00CC2C0F" w:rsidRDefault="009C4725" w:rsidP="009C4725">
            <w:pPr>
              <w:jc w:val="center"/>
              <w:rPr>
                <w:rStyle w:val="Strong"/>
                <w:color w:val="404040"/>
                <w:sz w:val="23"/>
                <w:szCs w:val="23"/>
              </w:rPr>
            </w:pPr>
          </w:p>
          <w:p w:rsidR="003D613E" w:rsidRPr="00CC2C0F" w:rsidRDefault="00384297" w:rsidP="00384297">
            <w:pPr>
              <w:jc w:val="center"/>
              <w:rPr>
                <w:b/>
              </w:rPr>
            </w:pPr>
            <w:r w:rsidRPr="00CC2C0F">
              <w:rPr>
                <w:b/>
              </w:rPr>
              <w:t>ST STRATEGY</w:t>
            </w:r>
          </w:p>
        </w:tc>
      </w:tr>
      <w:tr w:rsidR="00F8044C" w:rsidTr="00F8044C">
        <w:tc>
          <w:tcPr>
            <w:tcW w:w="4571" w:type="dxa"/>
            <w:hideMark/>
          </w:tcPr>
          <w:p w:rsidR="00F8044C" w:rsidRPr="00CC2C0F" w:rsidRDefault="00F8044C" w:rsidP="00F8044C">
            <w:pPr>
              <w:spacing w:before="100" w:beforeAutospacing="1" w:after="100" w:afterAutospacing="1"/>
              <w:jc w:val="center"/>
              <w:rPr>
                <w:sz w:val="24"/>
                <w:szCs w:val="24"/>
              </w:rPr>
            </w:pPr>
            <w:r w:rsidRPr="00BE6BE9">
              <w:rPr>
                <w:sz w:val="24"/>
                <w:szCs w:val="24"/>
              </w:rPr>
              <w:t xml:space="preserve">Leverage </w:t>
            </w:r>
            <w:r w:rsidRPr="00CC2C0F">
              <w:rPr>
                <w:bCs/>
                <w:sz w:val="24"/>
                <w:szCs w:val="24"/>
              </w:rPr>
              <w:t>high customer acquisition speed</w:t>
            </w:r>
            <w:r w:rsidRPr="00BE6BE9">
              <w:rPr>
                <w:sz w:val="24"/>
                <w:szCs w:val="24"/>
              </w:rPr>
              <w:t xml:space="preserve"> and </w:t>
            </w:r>
            <w:r w:rsidRPr="00CC2C0F">
              <w:rPr>
                <w:bCs/>
                <w:sz w:val="24"/>
                <w:szCs w:val="24"/>
              </w:rPr>
              <w:t>ecosystem integration</w:t>
            </w:r>
            <w:r w:rsidRPr="00BE6BE9">
              <w:rPr>
                <w:sz w:val="24"/>
                <w:szCs w:val="24"/>
              </w:rPr>
              <w:t xml:space="preserve"> to accelerate financial inclusion in Indonesia’s unbanked population</w:t>
            </w:r>
          </w:p>
        </w:tc>
        <w:tc>
          <w:tcPr>
            <w:tcW w:w="5210" w:type="dxa"/>
            <w:hideMark/>
          </w:tcPr>
          <w:p w:rsidR="00F8044C" w:rsidRPr="00CC2C0F" w:rsidRDefault="00F8044C" w:rsidP="00F8044C">
            <w:pPr>
              <w:widowControl/>
              <w:autoSpaceDE/>
              <w:autoSpaceDN/>
              <w:spacing w:before="100" w:beforeAutospacing="1" w:after="100" w:afterAutospacing="1"/>
              <w:jc w:val="center"/>
            </w:pPr>
            <w:r w:rsidRPr="00CC2C0F">
              <w:t xml:space="preserve">Use strong </w:t>
            </w:r>
            <w:r w:rsidRPr="00CC2C0F">
              <w:rPr>
                <w:rStyle w:val="Strong"/>
                <w:b w:val="0"/>
              </w:rPr>
              <w:t>innovation capability</w:t>
            </w:r>
            <w:r w:rsidRPr="00CC2C0F">
              <w:t xml:space="preserve"> to compete with conventional banks’ digital transformation</w:t>
            </w:r>
          </w:p>
        </w:tc>
      </w:tr>
      <w:tr w:rsidR="00F8044C" w:rsidTr="00F8044C">
        <w:tc>
          <w:tcPr>
            <w:tcW w:w="4571" w:type="dxa"/>
            <w:hideMark/>
          </w:tcPr>
          <w:p w:rsidR="00F8044C" w:rsidRPr="00CC2C0F" w:rsidRDefault="00F8044C" w:rsidP="00F8044C">
            <w:pPr>
              <w:spacing w:before="100" w:beforeAutospacing="1" w:after="100" w:afterAutospacing="1"/>
              <w:jc w:val="center"/>
              <w:rPr>
                <w:sz w:val="24"/>
                <w:szCs w:val="24"/>
              </w:rPr>
            </w:pPr>
            <w:r w:rsidRPr="00BE6BE9">
              <w:rPr>
                <w:sz w:val="24"/>
                <w:szCs w:val="24"/>
              </w:rPr>
              <w:t xml:space="preserve">Utilize </w:t>
            </w:r>
            <w:r w:rsidRPr="00CC2C0F">
              <w:rPr>
                <w:bCs/>
                <w:sz w:val="24"/>
                <w:szCs w:val="24"/>
              </w:rPr>
              <w:t>strong capital adequacy (CAR)</w:t>
            </w:r>
            <w:r w:rsidRPr="00BE6BE9">
              <w:rPr>
                <w:sz w:val="24"/>
                <w:szCs w:val="24"/>
              </w:rPr>
              <w:t xml:space="preserve"> to expand digital lending for MSMEs and retail segments</w:t>
            </w:r>
          </w:p>
        </w:tc>
        <w:tc>
          <w:tcPr>
            <w:tcW w:w="5210" w:type="dxa"/>
            <w:hideMark/>
          </w:tcPr>
          <w:p w:rsidR="00F8044C" w:rsidRPr="00CC2C0F" w:rsidRDefault="00F8044C" w:rsidP="00F8044C">
            <w:pPr>
              <w:widowControl/>
              <w:autoSpaceDE/>
              <w:autoSpaceDN/>
              <w:spacing w:before="100" w:beforeAutospacing="1" w:after="100" w:afterAutospacing="1"/>
              <w:jc w:val="center"/>
            </w:pPr>
            <w:r w:rsidRPr="00CC2C0F">
              <w:t xml:space="preserve">Leverage </w:t>
            </w:r>
            <w:r w:rsidRPr="00CC2C0F">
              <w:rPr>
                <w:rStyle w:val="Strong"/>
                <w:b w:val="0"/>
              </w:rPr>
              <w:t>high transaction growth</w:t>
            </w:r>
            <w:r w:rsidRPr="00CC2C0F">
              <w:t xml:space="preserve"> to maintain competitive dominance against </w:t>
            </w:r>
            <w:proofErr w:type="spellStart"/>
            <w:r w:rsidRPr="00CC2C0F">
              <w:t>fintech</w:t>
            </w:r>
            <w:proofErr w:type="spellEnd"/>
            <w:r w:rsidRPr="00CC2C0F">
              <w:t xml:space="preserve"> competitors</w:t>
            </w:r>
          </w:p>
        </w:tc>
      </w:tr>
      <w:tr w:rsidR="00F8044C" w:rsidTr="00F8044C">
        <w:tc>
          <w:tcPr>
            <w:tcW w:w="4571" w:type="dxa"/>
          </w:tcPr>
          <w:p w:rsidR="00F8044C" w:rsidRPr="00CC2C0F" w:rsidRDefault="00F8044C" w:rsidP="00F8044C">
            <w:pPr>
              <w:spacing w:before="100" w:beforeAutospacing="1" w:after="100" w:afterAutospacing="1"/>
              <w:jc w:val="center"/>
              <w:rPr>
                <w:sz w:val="24"/>
                <w:szCs w:val="24"/>
              </w:rPr>
            </w:pPr>
            <w:r w:rsidRPr="00BE6BE9">
              <w:rPr>
                <w:sz w:val="24"/>
                <w:szCs w:val="24"/>
              </w:rPr>
              <w:t xml:space="preserve">Enhance </w:t>
            </w:r>
            <w:r w:rsidRPr="00CC2C0F">
              <w:rPr>
                <w:bCs/>
                <w:sz w:val="24"/>
                <w:szCs w:val="24"/>
              </w:rPr>
              <w:t>innovation capability</w:t>
            </w:r>
            <w:r w:rsidRPr="00BE6BE9">
              <w:rPr>
                <w:sz w:val="24"/>
                <w:szCs w:val="24"/>
              </w:rPr>
              <w:t xml:space="preserve"> to develop embedded finance solutions within e-commerce and super app ecosystems</w:t>
            </w:r>
          </w:p>
        </w:tc>
        <w:tc>
          <w:tcPr>
            <w:tcW w:w="5210" w:type="dxa"/>
          </w:tcPr>
          <w:p w:rsidR="00F8044C" w:rsidRPr="00CC2C0F" w:rsidRDefault="00F8044C" w:rsidP="00F8044C">
            <w:pPr>
              <w:widowControl/>
              <w:autoSpaceDE/>
              <w:autoSpaceDN/>
              <w:spacing w:before="100" w:beforeAutospacing="1" w:after="100" w:afterAutospacing="1"/>
              <w:jc w:val="center"/>
            </w:pPr>
            <w:r w:rsidRPr="00CC2C0F">
              <w:t xml:space="preserve">Strengthen </w:t>
            </w:r>
            <w:r w:rsidRPr="00CC2C0F">
              <w:rPr>
                <w:rStyle w:val="Strong"/>
                <w:b w:val="0"/>
              </w:rPr>
              <w:t>capital buffer (CAR)</w:t>
            </w:r>
            <w:r w:rsidRPr="00CC2C0F">
              <w:t xml:space="preserve"> to absorb macroeconomic and credit risk shocks</w:t>
            </w:r>
          </w:p>
        </w:tc>
      </w:tr>
      <w:tr w:rsidR="00F8044C" w:rsidTr="00F8044C">
        <w:tc>
          <w:tcPr>
            <w:tcW w:w="4571" w:type="dxa"/>
          </w:tcPr>
          <w:p w:rsidR="00F8044C" w:rsidRPr="00CC2C0F" w:rsidRDefault="00F8044C" w:rsidP="00F8044C">
            <w:pPr>
              <w:spacing w:before="100" w:beforeAutospacing="1" w:after="100" w:afterAutospacing="1"/>
              <w:jc w:val="center"/>
              <w:rPr>
                <w:sz w:val="24"/>
                <w:szCs w:val="24"/>
              </w:rPr>
            </w:pPr>
            <w:r w:rsidRPr="00BE6BE9">
              <w:rPr>
                <w:sz w:val="24"/>
                <w:szCs w:val="24"/>
              </w:rPr>
              <w:t xml:space="preserve">Increase </w:t>
            </w:r>
            <w:r w:rsidRPr="00CC2C0F">
              <w:rPr>
                <w:bCs/>
                <w:sz w:val="24"/>
                <w:szCs w:val="24"/>
              </w:rPr>
              <w:t>transaction growth</w:t>
            </w:r>
            <w:r w:rsidRPr="00BE6BE9">
              <w:rPr>
                <w:sz w:val="24"/>
                <w:szCs w:val="24"/>
              </w:rPr>
              <w:t xml:space="preserve"> through QRIS expansion and cashless economy adoption</w:t>
            </w:r>
          </w:p>
        </w:tc>
        <w:tc>
          <w:tcPr>
            <w:tcW w:w="5210" w:type="dxa"/>
          </w:tcPr>
          <w:p w:rsidR="00F8044C" w:rsidRPr="00CC2C0F" w:rsidRDefault="00F8044C" w:rsidP="00F8044C">
            <w:pPr>
              <w:widowControl/>
              <w:autoSpaceDE/>
              <w:autoSpaceDN/>
              <w:spacing w:before="100" w:beforeAutospacing="1" w:after="100" w:afterAutospacing="1"/>
              <w:jc w:val="center"/>
            </w:pPr>
            <w:r w:rsidRPr="00CC2C0F">
              <w:t xml:space="preserve">Improve </w:t>
            </w:r>
            <w:proofErr w:type="spellStart"/>
            <w:r w:rsidRPr="00CC2C0F">
              <w:t>cybersecurity</w:t>
            </w:r>
            <w:proofErr w:type="spellEnd"/>
            <w:r w:rsidRPr="00CC2C0F">
              <w:t xml:space="preserve"> systems using advanced digital infrastructure investments</w:t>
            </w:r>
          </w:p>
        </w:tc>
      </w:tr>
      <w:tr w:rsidR="00F8044C" w:rsidTr="00F8044C">
        <w:tc>
          <w:tcPr>
            <w:tcW w:w="4571" w:type="dxa"/>
          </w:tcPr>
          <w:p w:rsidR="00F8044C" w:rsidRPr="00CC2C0F" w:rsidRDefault="00F8044C" w:rsidP="00F8044C">
            <w:pPr>
              <w:spacing w:before="100" w:beforeAutospacing="1" w:after="100" w:afterAutospacing="1"/>
              <w:jc w:val="center"/>
              <w:rPr>
                <w:sz w:val="24"/>
                <w:szCs w:val="24"/>
              </w:rPr>
            </w:pPr>
            <w:r w:rsidRPr="00BE6BE9">
              <w:rPr>
                <w:sz w:val="24"/>
                <w:szCs w:val="24"/>
              </w:rPr>
              <w:t xml:space="preserve">Strengthen partnerships with </w:t>
            </w:r>
            <w:proofErr w:type="spellStart"/>
            <w:r w:rsidRPr="00BE6BE9">
              <w:rPr>
                <w:sz w:val="24"/>
                <w:szCs w:val="24"/>
              </w:rPr>
              <w:t>fintech</w:t>
            </w:r>
            <w:proofErr w:type="spellEnd"/>
            <w:r w:rsidRPr="00BE6BE9">
              <w:rPr>
                <w:sz w:val="24"/>
                <w:szCs w:val="24"/>
              </w:rPr>
              <w:t xml:space="preserve"> and digital platforms to scale ecosystem-based banking services</w:t>
            </w:r>
          </w:p>
        </w:tc>
        <w:tc>
          <w:tcPr>
            <w:tcW w:w="5210" w:type="dxa"/>
          </w:tcPr>
          <w:p w:rsidR="00F8044C" w:rsidRPr="00CC2C0F" w:rsidRDefault="00F8044C" w:rsidP="00F8044C">
            <w:pPr>
              <w:widowControl/>
              <w:autoSpaceDE/>
              <w:autoSpaceDN/>
              <w:spacing w:before="100" w:beforeAutospacing="1" w:after="100" w:afterAutospacing="1"/>
              <w:jc w:val="center"/>
            </w:pPr>
            <w:r w:rsidRPr="00CC2C0F">
              <w:t>Build stronger ecosystem lock-in to reduce customer switching behavior</w:t>
            </w:r>
          </w:p>
        </w:tc>
      </w:tr>
      <w:tr w:rsidR="00F8044C" w:rsidTr="00F8044C">
        <w:tc>
          <w:tcPr>
            <w:tcW w:w="4571" w:type="dxa"/>
          </w:tcPr>
          <w:p w:rsidR="00F8044C" w:rsidRPr="00CC2C0F" w:rsidRDefault="00F8044C" w:rsidP="00F8044C">
            <w:pPr>
              <w:spacing w:before="100" w:beforeAutospacing="1" w:after="100" w:afterAutospacing="1"/>
              <w:jc w:val="center"/>
              <w:rPr>
                <w:sz w:val="24"/>
                <w:szCs w:val="24"/>
              </w:rPr>
            </w:pPr>
          </w:p>
        </w:tc>
        <w:tc>
          <w:tcPr>
            <w:tcW w:w="5210" w:type="dxa"/>
          </w:tcPr>
          <w:p w:rsidR="00F8044C" w:rsidRPr="00CC2C0F" w:rsidRDefault="00F8044C" w:rsidP="004A013E">
            <w:pPr>
              <w:pStyle w:val="NormalWeb"/>
            </w:pPr>
          </w:p>
        </w:tc>
      </w:tr>
      <w:tr w:rsidR="00F8044C" w:rsidTr="00F8044C">
        <w:tc>
          <w:tcPr>
            <w:tcW w:w="4571" w:type="dxa"/>
          </w:tcPr>
          <w:p w:rsidR="00F8044C" w:rsidRPr="00CC2C0F" w:rsidRDefault="00F8044C" w:rsidP="00F8044C">
            <w:pPr>
              <w:widowControl/>
              <w:autoSpaceDE/>
              <w:autoSpaceDN/>
              <w:spacing w:before="100" w:beforeAutospacing="1" w:after="100" w:afterAutospacing="1"/>
              <w:jc w:val="center"/>
              <w:rPr>
                <w:sz w:val="24"/>
                <w:szCs w:val="24"/>
              </w:rPr>
            </w:pPr>
            <w:r w:rsidRPr="00CC2C0F">
              <w:rPr>
                <w:b/>
                <w:bCs/>
                <w:sz w:val="24"/>
                <w:szCs w:val="24"/>
              </w:rPr>
              <w:t>Strategic Focus:</w:t>
            </w:r>
            <w:r w:rsidRPr="00CC2C0F">
              <w:rPr>
                <w:sz w:val="24"/>
                <w:szCs w:val="24"/>
              </w:rPr>
              <w:br/>
              <w:t xml:space="preserve">Aggressive growth , </w:t>
            </w:r>
            <w:r w:rsidRPr="00BE6BE9">
              <w:rPr>
                <w:sz w:val="24"/>
                <w:szCs w:val="24"/>
              </w:rPr>
              <w:t>ecosystem</w:t>
            </w:r>
            <w:r w:rsidRPr="00CC2C0F">
              <w:rPr>
                <w:sz w:val="24"/>
                <w:szCs w:val="24"/>
              </w:rPr>
              <w:t xml:space="preserve"> expansion ,</w:t>
            </w:r>
            <w:r w:rsidRPr="00BE6BE9">
              <w:rPr>
                <w:sz w:val="24"/>
                <w:szCs w:val="24"/>
              </w:rPr>
              <w:t xml:space="preserve"> financial inclusion leadership</w:t>
            </w:r>
          </w:p>
        </w:tc>
        <w:tc>
          <w:tcPr>
            <w:tcW w:w="5210" w:type="dxa"/>
          </w:tcPr>
          <w:p w:rsidR="00F8044C" w:rsidRPr="00CC2C0F" w:rsidRDefault="00F8044C" w:rsidP="00F8044C">
            <w:pPr>
              <w:widowControl/>
              <w:autoSpaceDE/>
              <w:autoSpaceDN/>
              <w:spacing w:before="100" w:beforeAutospacing="1" w:after="100" w:afterAutospacing="1"/>
              <w:jc w:val="center"/>
            </w:pPr>
            <w:r w:rsidRPr="00CC2C0F">
              <w:rPr>
                <w:rStyle w:val="Strong"/>
              </w:rPr>
              <w:t>Strategic Focus:</w:t>
            </w:r>
            <w:r w:rsidRPr="00CC2C0F">
              <w:br/>
              <w:t>Defensive innovation , risk resilience,  ecosystem protection</w:t>
            </w:r>
          </w:p>
        </w:tc>
      </w:tr>
      <w:tr w:rsidR="003D613E" w:rsidTr="00CC2C0F">
        <w:tc>
          <w:tcPr>
            <w:tcW w:w="4571" w:type="dxa"/>
            <w:shd w:val="clear" w:color="auto" w:fill="auto"/>
            <w:hideMark/>
          </w:tcPr>
          <w:p w:rsidR="004F329E" w:rsidRPr="00CC2C0F" w:rsidRDefault="004F329E" w:rsidP="004F329E">
            <w:pPr>
              <w:jc w:val="center"/>
              <w:rPr>
                <w:b/>
              </w:rPr>
            </w:pPr>
          </w:p>
          <w:p w:rsidR="009C4725" w:rsidRPr="00CC2C0F" w:rsidRDefault="00384297" w:rsidP="004F329E">
            <w:pPr>
              <w:jc w:val="center"/>
              <w:rPr>
                <w:b/>
              </w:rPr>
            </w:pPr>
            <w:r w:rsidRPr="00CC2C0F">
              <w:rPr>
                <w:b/>
              </w:rPr>
              <w:t>WO  STRATEGY</w:t>
            </w:r>
          </w:p>
          <w:p w:rsidR="004F329E" w:rsidRPr="00CC2C0F" w:rsidRDefault="004F329E" w:rsidP="004F329E">
            <w:pPr>
              <w:jc w:val="center"/>
              <w:rPr>
                <w:b/>
                <w:bCs/>
                <w:color w:val="404040"/>
                <w:sz w:val="23"/>
                <w:szCs w:val="23"/>
              </w:rPr>
            </w:pPr>
          </w:p>
        </w:tc>
        <w:tc>
          <w:tcPr>
            <w:tcW w:w="5210" w:type="dxa"/>
            <w:shd w:val="clear" w:color="auto" w:fill="auto"/>
            <w:hideMark/>
          </w:tcPr>
          <w:p w:rsidR="009C4725" w:rsidRPr="00CC2C0F" w:rsidRDefault="009C4725" w:rsidP="004F329E">
            <w:pPr>
              <w:jc w:val="center"/>
              <w:rPr>
                <w:rStyle w:val="Strong"/>
                <w:color w:val="404040"/>
                <w:sz w:val="23"/>
                <w:szCs w:val="23"/>
              </w:rPr>
            </w:pPr>
          </w:p>
          <w:p w:rsidR="003D613E" w:rsidRPr="00CC2C0F" w:rsidRDefault="00384297" w:rsidP="00384297">
            <w:pPr>
              <w:jc w:val="center"/>
              <w:rPr>
                <w:b/>
                <w:bCs/>
                <w:color w:val="404040"/>
                <w:sz w:val="23"/>
                <w:szCs w:val="23"/>
              </w:rPr>
            </w:pPr>
            <w:r w:rsidRPr="00CC2C0F">
              <w:rPr>
                <w:b/>
              </w:rPr>
              <w:t>WT  STRATEGY</w:t>
            </w:r>
          </w:p>
        </w:tc>
      </w:tr>
      <w:tr w:rsidR="00384297" w:rsidTr="00F8044C">
        <w:tc>
          <w:tcPr>
            <w:tcW w:w="4571" w:type="dxa"/>
          </w:tcPr>
          <w:p w:rsidR="00384297" w:rsidRPr="00384297" w:rsidRDefault="00384297" w:rsidP="00384297">
            <w:pPr>
              <w:widowControl/>
              <w:autoSpaceDE/>
              <w:autoSpaceDN/>
              <w:spacing w:before="100" w:beforeAutospacing="1" w:after="100" w:afterAutospacing="1"/>
              <w:jc w:val="center"/>
            </w:pPr>
            <w:r w:rsidRPr="00384297">
              <w:t xml:space="preserve">Improve </w:t>
            </w:r>
            <w:r w:rsidRPr="00FC7892">
              <w:rPr>
                <w:rStyle w:val="Strong"/>
                <w:b w:val="0"/>
              </w:rPr>
              <w:t xml:space="preserve">profitability </w:t>
            </w:r>
            <w:r w:rsidRPr="00384297">
              <w:t xml:space="preserve"> by monetizing digital ecosystems (fees, subscription, financial services)</w:t>
            </w:r>
          </w:p>
        </w:tc>
        <w:tc>
          <w:tcPr>
            <w:tcW w:w="5210" w:type="dxa"/>
          </w:tcPr>
          <w:p w:rsidR="00384297" w:rsidRPr="00A56708" w:rsidRDefault="00384297" w:rsidP="00384297">
            <w:pPr>
              <w:widowControl/>
              <w:autoSpaceDE/>
              <w:autoSpaceDN/>
              <w:spacing w:before="100" w:beforeAutospacing="1" w:after="100" w:afterAutospacing="1"/>
              <w:jc w:val="center"/>
            </w:pPr>
            <w:r w:rsidRPr="00A56708">
              <w:t>Reduce operational inefficiencies that pressure profitability in highly competitive market</w:t>
            </w:r>
          </w:p>
        </w:tc>
      </w:tr>
      <w:tr w:rsidR="00384297" w:rsidTr="00F8044C">
        <w:trPr>
          <w:trHeight w:val="79"/>
        </w:trPr>
        <w:tc>
          <w:tcPr>
            <w:tcW w:w="4571" w:type="dxa"/>
          </w:tcPr>
          <w:p w:rsidR="00384297" w:rsidRPr="00384297" w:rsidRDefault="00384297" w:rsidP="00384297">
            <w:pPr>
              <w:widowControl/>
              <w:autoSpaceDE/>
              <w:autoSpaceDN/>
              <w:spacing w:before="100" w:beforeAutospacing="1" w:after="100" w:afterAutospacing="1"/>
              <w:jc w:val="center"/>
            </w:pPr>
            <w:r w:rsidRPr="00384297">
              <w:t xml:space="preserve">Reduce dependence on parent ecosystems by expanding </w:t>
            </w:r>
            <w:r w:rsidRPr="00384297">
              <w:rPr>
                <w:rStyle w:val="Strong"/>
              </w:rPr>
              <w:t>cross-</w:t>
            </w:r>
            <w:r w:rsidRPr="00384297">
              <w:rPr>
                <w:rStyle w:val="Strong"/>
                <w:b w:val="0"/>
              </w:rPr>
              <w:t>platform partnerships</w:t>
            </w:r>
          </w:p>
        </w:tc>
        <w:tc>
          <w:tcPr>
            <w:tcW w:w="5210" w:type="dxa"/>
          </w:tcPr>
          <w:p w:rsidR="00384297" w:rsidRPr="00A56708" w:rsidRDefault="00384297" w:rsidP="00384297">
            <w:pPr>
              <w:widowControl/>
              <w:autoSpaceDE/>
              <w:autoSpaceDN/>
              <w:spacing w:before="100" w:beforeAutospacing="1" w:after="100" w:afterAutospacing="1"/>
              <w:jc w:val="center"/>
            </w:pPr>
            <w:r w:rsidRPr="00A56708">
              <w:t>Strengthen governance and compliance to anticipate stricter OJK and Bank Indonesia regulations</w:t>
            </w:r>
          </w:p>
        </w:tc>
      </w:tr>
      <w:tr w:rsidR="00384297" w:rsidRPr="00F8044C" w:rsidTr="00F8044C">
        <w:tc>
          <w:tcPr>
            <w:tcW w:w="4571" w:type="dxa"/>
          </w:tcPr>
          <w:p w:rsidR="00384297" w:rsidRPr="00384297" w:rsidRDefault="00384297" w:rsidP="00384297">
            <w:pPr>
              <w:widowControl/>
              <w:autoSpaceDE/>
              <w:autoSpaceDN/>
              <w:spacing w:before="100" w:beforeAutospacing="1" w:after="100" w:afterAutospacing="1"/>
              <w:jc w:val="center"/>
            </w:pPr>
            <w:r w:rsidRPr="00384297">
              <w:t xml:space="preserve">Strengthen credit risk models using </w:t>
            </w:r>
            <w:r w:rsidRPr="00384297">
              <w:rPr>
                <w:rStyle w:val="Strong"/>
                <w:b w:val="0"/>
              </w:rPr>
              <w:t>AI and big data analytics</w:t>
            </w:r>
            <w:r w:rsidRPr="00384297">
              <w:t xml:space="preserve"> to improve loan portfolio quality</w:t>
            </w:r>
          </w:p>
        </w:tc>
        <w:tc>
          <w:tcPr>
            <w:tcW w:w="5210" w:type="dxa"/>
          </w:tcPr>
          <w:p w:rsidR="00384297" w:rsidRPr="00A56708" w:rsidRDefault="00384297" w:rsidP="00384297">
            <w:pPr>
              <w:widowControl/>
              <w:autoSpaceDE/>
              <w:autoSpaceDN/>
              <w:spacing w:before="100" w:beforeAutospacing="1" w:after="100" w:afterAutospacing="1"/>
              <w:jc w:val="center"/>
            </w:pPr>
            <w:r w:rsidRPr="00A56708">
              <w:t xml:space="preserve">Improve </w:t>
            </w:r>
            <w:proofErr w:type="spellStart"/>
            <w:r w:rsidRPr="00A56708">
              <w:t>cybersecurity</w:t>
            </w:r>
            <w:proofErr w:type="spellEnd"/>
            <w:r w:rsidRPr="00A56708">
              <w:t xml:space="preserve"> frameworks to reduce digital fraud and data risks</w:t>
            </w:r>
          </w:p>
        </w:tc>
      </w:tr>
      <w:tr w:rsidR="00384297" w:rsidRPr="00F8044C" w:rsidTr="00F8044C">
        <w:tc>
          <w:tcPr>
            <w:tcW w:w="4571" w:type="dxa"/>
          </w:tcPr>
          <w:p w:rsidR="00384297" w:rsidRPr="00A36328" w:rsidRDefault="00384297" w:rsidP="00384297">
            <w:pPr>
              <w:widowControl/>
              <w:autoSpaceDE/>
              <w:autoSpaceDN/>
              <w:spacing w:before="100" w:beforeAutospacing="1" w:after="100" w:afterAutospacing="1"/>
              <w:jc w:val="center"/>
            </w:pPr>
            <w:r w:rsidRPr="00A36328">
              <w:t>Develop stronger customer retention strategies through loyalty-based digital banking services</w:t>
            </w:r>
          </w:p>
        </w:tc>
        <w:tc>
          <w:tcPr>
            <w:tcW w:w="5210" w:type="dxa"/>
          </w:tcPr>
          <w:p w:rsidR="00384297" w:rsidRPr="00A56708" w:rsidRDefault="00384297" w:rsidP="00384297">
            <w:pPr>
              <w:widowControl/>
              <w:autoSpaceDE/>
              <w:autoSpaceDN/>
              <w:spacing w:before="100" w:beforeAutospacing="1" w:after="100" w:afterAutospacing="1"/>
              <w:jc w:val="center"/>
            </w:pPr>
            <w:r w:rsidRPr="00A56708">
              <w:t>Diversify funding sources to reduce dependence on ecosystem-driven deposits</w:t>
            </w:r>
          </w:p>
        </w:tc>
      </w:tr>
      <w:tr w:rsidR="00384297" w:rsidRPr="00F8044C" w:rsidTr="00F8044C">
        <w:tc>
          <w:tcPr>
            <w:tcW w:w="4571" w:type="dxa"/>
          </w:tcPr>
          <w:p w:rsidR="00384297" w:rsidRPr="00A36328" w:rsidRDefault="00384297" w:rsidP="00384297">
            <w:pPr>
              <w:widowControl/>
              <w:autoSpaceDE/>
              <w:autoSpaceDN/>
              <w:spacing w:before="100" w:beforeAutospacing="1" w:after="100" w:afterAutospacing="1"/>
              <w:jc w:val="center"/>
            </w:pPr>
            <w:r w:rsidRPr="00A36328">
              <w:t>Utilize rapid growth of digital economy to diversify revenue streams beyond lending</w:t>
            </w:r>
          </w:p>
        </w:tc>
        <w:tc>
          <w:tcPr>
            <w:tcW w:w="5210" w:type="dxa"/>
          </w:tcPr>
          <w:p w:rsidR="00384297" w:rsidRPr="00A56708" w:rsidRDefault="00384297" w:rsidP="00384297">
            <w:pPr>
              <w:widowControl/>
              <w:autoSpaceDE/>
              <w:autoSpaceDN/>
              <w:spacing w:before="100" w:beforeAutospacing="1" w:after="100" w:afterAutospacing="1"/>
              <w:jc w:val="center"/>
            </w:pPr>
            <w:r w:rsidRPr="00A56708">
              <w:t>Control credit expansion to minimize risk of rising Non-Performing Loans</w:t>
            </w:r>
          </w:p>
        </w:tc>
      </w:tr>
      <w:tr w:rsidR="00384297" w:rsidRPr="00F8044C" w:rsidTr="00F8044C">
        <w:tc>
          <w:tcPr>
            <w:tcW w:w="4571" w:type="dxa"/>
          </w:tcPr>
          <w:p w:rsidR="00384297" w:rsidRPr="00A36328" w:rsidRDefault="00384297" w:rsidP="00384297">
            <w:pPr>
              <w:pStyle w:val="NormalWeb"/>
              <w:jc w:val="center"/>
            </w:pPr>
          </w:p>
        </w:tc>
        <w:tc>
          <w:tcPr>
            <w:tcW w:w="5210" w:type="dxa"/>
          </w:tcPr>
          <w:p w:rsidR="00384297" w:rsidRPr="00A56708" w:rsidRDefault="00384297" w:rsidP="00384297">
            <w:pPr>
              <w:pStyle w:val="NormalWeb"/>
              <w:jc w:val="center"/>
            </w:pPr>
          </w:p>
        </w:tc>
      </w:tr>
      <w:tr w:rsidR="00384297" w:rsidRPr="00F8044C" w:rsidTr="00F8044C">
        <w:tc>
          <w:tcPr>
            <w:tcW w:w="4571" w:type="dxa"/>
          </w:tcPr>
          <w:p w:rsidR="00384297" w:rsidRPr="00A36328" w:rsidRDefault="00384297" w:rsidP="004A013E">
            <w:pPr>
              <w:pStyle w:val="NormalWeb"/>
              <w:jc w:val="center"/>
            </w:pPr>
            <w:r w:rsidRPr="00A36328">
              <w:rPr>
                <w:rStyle w:val="Strong"/>
              </w:rPr>
              <w:t>Strategic Focus:</w:t>
            </w:r>
            <w:r>
              <w:br/>
            </w:r>
            <w:r w:rsidRPr="00A36328">
              <w:t>Mon</w:t>
            </w:r>
            <w:r>
              <w:t xml:space="preserve">etization, diversification, </w:t>
            </w:r>
            <w:r w:rsidRPr="00A36328">
              <w:t>capability upgrading</w:t>
            </w:r>
          </w:p>
        </w:tc>
        <w:tc>
          <w:tcPr>
            <w:tcW w:w="5210" w:type="dxa"/>
          </w:tcPr>
          <w:p w:rsidR="00384297" w:rsidRPr="00A56708" w:rsidRDefault="00384297" w:rsidP="004A013E">
            <w:pPr>
              <w:pStyle w:val="NormalWeb"/>
              <w:jc w:val="center"/>
            </w:pPr>
            <w:r w:rsidRPr="00A56708">
              <w:rPr>
                <w:rStyle w:val="Strong"/>
              </w:rPr>
              <w:t>Strategic Focus:</w:t>
            </w:r>
            <w:r>
              <w:br/>
              <w:t xml:space="preserve">Risk control , sustainability , </w:t>
            </w:r>
            <w:r w:rsidRPr="00A56708">
              <w:t>regulatory compliance</w:t>
            </w:r>
          </w:p>
        </w:tc>
      </w:tr>
    </w:tbl>
    <w:p w:rsidR="00BE6BE9" w:rsidRPr="00384297" w:rsidRDefault="008B59E3" w:rsidP="00384297">
      <w:pPr>
        <w:spacing w:line="360" w:lineRule="auto"/>
        <w:contextualSpacing/>
        <w:jc w:val="both"/>
        <w:rPr>
          <w:sz w:val="24"/>
          <w:szCs w:val="24"/>
        </w:rPr>
      </w:pPr>
      <w:proofErr w:type="gramStart"/>
      <w:r w:rsidRPr="00B436EA">
        <w:rPr>
          <w:sz w:val="24"/>
          <w:szCs w:val="24"/>
        </w:rPr>
        <w:lastRenderedPageBreak/>
        <w:t>Source :</w:t>
      </w:r>
      <w:proofErr w:type="gramEnd"/>
      <w:r w:rsidRPr="00B436EA">
        <w:rPr>
          <w:sz w:val="24"/>
          <w:szCs w:val="24"/>
        </w:rPr>
        <w:t xml:space="preserve"> S</w:t>
      </w:r>
      <w:r w:rsidR="002574A3">
        <w:rPr>
          <w:sz w:val="24"/>
          <w:szCs w:val="24"/>
        </w:rPr>
        <w:t>econdary Data Processing Result</w:t>
      </w:r>
    </w:p>
    <w:p w:rsidR="0033501F" w:rsidRDefault="009C62F4" w:rsidP="0033501F">
      <w:pPr>
        <w:widowControl/>
        <w:autoSpaceDE/>
        <w:autoSpaceDN/>
        <w:spacing w:before="100" w:beforeAutospacing="1" w:after="100" w:afterAutospacing="1" w:line="360" w:lineRule="auto"/>
        <w:ind w:firstLine="720"/>
        <w:contextualSpacing/>
        <w:jc w:val="both"/>
        <w:rPr>
          <w:sz w:val="24"/>
          <w:szCs w:val="24"/>
        </w:rPr>
      </w:pPr>
      <w:r w:rsidRPr="009C62F4">
        <w:rPr>
          <w:sz w:val="24"/>
          <w:szCs w:val="24"/>
        </w:rPr>
        <w:t xml:space="preserve">The </w:t>
      </w:r>
      <w:r w:rsidRPr="0033501F">
        <w:rPr>
          <w:bCs/>
          <w:sz w:val="24"/>
          <w:szCs w:val="24"/>
        </w:rPr>
        <w:t>WO (Weakness–Opportunity) strategy</w:t>
      </w:r>
      <w:r w:rsidRPr="009C62F4">
        <w:rPr>
          <w:sz w:val="24"/>
          <w:szCs w:val="24"/>
        </w:rPr>
        <w:t xml:space="preserve"> addresses internal weaknesses, particularly low profitability despite high growth. For instance, most digital banks still record relatively low ROA, such as Bank </w:t>
      </w:r>
      <w:proofErr w:type="spellStart"/>
      <w:r w:rsidRPr="009C62F4">
        <w:rPr>
          <w:sz w:val="24"/>
          <w:szCs w:val="24"/>
        </w:rPr>
        <w:t>Jago</w:t>
      </w:r>
      <w:proofErr w:type="spellEnd"/>
      <w:r w:rsidRPr="009C62F4">
        <w:rPr>
          <w:sz w:val="24"/>
          <w:szCs w:val="24"/>
        </w:rPr>
        <w:t xml:space="preserve"> at </w:t>
      </w:r>
      <w:r w:rsidRPr="0033501F">
        <w:rPr>
          <w:bCs/>
          <w:sz w:val="24"/>
          <w:szCs w:val="24"/>
        </w:rPr>
        <w:t>0.5%</w:t>
      </w:r>
      <w:r w:rsidRPr="009C62F4">
        <w:rPr>
          <w:sz w:val="24"/>
          <w:szCs w:val="24"/>
        </w:rPr>
        <w:t xml:space="preserve">, </w:t>
      </w:r>
      <w:proofErr w:type="spellStart"/>
      <w:r w:rsidRPr="009C62F4">
        <w:rPr>
          <w:sz w:val="24"/>
          <w:szCs w:val="24"/>
        </w:rPr>
        <w:t>Allo</w:t>
      </w:r>
      <w:proofErr w:type="spellEnd"/>
      <w:r w:rsidRPr="009C62F4">
        <w:rPr>
          <w:sz w:val="24"/>
          <w:szCs w:val="24"/>
        </w:rPr>
        <w:t xml:space="preserve"> Bank at </w:t>
      </w:r>
      <w:r w:rsidRPr="0033501F">
        <w:rPr>
          <w:bCs/>
          <w:sz w:val="24"/>
          <w:szCs w:val="24"/>
        </w:rPr>
        <w:t>0.3%</w:t>
      </w:r>
      <w:r w:rsidRPr="009C62F4">
        <w:rPr>
          <w:sz w:val="24"/>
          <w:szCs w:val="24"/>
        </w:rPr>
        <w:t xml:space="preserve">, and BCA Digital at </w:t>
      </w:r>
      <w:r w:rsidRPr="0033501F">
        <w:rPr>
          <w:bCs/>
          <w:sz w:val="24"/>
          <w:szCs w:val="24"/>
        </w:rPr>
        <w:t>0.8%</w:t>
      </w:r>
      <w:r w:rsidRPr="009C62F4">
        <w:rPr>
          <w:sz w:val="24"/>
          <w:szCs w:val="24"/>
        </w:rPr>
        <w:t xml:space="preserve">, showing that financial returns are still limited compared to their strong asset growth </w:t>
      </w:r>
      <w:r w:rsidR="008C01F0">
        <w:rPr>
          <w:sz w:val="24"/>
          <w:szCs w:val="24"/>
        </w:rPr>
        <w:t xml:space="preserve">as </w:t>
      </w:r>
      <w:proofErr w:type="spellStart"/>
      <w:r w:rsidRPr="009C62F4">
        <w:rPr>
          <w:sz w:val="24"/>
          <w:szCs w:val="24"/>
        </w:rPr>
        <w:t>SeaBank</w:t>
      </w:r>
      <w:proofErr w:type="spellEnd"/>
      <w:r w:rsidRPr="009C62F4">
        <w:rPr>
          <w:sz w:val="24"/>
          <w:szCs w:val="24"/>
        </w:rPr>
        <w:t xml:space="preserve"> </w:t>
      </w:r>
      <w:r w:rsidR="008C01F0">
        <w:rPr>
          <w:sz w:val="24"/>
          <w:szCs w:val="24"/>
        </w:rPr>
        <w:t xml:space="preserve">at </w:t>
      </w:r>
      <w:r w:rsidRPr="0033501F">
        <w:rPr>
          <w:bCs/>
          <w:sz w:val="24"/>
          <w:szCs w:val="24"/>
        </w:rPr>
        <w:t>Rp39.21 trillion</w:t>
      </w:r>
      <w:r w:rsidRPr="009C62F4">
        <w:rPr>
          <w:sz w:val="24"/>
          <w:szCs w:val="24"/>
        </w:rPr>
        <w:t xml:space="preserve"> and Bank </w:t>
      </w:r>
      <w:proofErr w:type="spellStart"/>
      <w:r w:rsidRPr="009C62F4">
        <w:rPr>
          <w:sz w:val="24"/>
          <w:szCs w:val="24"/>
        </w:rPr>
        <w:t>Jago</w:t>
      </w:r>
      <w:proofErr w:type="spellEnd"/>
      <w:r w:rsidR="008C01F0">
        <w:rPr>
          <w:sz w:val="24"/>
          <w:szCs w:val="24"/>
        </w:rPr>
        <w:t xml:space="preserve"> at</w:t>
      </w:r>
      <w:r w:rsidRPr="009C62F4">
        <w:rPr>
          <w:sz w:val="24"/>
          <w:szCs w:val="24"/>
        </w:rPr>
        <w:t xml:space="preserve"> </w:t>
      </w:r>
      <w:r w:rsidRPr="0033501F">
        <w:rPr>
          <w:bCs/>
          <w:sz w:val="24"/>
          <w:szCs w:val="24"/>
        </w:rPr>
        <w:t>Rp38.47 trillion</w:t>
      </w:r>
      <w:r w:rsidRPr="009C62F4">
        <w:rPr>
          <w:sz w:val="24"/>
          <w:szCs w:val="24"/>
        </w:rPr>
        <w:t>. At the same time, these banks operate in a highly favorable external environment with increasing digital financial inclusion and MSME digitalization. The strategy therefore emphasizes converting high user acquisition into monetization, improving fee-based income, and reducing depende</w:t>
      </w:r>
      <w:r w:rsidR="008C01F0">
        <w:rPr>
          <w:sz w:val="24"/>
          <w:szCs w:val="24"/>
        </w:rPr>
        <w:t xml:space="preserve">ncy on ecosystem-driven growth such as </w:t>
      </w:r>
      <w:proofErr w:type="spellStart"/>
      <w:r w:rsidR="008C01F0">
        <w:rPr>
          <w:sz w:val="24"/>
          <w:szCs w:val="24"/>
        </w:rPr>
        <w:t>Shopee</w:t>
      </w:r>
      <w:proofErr w:type="spellEnd"/>
      <w:r w:rsidR="008C01F0">
        <w:rPr>
          <w:sz w:val="24"/>
          <w:szCs w:val="24"/>
        </w:rPr>
        <w:t xml:space="preserve"> or </w:t>
      </w:r>
      <w:proofErr w:type="spellStart"/>
      <w:r w:rsidR="008C01F0">
        <w:rPr>
          <w:sz w:val="24"/>
          <w:szCs w:val="24"/>
        </w:rPr>
        <w:t>GoTo</w:t>
      </w:r>
      <w:proofErr w:type="spellEnd"/>
      <w:r w:rsidRPr="009C62F4">
        <w:rPr>
          <w:sz w:val="24"/>
          <w:szCs w:val="24"/>
        </w:rPr>
        <w:t>. The goal is to transform rapid digital expansion into sustainable profitability through better revenue diversification and improved credit risk management.</w:t>
      </w:r>
    </w:p>
    <w:p w:rsidR="0033501F" w:rsidRDefault="009C62F4" w:rsidP="0033501F">
      <w:pPr>
        <w:widowControl/>
        <w:autoSpaceDE/>
        <w:autoSpaceDN/>
        <w:spacing w:before="100" w:beforeAutospacing="1" w:after="100" w:afterAutospacing="1" w:line="360" w:lineRule="auto"/>
        <w:ind w:firstLine="720"/>
        <w:contextualSpacing/>
        <w:jc w:val="both"/>
        <w:rPr>
          <w:sz w:val="24"/>
          <w:szCs w:val="24"/>
        </w:rPr>
      </w:pPr>
      <w:r w:rsidRPr="009C62F4">
        <w:rPr>
          <w:sz w:val="24"/>
          <w:szCs w:val="24"/>
        </w:rPr>
        <w:t xml:space="preserve">The </w:t>
      </w:r>
      <w:r w:rsidRPr="0033501F">
        <w:rPr>
          <w:bCs/>
          <w:sz w:val="24"/>
          <w:szCs w:val="24"/>
        </w:rPr>
        <w:t>ST (Strength–Threat) strategy</w:t>
      </w:r>
      <w:r w:rsidRPr="009C62F4">
        <w:rPr>
          <w:sz w:val="24"/>
          <w:szCs w:val="24"/>
        </w:rPr>
        <w:t xml:space="preserve"> focuses on using strong internal capabilities to mitigate external risks such as competition, </w:t>
      </w:r>
      <w:proofErr w:type="spellStart"/>
      <w:r w:rsidRPr="009C62F4">
        <w:rPr>
          <w:sz w:val="24"/>
          <w:szCs w:val="24"/>
        </w:rPr>
        <w:t>cybersecurity</w:t>
      </w:r>
      <w:proofErr w:type="spellEnd"/>
      <w:r w:rsidRPr="009C62F4">
        <w:rPr>
          <w:sz w:val="24"/>
          <w:szCs w:val="24"/>
        </w:rPr>
        <w:t xml:space="preserve"> threats, and regulatory pressure. Although digital banks have strong transaction growth and innovation, they face competition from conventional banks that are also rapidly digitalizing, with total assets exceeding </w:t>
      </w:r>
      <w:r w:rsidR="008C01F0">
        <w:rPr>
          <w:bCs/>
          <w:sz w:val="24"/>
          <w:szCs w:val="24"/>
        </w:rPr>
        <w:t>Rp2</w:t>
      </w:r>
      <w:proofErr w:type="gramStart"/>
      <w:r w:rsidR="008C01F0">
        <w:rPr>
          <w:bCs/>
          <w:sz w:val="24"/>
          <w:szCs w:val="24"/>
        </w:rPr>
        <w:t>,800</w:t>
      </w:r>
      <w:proofErr w:type="gramEnd"/>
      <w:r w:rsidR="008C01F0">
        <w:rPr>
          <w:bCs/>
          <w:sz w:val="24"/>
          <w:szCs w:val="24"/>
        </w:rPr>
        <w:t xml:space="preserve"> trillion like Bank </w:t>
      </w:r>
      <w:proofErr w:type="spellStart"/>
      <w:r w:rsidR="008C01F0">
        <w:rPr>
          <w:bCs/>
          <w:sz w:val="24"/>
          <w:szCs w:val="24"/>
        </w:rPr>
        <w:t>Mandiri</w:t>
      </w:r>
      <w:proofErr w:type="spellEnd"/>
      <w:r w:rsidRPr="009C62F4">
        <w:rPr>
          <w:sz w:val="24"/>
          <w:szCs w:val="24"/>
        </w:rPr>
        <w:t xml:space="preserve"> and </w:t>
      </w:r>
      <w:r w:rsidR="008C01F0">
        <w:rPr>
          <w:bCs/>
          <w:sz w:val="24"/>
          <w:szCs w:val="24"/>
        </w:rPr>
        <w:t>Rp2,100 trillion for BRI</w:t>
      </w:r>
      <w:r w:rsidRPr="009C62F4">
        <w:rPr>
          <w:sz w:val="24"/>
          <w:szCs w:val="24"/>
        </w:rPr>
        <w:t xml:space="preserve">. To counter this, digital banks leverage their strengths such as fast innovation cycles </w:t>
      </w:r>
      <w:r w:rsidR="008C01F0">
        <w:rPr>
          <w:sz w:val="24"/>
          <w:szCs w:val="24"/>
        </w:rPr>
        <w:t xml:space="preserve">as </w:t>
      </w:r>
      <w:r w:rsidRPr="009C62F4">
        <w:rPr>
          <w:sz w:val="24"/>
          <w:szCs w:val="24"/>
        </w:rPr>
        <w:t xml:space="preserve">Bank </w:t>
      </w:r>
      <w:proofErr w:type="spellStart"/>
      <w:r w:rsidRPr="009C62F4">
        <w:rPr>
          <w:sz w:val="24"/>
          <w:szCs w:val="24"/>
        </w:rPr>
        <w:t>Jago’s</w:t>
      </w:r>
      <w:proofErr w:type="spellEnd"/>
      <w:r w:rsidRPr="009C62F4">
        <w:rPr>
          <w:sz w:val="24"/>
          <w:szCs w:val="24"/>
        </w:rPr>
        <w:t xml:space="preserve"> </w:t>
      </w:r>
      <w:proofErr w:type="spellStart"/>
      <w:r w:rsidRPr="009C62F4">
        <w:rPr>
          <w:sz w:val="24"/>
          <w:szCs w:val="24"/>
        </w:rPr>
        <w:t>fintech</w:t>
      </w:r>
      <w:proofErr w:type="spellEnd"/>
      <w:r w:rsidRPr="009C62F4">
        <w:rPr>
          <w:sz w:val="24"/>
          <w:szCs w:val="24"/>
        </w:rPr>
        <w:t xml:space="preserve"> integration and </w:t>
      </w:r>
      <w:proofErr w:type="spellStart"/>
      <w:r w:rsidRPr="009C62F4">
        <w:rPr>
          <w:sz w:val="24"/>
          <w:szCs w:val="24"/>
        </w:rPr>
        <w:t>SeaBank’</w:t>
      </w:r>
      <w:r w:rsidR="008C01F0">
        <w:rPr>
          <w:sz w:val="24"/>
          <w:szCs w:val="24"/>
        </w:rPr>
        <w:t>s</w:t>
      </w:r>
      <w:proofErr w:type="spellEnd"/>
      <w:r w:rsidR="008C01F0">
        <w:rPr>
          <w:sz w:val="24"/>
          <w:szCs w:val="24"/>
        </w:rPr>
        <w:t xml:space="preserve"> high transaction scalability </w:t>
      </w:r>
      <w:r w:rsidRPr="009C62F4">
        <w:rPr>
          <w:sz w:val="24"/>
          <w:szCs w:val="24"/>
        </w:rPr>
        <w:t xml:space="preserve">and strong capital buffers to maintain competitiveness. This strategy also emphasizes strengthening </w:t>
      </w:r>
      <w:proofErr w:type="spellStart"/>
      <w:r w:rsidRPr="009C62F4">
        <w:rPr>
          <w:sz w:val="24"/>
          <w:szCs w:val="24"/>
        </w:rPr>
        <w:t>cybersecurity</w:t>
      </w:r>
      <w:proofErr w:type="spellEnd"/>
      <w:r w:rsidRPr="009C62F4">
        <w:rPr>
          <w:sz w:val="24"/>
          <w:szCs w:val="24"/>
        </w:rPr>
        <w:t xml:space="preserve"> systems and ecosystem lock-in to reduce customer switching behavior, especially in a market where digital users can easily migrate between platforms.</w:t>
      </w:r>
    </w:p>
    <w:p w:rsidR="00584EFF" w:rsidRPr="00DD224A" w:rsidRDefault="009C62F4" w:rsidP="00DD224A">
      <w:pPr>
        <w:widowControl/>
        <w:autoSpaceDE/>
        <w:autoSpaceDN/>
        <w:spacing w:before="100" w:beforeAutospacing="1" w:after="100" w:afterAutospacing="1" w:line="360" w:lineRule="auto"/>
        <w:ind w:firstLine="720"/>
        <w:contextualSpacing/>
        <w:jc w:val="both"/>
        <w:rPr>
          <w:sz w:val="24"/>
          <w:szCs w:val="24"/>
        </w:rPr>
      </w:pPr>
      <w:r w:rsidRPr="009C62F4">
        <w:rPr>
          <w:sz w:val="24"/>
          <w:szCs w:val="24"/>
        </w:rPr>
        <w:t xml:space="preserve">The </w:t>
      </w:r>
      <w:r w:rsidRPr="00DD224A">
        <w:rPr>
          <w:bCs/>
          <w:sz w:val="24"/>
          <w:szCs w:val="24"/>
        </w:rPr>
        <w:t>WT (Weakness–Threat) strategy</w:t>
      </w:r>
      <w:r w:rsidRPr="009C62F4">
        <w:rPr>
          <w:sz w:val="24"/>
          <w:szCs w:val="24"/>
        </w:rPr>
        <w:t xml:space="preserve"> is the most defensive, focusing on minimizing structural weaknesses while avoiding external threats. Key weaknesses include profit volatility (e.g., Bank Neo Commerce ROA </w:t>
      </w:r>
      <w:r w:rsidRPr="00DD224A">
        <w:rPr>
          <w:bCs/>
          <w:sz w:val="24"/>
          <w:szCs w:val="24"/>
        </w:rPr>
        <w:t>3.4% but with high volatility</w:t>
      </w:r>
      <w:r w:rsidRPr="009C62F4">
        <w:rPr>
          <w:sz w:val="24"/>
          <w:szCs w:val="24"/>
        </w:rPr>
        <w:t xml:space="preserve">) and dependence on ecosystem partners, while threats include regulatory tightening by OJK, rising </w:t>
      </w:r>
      <w:proofErr w:type="spellStart"/>
      <w:r w:rsidRPr="009C62F4">
        <w:rPr>
          <w:sz w:val="24"/>
          <w:szCs w:val="24"/>
        </w:rPr>
        <w:t>cybersecurity</w:t>
      </w:r>
      <w:proofErr w:type="spellEnd"/>
      <w:r w:rsidRPr="009C62F4">
        <w:rPr>
          <w:sz w:val="24"/>
          <w:szCs w:val="24"/>
        </w:rPr>
        <w:t xml:space="preserve"> risks, and intense </w:t>
      </w:r>
      <w:proofErr w:type="spellStart"/>
      <w:r w:rsidRPr="009C62F4">
        <w:rPr>
          <w:sz w:val="24"/>
          <w:szCs w:val="24"/>
        </w:rPr>
        <w:t>fintech</w:t>
      </w:r>
      <w:proofErr w:type="spellEnd"/>
      <w:r w:rsidRPr="009C62F4">
        <w:rPr>
          <w:sz w:val="24"/>
          <w:szCs w:val="24"/>
        </w:rPr>
        <w:t xml:space="preserve"> competition. For example, NPL levels such as Bank Neo Commerce at </w:t>
      </w:r>
      <w:r w:rsidRPr="00DD224A">
        <w:rPr>
          <w:bCs/>
          <w:sz w:val="24"/>
          <w:szCs w:val="24"/>
        </w:rPr>
        <w:t>2.9%</w:t>
      </w:r>
      <w:r w:rsidRPr="009C62F4">
        <w:rPr>
          <w:sz w:val="24"/>
          <w:szCs w:val="24"/>
        </w:rPr>
        <w:t xml:space="preserve"> indicate higher credit risk compared to peers like Bank </w:t>
      </w:r>
      <w:proofErr w:type="spellStart"/>
      <w:r w:rsidRPr="009C62F4">
        <w:rPr>
          <w:sz w:val="24"/>
          <w:szCs w:val="24"/>
        </w:rPr>
        <w:t>Jago</w:t>
      </w:r>
      <w:proofErr w:type="spellEnd"/>
      <w:r w:rsidRPr="009C62F4">
        <w:rPr>
          <w:sz w:val="24"/>
          <w:szCs w:val="24"/>
        </w:rPr>
        <w:t xml:space="preserve"> at </w:t>
      </w:r>
      <w:r w:rsidRPr="00DD224A">
        <w:rPr>
          <w:bCs/>
          <w:sz w:val="24"/>
          <w:szCs w:val="24"/>
        </w:rPr>
        <w:t>1.0%</w:t>
      </w:r>
      <w:r w:rsidRPr="009C62F4">
        <w:rPr>
          <w:sz w:val="24"/>
          <w:szCs w:val="24"/>
        </w:rPr>
        <w:t xml:space="preserve">. Therefore, this strategy emphasizes strengthening governance, improving risk management systems, diversifying funding sources, and controlling aggressive lending expansion. The objective is to ensure long-term stability and sustainability, even if short-term growth must be moderated to maintain financial health and regulatory </w:t>
      </w:r>
      <w:proofErr w:type="spellStart"/>
      <w:r w:rsidRPr="009C62F4">
        <w:rPr>
          <w:sz w:val="24"/>
          <w:szCs w:val="24"/>
        </w:rPr>
        <w:t>complianc</w:t>
      </w:r>
      <w:proofErr w:type="spellEnd"/>
    </w:p>
    <w:p w:rsidR="00DD224A" w:rsidRDefault="0063365F" w:rsidP="00DD224A">
      <w:pPr>
        <w:pStyle w:val="Heading1"/>
        <w:spacing w:line="360" w:lineRule="auto"/>
        <w:ind w:left="0" w:right="29"/>
        <w:jc w:val="both"/>
        <w:rPr>
          <w:spacing w:val="-1"/>
        </w:rPr>
      </w:pPr>
      <w:r>
        <w:rPr>
          <w:spacing w:val="-1"/>
        </w:rPr>
        <w:t>CONCLUSION AND RECOMMENDATION</w:t>
      </w:r>
    </w:p>
    <w:p w:rsidR="00DD224A" w:rsidRDefault="00DD224A" w:rsidP="00DD224A">
      <w:pPr>
        <w:pStyle w:val="Heading1"/>
        <w:spacing w:line="360" w:lineRule="auto"/>
        <w:ind w:left="0" w:right="29" w:firstLine="720"/>
        <w:jc w:val="both"/>
        <w:rPr>
          <w:b w:val="0"/>
        </w:rPr>
      </w:pPr>
      <w:r w:rsidRPr="00DD224A">
        <w:rPr>
          <w:b w:val="0"/>
        </w:rPr>
        <w:t>This study shows that the Indonesian digital banking industry in 2025 is characterized by a strong dual structure of high digital performance and relatively weak profitability. The analy</w:t>
      </w:r>
      <w:r>
        <w:rPr>
          <w:b w:val="0"/>
        </w:rPr>
        <w:t xml:space="preserve">sis of five major digital banks; </w:t>
      </w:r>
      <w:proofErr w:type="spellStart"/>
      <w:r w:rsidRPr="00DD224A">
        <w:rPr>
          <w:b w:val="0"/>
        </w:rPr>
        <w:t>SeaBank</w:t>
      </w:r>
      <w:proofErr w:type="spellEnd"/>
      <w:r w:rsidRPr="00DD224A">
        <w:rPr>
          <w:b w:val="0"/>
        </w:rPr>
        <w:t xml:space="preserve"> Indonesia, Bank </w:t>
      </w:r>
      <w:proofErr w:type="spellStart"/>
      <w:r w:rsidRPr="00DD224A">
        <w:rPr>
          <w:b w:val="0"/>
        </w:rPr>
        <w:t>Jago</w:t>
      </w:r>
      <w:proofErr w:type="spellEnd"/>
      <w:r w:rsidRPr="00DD224A">
        <w:rPr>
          <w:b w:val="0"/>
        </w:rPr>
        <w:t xml:space="preserve">, </w:t>
      </w:r>
      <w:proofErr w:type="spellStart"/>
      <w:r w:rsidRPr="00DD224A">
        <w:rPr>
          <w:b w:val="0"/>
        </w:rPr>
        <w:t>Allo</w:t>
      </w:r>
      <w:proofErr w:type="spellEnd"/>
      <w:r w:rsidRPr="00DD224A">
        <w:rPr>
          <w:b w:val="0"/>
        </w:rPr>
        <w:t xml:space="preserve"> Bank Indonesia, Bank Neo </w:t>
      </w:r>
      <w:r>
        <w:rPr>
          <w:b w:val="0"/>
        </w:rPr>
        <w:t>Commerce, and BCA Digital (</w:t>
      </w:r>
      <w:proofErr w:type="spellStart"/>
      <w:r>
        <w:rPr>
          <w:b w:val="0"/>
        </w:rPr>
        <w:t>blu</w:t>
      </w:r>
      <w:proofErr w:type="spellEnd"/>
      <w:r>
        <w:rPr>
          <w:b w:val="0"/>
        </w:rPr>
        <w:t xml:space="preserve">) </w:t>
      </w:r>
      <w:r w:rsidRPr="00DD224A">
        <w:rPr>
          <w:b w:val="0"/>
        </w:rPr>
        <w:t xml:space="preserve">indicates that while </w:t>
      </w:r>
      <w:r w:rsidR="008C01F0">
        <w:rPr>
          <w:b w:val="0"/>
        </w:rPr>
        <w:t xml:space="preserve">capital strength is very solid </w:t>
      </w:r>
      <w:r w:rsidRPr="00DD224A">
        <w:rPr>
          <w:b w:val="0"/>
        </w:rPr>
        <w:t xml:space="preserve">financial performance in </w:t>
      </w:r>
      <w:r w:rsidRPr="00DD224A">
        <w:rPr>
          <w:b w:val="0"/>
        </w:rPr>
        <w:lastRenderedPageBreak/>
        <w:t>terms of profitability remains limited, with ROA ranging between 0.3% and 1.2% for most banks. This confirms that the industry is still in an early growth phase, where expansion and user acquisition are prioritized over profit maximization.</w:t>
      </w:r>
    </w:p>
    <w:p w:rsidR="00DD224A" w:rsidRDefault="00DD224A" w:rsidP="00DD224A">
      <w:pPr>
        <w:pStyle w:val="Heading1"/>
        <w:spacing w:line="360" w:lineRule="auto"/>
        <w:ind w:left="0" w:right="29" w:firstLine="720"/>
        <w:jc w:val="both"/>
        <w:rPr>
          <w:b w:val="0"/>
        </w:rPr>
      </w:pPr>
      <w:r w:rsidRPr="00DD224A">
        <w:rPr>
          <w:b w:val="0"/>
        </w:rPr>
        <w:t xml:space="preserve">From a digital perspective, the industry demonstrates strong performance in customer acquisition speed, innovation capability, ecosystem integration, and transaction growth. Banks such as </w:t>
      </w:r>
      <w:proofErr w:type="spellStart"/>
      <w:r w:rsidRPr="00DD224A">
        <w:rPr>
          <w:b w:val="0"/>
        </w:rPr>
        <w:t>SeaBank</w:t>
      </w:r>
      <w:proofErr w:type="spellEnd"/>
      <w:r w:rsidRPr="00DD224A">
        <w:rPr>
          <w:b w:val="0"/>
        </w:rPr>
        <w:t xml:space="preserve"> and Bank </w:t>
      </w:r>
      <w:proofErr w:type="spellStart"/>
      <w:r w:rsidRPr="00DD224A">
        <w:rPr>
          <w:b w:val="0"/>
        </w:rPr>
        <w:t>Jago</w:t>
      </w:r>
      <w:proofErr w:type="spellEnd"/>
      <w:r w:rsidRPr="00DD224A">
        <w:rPr>
          <w:b w:val="0"/>
        </w:rPr>
        <w:t xml:space="preserve"> lead in rapid user expansion supported by strong ecosystem partnerships (</w:t>
      </w:r>
      <w:proofErr w:type="spellStart"/>
      <w:r w:rsidRPr="00DD224A">
        <w:rPr>
          <w:b w:val="0"/>
        </w:rPr>
        <w:t>Shopee</w:t>
      </w:r>
      <w:proofErr w:type="spellEnd"/>
      <w:r w:rsidRPr="00DD224A">
        <w:rPr>
          <w:b w:val="0"/>
        </w:rPr>
        <w:t xml:space="preserve"> and </w:t>
      </w:r>
      <w:proofErr w:type="spellStart"/>
      <w:r w:rsidRPr="00DD224A">
        <w:rPr>
          <w:b w:val="0"/>
        </w:rPr>
        <w:t>GoTo</w:t>
      </w:r>
      <w:proofErr w:type="spellEnd"/>
      <w:r w:rsidRPr="00DD224A">
        <w:rPr>
          <w:b w:val="0"/>
        </w:rPr>
        <w:t>), while BCA Digital shows strength in trust-based adoption and stability. However, differences in digital maturity and dependence on ecosystems indicate that competitive advantage is still uneven across banks. Despite this, overall digital performance remains strong and continues to be a key driver of growth in Indonesia’s financial sector.</w:t>
      </w:r>
    </w:p>
    <w:p w:rsidR="00DD224A" w:rsidRDefault="00DD224A" w:rsidP="00DD224A">
      <w:pPr>
        <w:pStyle w:val="Heading1"/>
        <w:spacing w:line="360" w:lineRule="auto"/>
        <w:ind w:left="0" w:right="29" w:firstLine="720"/>
        <w:jc w:val="both"/>
        <w:rPr>
          <w:b w:val="0"/>
        </w:rPr>
      </w:pPr>
      <w:r w:rsidRPr="00DD224A">
        <w:rPr>
          <w:b w:val="0"/>
        </w:rPr>
        <w:t xml:space="preserve">Based on the TOWS strategic analysis, it is evident that digital banks should adopt a balanced strategy that combines aggressive growth with financial sustainability. SO strategies should focus on maximizing ecosystem opportunities to expand market penetration, while WO strategies must address low profitability through improved monetization and revenue diversification. ST strategies are essential to maintain competitiveness against conventional banks and </w:t>
      </w:r>
      <w:proofErr w:type="spellStart"/>
      <w:r w:rsidRPr="00DD224A">
        <w:rPr>
          <w:b w:val="0"/>
        </w:rPr>
        <w:t>fintech</w:t>
      </w:r>
      <w:proofErr w:type="spellEnd"/>
      <w:r w:rsidRPr="00DD224A">
        <w:rPr>
          <w:b w:val="0"/>
        </w:rPr>
        <w:t xml:space="preserve"> competitors, while WT strategies must strengthen governance, risk management, and </w:t>
      </w:r>
      <w:proofErr w:type="spellStart"/>
      <w:r w:rsidRPr="00DD224A">
        <w:rPr>
          <w:b w:val="0"/>
        </w:rPr>
        <w:t>cybersecurity</w:t>
      </w:r>
      <w:proofErr w:type="spellEnd"/>
      <w:r w:rsidRPr="00DD224A">
        <w:rPr>
          <w:b w:val="0"/>
        </w:rPr>
        <w:t xml:space="preserve"> to ensure long-term stability in a highly dynamic digital environment.</w:t>
      </w:r>
    </w:p>
    <w:p w:rsidR="00DD224A" w:rsidRPr="00DD224A" w:rsidRDefault="00DD224A" w:rsidP="00DD224A">
      <w:pPr>
        <w:pStyle w:val="Heading1"/>
        <w:spacing w:line="360" w:lineRule="auto"/>
        <w:ind w:left="0" w:right="29" w:firstLine="720"/>
        <w:jc w:val="both"/>
        <w:rPr>
          <w:b w:val="0"/>
          <w:spacing w:val="-1"/>
        </w:rPr>
      </w:pPr>
      <w:r w:rsidRPr="00DD224A">
        <w:rPr>
          <w:b w:val="0"/>
        </w:rPr>
        <w:t>In conclusion, it is recommended that digital banks in Indonesia shift from a purely growth-oriented model to a more balanced growth-and-profitability strategy. Banks should strengthen their financial performance through improved cost efficiency, credit risk management, and diversified income sources, while continuing to invest in innovation and ecosystem expansion. Regulators such as OJK and Bank Indonesia are also encouraged to support a balanced ecosystem that promotes innovation while ensuring f</w:t>
      </w:r>
      <w:bookmarkStart w:id="1" w:name="_GoBack"/>
      <w:bookmarkEnd w:id="1"/>
      <w:r w:rsidRPr="00DD224A">
        <w:rPr>
          <w:b w:val="0"/>
        </w:rPr>
        <w:t>inancial stability and consumer protection. This integrated approach will ensure that Indonesia’s digital banking industry develops into a sustainable, competitive, and resilient sector in the future digital economy.</w:t>
      </w:r>
    </w:p>
    <w:p w:rsidR="00897B82" w:rsidRPr="000958EB" w:rsidRDefault="00897B82" w:rsidP="00DD224A">
      <w:pPr>
        <w:pStyle w:val="Heading1"/>
        <w:spacing w:line="360" w:lineRule="auto"/>
        <w:ind w:left="0" w:right="29" w:firstLine="709"/>
        <w:jc w:val="both"/>
        <w:rPr>
          <w:spacing w:val="-1"/>
        </w:rPr>
      </w:pPr>
    </w:p>
    <w:p w:rsidR="00F7610E" w:rsidRPr="002C29B0" w:rsidRDefault="00B7108E" w:rsidP="002C29B0">
      <w:pPr>
        <w:pStyle w:val="BodyText"/>
        <w:spacing w:before="1"/>
        <w:ind w:right="29"/>
        <w:rPr>
          <w:b/>
        </w:rPr>
      </w:pPr>
      <w:r w:rsidRPr="000958EB">
        <w:rPr>
          <w:b/>
        </w:rPr>
        <w:t>RE</w:t>
      </w:r>
      <w:r w:rsidR="00C97CEE" w:rsidRPr="000958EB">
        <w:rPr>
          <w:b/>
        </w:rPr>
        <w:t>FERENCE</w:t>
      </w:r>
      <w:r w:rsidR="00211A71" w:rsidRPr="006B0316">
        <w:rPr>
          <w:b/>
        </w:rPr>
        <w:fldChar w:fldCharType="begin" w:fldLock="1"/>
      </w:r>
      <w:r w:rsidR="00211A71" w:rsidRPr="006B0316">
        <w:rPr>
          <w:b/>
        </w:rPr>
        <w:instrText xml:space="preserve">ADDIN Mendeley Bibliography CSL_BIBLIOGRAPHY </w:instrText>
      </w:r>
      <w:r w:rsidR="00211A71" w:rsidRPr="006B0316">
        <w:rPr>
          <w:b/>
        </w:rPr>
        <w:fldChar w:fldCharType="separate"/>
      </w:r>
    </w:p>
    <w:p w:rsidR="00F7610E" w:rsidRPr="00F7610E" w:rsidRDefault="00F7610E" w:rsidP="00F7610E">
      <w:pPr>
        <w:pStyle w:val="NormalWeb"/>
        <w:jc w:val="both"/>
      </w:pPr>
      <w:proofErr w:type="gramStart"/>
      <w:r w:rsidRPr="00F7610E">
        <w:t>Ali, M., &amp; Hassan, R. (2021).</w:t>
      </w:r>
      <w:proofErr w:type="gramEnd"/>
      <w:r w:rsidRPr="00F7610E">
        <w:t xml:space="preserve"> </w:t>
      </w:r>
      <w:proofErr w:type="gramStart"/>
      <w:r w:rsidRPr="00F7610E">
        <w:t>Risk management and financial performance in Islamic banks.</w:t>
      </w:r>
      <w:proofErr w:type="gramEnd"/>
      <w:r w:rsidRPr="00F7610E">
        <w:t xml:space="preserve"> </w:t>
      </w:r>
      <w:r w:rsidRPr="00F7610E">
        <w:rPr>
          <w:rStyle w:val="Emphasis"/>
        </w:rPr>
        <w:t>Journal of Islamic Accounting and Business Research, 12</w:t>
      </w:r>
      <w:r w:rsidRPr="00F7610E">
        <w:t xml:space="preserve">(5), 789–805. </w:t>
      </w:r>
      <w:hyperlink r:id="rId10" w:history="1">
        <w:r w:rsidRPr="00F7610E">
          <w:rPr>
            <w:rStyle w:val="Hyperlink"/>
            <w:color w:val="auto"/>
            <w:u w:val="none"/>
          </w:rPr>
          <w:t>https://doi.org/10.1108/JIABR-05-2020-0132</w:t>
        </w:r>
      </w:hyperlink>
    </w:p>
    <w:p w:rsidR="00F7610E" w:rsidRPr="00F7610E" w:rsidRDefault="00F7610E" w:rsidP="00F7610E">
      <w:pPr>
        <w:pStyle w:val="NormalWeb"/>
        <w:jc w:val="both"/>
      </w:pPr>
      <w:proofErr w:type="spellStart"/>
      <w:proofErr w:type="gramStart"/>
      <w:r w:rsidRPr="00F7610E">
        <w:t>Azka</w:t>
      </w:r>
      <w:proofErr w:type="spellEnd"/>
      <w:r w:rsidRPr="00F7610E">
        <w:t xml:space="preserve">, M., &amp; </w:t>
      </w:r>
      <w:proofErr w:type="spellStart"/>
      <w:r w:rsidRPr="00F7610E">
        <w:t>Prasetyo</w:t>
      </w:r>
      <w:proofErr w:type="spellEnd"/>
      <w:r w:rsidRPr="00F7610E">
        <w:t>, H. (2023).</w:t>
      </w:r>
      <w:proofErr w:type="gramEnd"/>
      <w:r w:rsidRPr="00F7610E">
        <w:t xml:space="preserve"> Corporate governance and public trust in Indonesian banking industry. </w:t>
      </w:r>
      <w:r w:rsidRPr="00F7610E">
        <w:rPr>
          <w:rStyle w:val="Emphasis"/>
        </w:rPr>
        <w:t>Journal of Financial Regulation and Compliance, 31</w:t>
      </w:r>
      <w:r w:rsidRPr="00F7610E">
        <w:t xml:space="preserve">(2), 201–215. </w:t>
      </w:r>
      <w:hyperlink r:id="rId11" w:history="1">
        <w:r w:rsidRPr="00F7610E">
          <w:rPr>
            <w:rStyle w:val="Hyperlink"/>
            <w:color w:val="auto"/>
            <w:u w:val="none"/>
          </w:rPr>
          <w:t>https://doi.org/10.1108/JFRC-09-2022-0156</w:t>
        </w:r>
      </w:hyperlink>
    </w:p>
    <w:p w:rsidR="00F7610E" w:rsidRPr="00F7610E" w:rsidRDefault="00F7610E" w:rsidP="00F7610E">
      <w:pPr>
        <w:pStyle w:val="NormalWeb"/>
        <w:jc w:val="both"/>
      </w:pPr>
      <w:proofErr w:type="gramStart"/>
      <w:r w:rsidRPr="00F7610E">
        <w:t>Bank Indonesia.</w:t>
      </w:r>
      <w:proofErr w:type="gramEnd"/>
      <w:r w:rsidRPr="00F7610E">
        <w:t xml:space="preserve"> </w:t>
      </w:r>
      <w:proofErr w:type="gramStart"/>
      <w:r w:rsidRPr="00F7610E">
        <w:t xml:space="preserve">(2025). </w:t>
      </w:r>
      <w:r w:rsidRPr="00F7610E">
        <w:rPr>
          <w:rStyle w:val="Emphasis"/>
        </w:rPr>
        <w:t xml:space="preserve">Blueprint </w:t>
      </w:r>
      <w:proofErr w:type="spellStart"/>
      <w:r w:rsidRPr="00F7610E">
        <w:rPr>
          <w:rStyle w:val="Emphasis"/>
        </w:rPr>
        <w:t>Sistem</w:t>
      </w:r>
      <w:proofErr w:type="spellEnd"/>
      <w:r w:rsidRPr="00F7610E">
        <w:rPr>
          <w:rStyle w:val="Emphasis"/>
        </w:rPr>
        <w:t xml:space="preserve"> </w:t>
      </w:r>
      <w:proofErr w:type="spellStart"/>
      <w:r w:rsidRPr="00F7610E">
        <w:rPr>
          <w:rStyle w:val="Emphasis"/>
        </w:rPr>
        <w:t>Pembayaran</w:t>
      </w:r>
      <w:proofErr w:type="spellEnd"/>
      <w:r w:rsidRPr="00F7610E">
        <w:rPr>
          <w:rStyle w:val="Emphasis"/>
        </w:rPr>
        <w:t xml:space="preserve"> Indonesia 2025</w:t>
      </w:r>
      <w:r w:rsidRPr="00F7610E">
        <w:t>.</w:t>
      </w:r>
      <w:proofErr w:type="gramEnd"/>
      <w:r w:rsidRPr="00F7610E">
        <w:t xml:space="preserve"> Jakarta, Indonesia: Bank Indonesia.</w:t>
      </w:r>
    </w:p>
    <w:p w:rsidR="00F7610E" w:rsidRPr="00F7610E" w:rsidRDefault="00F7610E" w:rsidP="00F7610E">
      <w:pPr>
        <w:pStyle w:val="NormalWeb"/>
        <w:jc w:val="both"/>
      </w:pPr>
      <w:proofErr w:type="gramStart"/>
      <w:r w:rsidRPr="00F7610E">
        <w:lastRenderedPageBreak/>
        <w:t>Cao, L., Yang, Q., &amp; Yu, P. S. (2020).</w:t>
      </w:r>
      <w:proofErr w:type="gramEnd"/>
      <w:r w:rsidRPr="00F7610E">
        <w:t xml:space="preserve"> Data science and AI in </w:t>
      </w:r>
      <w:proofErr w:type="spellStart"/>
      <w:r w:rsidRPr="00F7610E">
        <w:t>FinTech</w:t>
      </w:r>
      <w:proofErr w:type="spellEnd"/>
      <w:r w:rsidRPr="00F7610E">
        <w:t xml:space="preserve">: An overview. </w:t>
      </w:r>
      <w:proofErr w:type="spellStart"/>
      <w:proofErr w:type="gramStart"/>
      <w:r w:rsidRPr="00F7610E">
        <w:rPr>
          <w:rStyle w:val="Emphasis"/>
        </w:rPr>
        <w:t>arXiv</w:t>
      </w:r>
      <w:proofErr w:type="spellEnd"/>
      <w:proofErr w:type="gramEnd"/>
      <w:r w:rsidRPr="00F7610E">
        <w:rPr>
          <w:rStyle w:val="Emphasis"/>
        </w:rPr>
        <w:t xml:space="preserve"> preprint arXiv:2007.12681</w:t>
      </w:r>
      <w:r w:rsidRPr="00F7610E">
        <w:t xml:space="preserve">. </w:t>
      </w:r>
      <w:hyperlink r:id="rId12" w:history="1">
        <w:r w:rsidRPr="00F7610E">
          <w:rPr>
            <w:rStyle w:val="Hyperlink"/>
            <w:color w:val="auto"/>
            <w:u w:val="none"/>
          </w:rPr>
          <w:t>https://arxiv.org/abs/2007.12681</w:t>
        </w:r>
      </w:hyperlink>
    </w:p>
    <w:p w:rsidR="00F7610E" w:rsidRPr="00F7610E" w:rsidRDefault="00F7610E" w:rsidP="00F7610E">
      <w:pPr>
        <w:pStyle w:val="NormalWeb"/>
        <w:jc w:val="both"/>
      </w:pPr>
      <w:proofErr w:type="spellStart"/>
      <w:proofErr w:type="gramStart"/>
      <w:r w:rsidRPr="00F7610E">
        <w:t>Gomber</w:t>
      </w:r>
      <w:proofErr w:type="spellEnd"/>
      <w:r w:rsidRPr="00F7610E">
        <w:t xml:space="preserve">, P., Koch, J. A., &amp; </w:t>
      </w:r>
      <w:proofErr w:type="spellStart"/>
      <w:r w:rsidRPr="00F7610E">
        <w:t>Siering</w:t>
      </w:r>
      <w:proofErr w:type="spellEnd"/>
      <w:r w:rsidRPr="00F7610E">
        <w:t>, M. (2020).</w:t>
      </w:r>
      <w:proofErr w:type="gramEnd"/>
      <w:r w:rsidRPr="00F7610E">
        <w:t xml:space="preserve"> Digital finance and </w:t>
      </w:r>
      <w:proofErr w:type="spellStart"/>
      <w:r w:rsidRPr="00F7610E">
        <w:t>FinTech</w:t>
      </w:r>
      <w:proofErr w:type="spellEnd"/>
      <w:r w:rsidRPr="00F7610E">
        <w:t xml:space="preserve">: Current research and future research directions. </w:t>
      </w:r>
      <w:r w:rsidRPr="00F7610E">
        <w:rPr>
          <w:rStyle w:val="Emphasis"/>
        </w:rPr>
        <w:t>Journal of Business Economics, 90</w:t>
      </w:r>
      <w:r w:rsidRPr="00F7610E">
        <w:t xml:space="preserve">, 537–580. </w:t>
      </w:r>
      <w:hyperlink r:id="rId13" w:history="1">
        <w:r w:rsidRPr="00F7610E">
          <w:rPr>
            <w:rStyle w:val="Hyperlink"/>
            <w:color w:val="auto"/>
            <w:u w:val="none"/>
          </w:rPr>
          <w:t>https://doi.org/10.1007/s11573-019-00927-5</w:t>
        </w:r>
      </w:hyperlink>
    </w:p>
    <w:p w:rsidR="00F7610E" w:rsidRPr="00F7610E" w:rsidRDefault="00F7610E" w:rsidP="00F7610E">
      <w:pPr>
        <w:pStyle w:val="NormalWeb"/>
        <w:jc w:val="both"/>
      </w:pPr>
      <w:proofErr w:type="spellStart"/>
      <w:proofErr w:type="gramStart"/>
      <w:r w:rsidRPr="00F7610E">
        <w:t>Harmelani</w:t>
      </w:r>
      <w:proofErr w:type="spellEnd"/>
      <w:r w:rsidRPr="00F7610E">
        <w:t xml:space="preserve">, I., &amp; </w:t>
      </w:r>
      <w:proofErr w:type="spellStart"/>
      <w:r w:rsidRPr="00F7610E">
        <w:t>Cahyaningtyas</w:t>
      </w:r>
      <w:proofErr w:type="spellEnd"/>
      <w:r w:rsidRPr="00F7610E">
        <w:t>, S. R. (2024).</w:t>
      </w:r>
      <w:proofErr w:type="gramEnd"/>
      <w:r w:rsidRPr="00F7610E">
        <w:t xml:space="preserve"> </w:t>
      </w:r>
      <w:proofErr w:type="gramStart"/>
      <w:r w:rsidRPr="00F7610E">
        <w:t>The role of banking digitalization in improving financial performance.</w:t>
      </w:r>
      <w:proofErr w:type="gramEnd"/>
      <w:r w:rsidRPr="00F7610E">
        <w:t xml:space="preserve"> </w:t>
      </w:r>
      <w:r w:rsidRPr="00F7610E">
        <w:rPr>
          <w:rStyle w:val="Emphasis"/>
        </w:rPr>
        <w:t>Formosa Journal of Multidisciplinary Research, 3</w:t>
      </w:r>
      <w:r w:rsidRPr="00F7610E">
        <w:t xml:space="preserve">(11), 4327–4342. </w:t>
      </w:r>
      <w:hyperlink r:id="rId14" w:history="1">
        <w:r w:rsidRPr="00F7610E">
          <w:rPr>
            <w:rStyle w:val="Hyperlink"/>
            <w:color w:val="auto"/>
            <w:u w:val="none"/>
          </w:rPr>
          <w:t>https://doi.org/10.55927/fjmr.v3i11.12077</w:t>
        </w:r>
      </w:hyperlink>
    </w:p>
    <w:p w:rsidR="00F7610E" w:rsidRPr="00F7610E" w:rsidRDefault="00F7610E" w:rsidP="00F7610E">
      <w:pPr>
        <w:pStyle w:val="NormalWeb"/>
        <w:jc w:val="both"/>
      </w:pPr>
      <w:proofErr w:type="spellStart"/>
      <w:proofErr w:type="gramStart"/>
      <w:r w:rsidRPr="00F7610E">
        <w:t>Hidayat</w:t>
      </w:r>
      <w:proofErr w:type="spellEnd"/>
      <w:r w:rsidRPr="00F7610E">
        <w:t xml:space="preserve">, T., &amp; </w:t>
      </w:r>
      <w:proofErr w:type="spellStart"/>
      <w:r w:rsidRPr="00F7610E">
        <w:t>Ramdani</w:t>
      </w:r>
      <w:proofErr w:type="spellEnd"/>
      <w:r w:rsidRPr="00F7610E">
        <w:t>, A. (2021).</w:t>
      </w:r>
      <w:proofErr w:type="gramEnd"/>
      <w:r w:rsidRPr="00F7610E">
        <w:t xml:space="preserve"> </w:t>
      </w:r>
      <w:proofErr w:type="gramStart"/>
      <w:r w:rsidRPr="00F7610E">
        <w:t>The role of good corporate governance in improving bank performance.</w:t>
      </w:r>
      <w:proofErr w:type="gramEnd"/>
      <w:r w:rsidRPr="00F7610E">
        <w:t xml:space="preserve"> </w:t>
      </w:r>
      <w:r w:rsidRPr="00F7610E">
        <w:rPr>
          <w:rStyle w:val="Emphasis"/>
        </w:rPr>
        <w:t>Corporate Governance: The International Journal of Business in Society, 21</w:t>
      </w:r>
      <w:r w:rsidRPr="00F7610E">
        <w:t xml:space="preserve">(6), 1125–1142. </w:t>
      </w:r>
      <w:hyperlink r:id="rId15" w:history="1">
        <w:r w:rsidRPr="00F7610E">
          <w:rPr>
            <w:rStyle w:val="Hyperlink"/>
            <w:color w:val="auto"/>
            <w:u w:val="none"/>
          </w:rPr>
          <w:t>https://doi.org/10.1108/CG-06-2020-0245</w:t>
        </w:r>
      </w:hyperlink>
    </w:p>
    <w:p w:rsidR="00F7610E" w:rsidRPr="00F7610E" w:rsidRDefault="00F7610E" w:rsidP="00F7610E">
      <w:pPr>
        <w:pStyle w:val="NormalWeb"/>
        <w:jc w:val="both"/>
      </w:pPr>
      <w:proofErr w:type="gramStart"/>
      <w:r w:rsidRPr="00F7610E">
        <w:t>Khan, S., et al. (2023).</w:t>
      </w:r>
      <w:proofErr w:type="gramEnd"/>
      <w:r w:rsidRPr="00F7610E">
        <w:t xml:space="preserve"> Digital banking adoption and customer engagement: Evidence from emerging economies. </w:t>
      </w:r>
      <w:proofErr w:type="gramStart"/>
      <w:r w:rsidRPr="00F7610E">
        <w:rPr>
          <w:rStyle w:val="Emphasis"/>
        </w:rPr>
        <w:t>Electronic Commerce Research and Applications, 58</w:t>
      </w:r>
      <w:r w:rsidRPr="00F7610E">
        <w:t>, 101223.</w:t>
      </w:r>
      <w:proofErr w:type="gramEnd"/>
      <w:r w:rsidRPr="00F7610E">
        <w:t xml:space="preserve"> </w:t>
      </w:r>
      <w:hyperlink r:id="rId16" w:history="1">
        <w:r w:rsidRPr="00F7610E">
          <w:rPr>
            <w:rStyle w:val="Hyperlink"/>
            <w:color w:val="auto"/>
            <w:u w:val="none"/>
          </w:rPr>
          <w:t>https://doi.org/10.1016/j.elerap.2023.101223</w:t>
        </w:r>
      </w:hyperlink>
    </w:p>
    <w:p w:rsidR="00F7610E" w:rsidRPr="00F7610E" w:rsidRDefault="00F7610E" w:rsidP="00F7610E">
      <w:pPr>
        <w:pStyle w:val="NormalWeb"/>
        <w:jc w:val="both"/>
      </w:pPr>
      <w:proofErr w:type="spellStart"/>
      <w:proofErr w:type="gramStart"/>
      <w:r w:rsidRPr="00F7610E">
        <w:t>Kirowati</w:t>
      </w:r>
      <w:proofErr w:type="spellEnd"/>
      <w:r w:rsidRPr="00F7610E">
        <w:t xml:space="preserve">, D., </w:t>
      </w:r>
      <w:proofErr w:type="spellStart"/>
      <w:r w:rsidRPr="00F7610E">
        <w:t>Anggraeny</w:t>
      </w:r>
      <w:proofErr w:type="spellEnd"/>
      <w:r w:rsidRPr="00F7610E">
        <w:t xml:space="preserve">, S. N., &amp; </w:t>
      </w:r>
      <w:proofErr w:type="spellStart"/>
      <w:r w:rsidRPr="00F7610E">
        <w:t>Wachemo</w:t>
      </w:r>
      <w:proofErr w:type="spellEnd"/>
      <w:r w:rsidRPr="00F7610E">
        <w:t>, T. L. (2025).</w:t>
      </w:r>
      <w:proofErr w:type="gramEnd"/>
      <w:r w:rsidRPr="00F7610E">
        <w:t xml:space="preserve"> Digital banking, </w:t>
      </w:r>
      <w:proofErr w:type="spellStart"/>
      <w:r w:rsidRPr="00F7610E">
        <w:t>fintech</w:t>
      </w:r>
      <w:proofErr w:type="spellEnd"/>
      <w:r w:rsidRPr="00F7610E">
        <w:t xml:space="preserve"> payment, and </w:t>
      </w:r>
      <w:proofErr w:type="spellStart"/>
      <w:r w:rsidRPr="00F7610E">
        <w:t>fintech</w:t>
      </w:r>
      <w:proofErr w:type="spellEnd"/>
      <w:r w:rsidRPr="00F7610E">
        <w:t xml:space="preserve"> lending influence the financial performance of conventional banking. </w:t>
      </w:r>
      <w:r w:rsidRPr="00F7610E">
        <w:rPr>
          <w:rStyle w:val="Emphasis"/>
        </w:rPr>
        <w:t xml:space="preserve">AKRUAL: </w:t>
      </w:r>
      <w:proofErr w:type="spellStart"/>
      <w:r w:rsidRPr="00F7610E">
        <w:rPr>
          <w:rStyle w:val="Emphasis"/>
        </w:rPr>
        <w:t>Jurnal</w:t>
      </w:r>
      <w:proofErr w:type="spellEnd"/>
      <w:r w:rsidRPr="00F7610E">
        <w:rPr>
          <w:rStyle w:val="Emphasis"/>
        </w:rPr>
        <w:t xml:space="preserve"> </w:t>
      </w:r>
      <w:proofErr w:type="spellStart"/>
      <w:r w:rsidRPr="00F7610E">
        <w:rPr>
          <w:rStyle w:val="Emphasis"/>
        </w:rPr>
        <w:t>Akuntansi</w:t>
      </w:r>
      <w:proofErr w:type="spellEnd"/>
      <w:r w:rsidRPr="00F7610E">
        <w:rPr>
          <w:rStyle w:val="Emphasis"/>
        </w:rPr>
        <w:t>, 16</w:t>
      </w:r>
      <w:r w:rsidRPr="00F7610E">
        <w:t xml:space="preserve">(2), 284–290. </w:t>
      </w:r>
      <w:hyperlink r:id="rId17" w:history="1">
        <w:r w:rsidRPr="00F7610E">
          <w:rPr>
            <w:rStyle w:val="Hyperlink"/>
            <w:color w:val="auto"/>
            <w:u w:val="none"/>
          </w:rPr>
          <w:t>https://doi.org/10.26740/jaj.v16n2.p284-290</w:t>
        </w:r>
      </w:hyperlink>
    </w:p>
    <w:p w:rsidR="00F7610E" w:rsidRPr="00F7610E" w:rsidRDefault="00F7610E" w:rsidP="00F7610E">
      <w:pPr>
        <w:pStyle w:val="NormalWeb"/>
        <w:jc w:val="both"/>
      </w:pPr>
      <w:proofErr w:type="gramStart"/>
      <w:r w:rsidRPr="00F7610E">
        <w:t>Li, F., et al. (2022).</w:t>
      </w:r>
      <w:proofErr w:type="gramEnd"/>
      <w:r w:rsidRPr="00F7610E">
        <w:t xml:space="preserve"> </w:t>
      </w:r>
      <w:proofErr w:type="gramStart"/>
      <w:r w:rsidRPr="00F7610E">
        <w:t xml:space="preserve">System reliability and </w:t>
      </w:r>
      <w:proofErr w:type="spellStart"/>
      <w:r w:rsidRPr="00F7610E">
        <w:t>cybersecurity</w:t>
      </w:r>
      <w:proofErr w:type="spellEnd"/>
      <w:r w:rsidRPr="00F7610E">
        <w:t xml:space="preserve"> in digital banking platforms.</w:t>
      </w:r>
      <w:proofErr w:type="gramEnd"/>
      <w:r w:rsidRPr="00F7610E">
        <w:t xml:space="preserve"> </w:t>
      </w:r>
      <w:proofErr w:type="gramStart"/>
      <w:r w:rsidRPr="00F7610E">
        <w:rPr>
          <w:rStyle w:val="Emphasis"/>
        </w:rPr>
        <w:t>Computers &amp; Security, 114</w:t>
      </w:r>
      <w:r w:rsidRPr="00F7610E">
        <w:t>, 102589.</w:t>
      </w:r>
      <w:proofErr w:type="gramEnd"/>
      <w:r w:rsidRPr="00F7610E">
        <w:t xml:space="preserve"> </w:t>
      </w:r>
      <w:hyperlink r:id="rId18" w:history="1">
        <w:r w:rsidRPr="00F7610E">
          <w:rPr>
            <w:rStyle w:val="Hyperlink"/>
            <w:color w:val="auto"/>
            <w:u w:val="none"/>
          </w:rPr>
          <w:t>https://doi.org/10.1016/j.cose.2022.102589</w:t>
        </w:r>
      </w:hyperlink>
    </w:p>
    <w:p w:rsidR="00F7610E" w:rsidRPr="00F7610E" w:rsidRDefault="00F7610E" w:rsidP="00F7610E">
      <w:pPr>
        <w:pStyle w:val="NormalWeb"/>
        <w:jc w:val="both"/>
      </w:pPr>
      <w:proofErr w:type="spellStart"/>
      <w:proofErr w:type="gramStart"/>
      <w:r w:rsidRPr="00F7610E">
        <w:t>Nugroho</w:t>
      </w:r>
      <w:proofErr w:type="spellEnd"/>
      <w:r w:rsidRPr="00F7610E">
        <w:t xml:space="preserve">, L., &amp; </w:t>
      </w:r>
      <w:proofErr w:type="spellStart"/>
      <w:r w:rsidRPr="00F7610E">
        <w:t>Pratama</w:t>
      </w:r>
      <w:proofErr w:type="spellEnd"/>
      <w:r w:rsidRPr="00F7610E">
        <w:t>, A. (2023).</w:t>
      </w:r>
      <w:proofErr w:type="gramEnd"/>
      <w:r w:rsidRPr="00F7610E">
        <w:t xml:space="preserve"> Financial performance determinants of Indonesian banks: CAR, ROA, and liquidity perspective. </w:t>
      </w:r>
      <w:proofErr w:type="gramStart"/>
      <w:r w:rsidRPr="00F7610E">
        <w:rPr>
          <w:rStyle w:val="Emphasis"/>
        </w:rPr>
        <w:t>Cogent Economics &amp; Finance, 11</w:t>
      </w:r>
      <w:r w:rsidRPr="00F7610E">
        <w:t>(1), 2189345.</w:t>
      </w:r>
      <w:proofErr w:type="gramEnd"/>
      <w:r w:rsidRPr="00F7610E">
        <w:t xml:space="preserve"> </w:t>
      </w:r>
      <w:hyperlink r:id="rId19" w:history="1">
        <w:r w:rsidRPr="00F7610E">
          <w:rPr>
            <w:rStyle w:val="Hyperlink"/>
            <w:color w:val="auto"/>
            <w:u w:val="none"/>
          </w:rPr>
          <w:t>https://doi.org/10.1080/23322039.2023.2189345</w:t>
        </w:r>
      </w:hyperlink>
    </w:p>
    <w:p w:rsidR="00F7610E" w:rsidRPr="00F7610E" w:rsidRDefault="00F7610E" w:rsidP="00F7610E">
      <w:pPr>
        <w:pStyle w:val="NormalWeb"/>
        <w:jc w:val="both"/>
      </w:pPr>
      <w:proofErr w:type="spellStart"/>
      <w:proofErr w:type="gramStart"/>
      <w:r w:rsidRPr="00F7610E">
        <w:t>Nugroho</w:t>
      </w:r>
      <w:proofErr w:type="spellEnd"/>
      <w:r w:rsidRPr="00F7610E">
        <w:t xml:space="preserve">, M. A., </w:t>
      </w:r>
      <w:proofErr w:type="spellStart"/>
      <w:r w:rsidRPr="00F7610E">
        <w:t>Sulistyani</w:t>
      </w:r>
      <w:proofErr w:type="spellEnd"/>
      <w:r w:rsidRPr="00F7610E">
        <w:t xml:space="preserve">, R., </w:t>
      </w:r>
      <w:proofErr w:type="spellStart"/>
      <w:r w:rsidRPr="00F7610E">
        <w:t>Novitasari</w:t>
      </w:r>
      <w:proofErr w:type="spellEnd"/>
      <w:r w:rsidRPr="00F7610E">
        <w:t xml:space="preserve">, B. T., &amp; </w:t>
      </w:r>
      <w:proofErr w:type="spellStart"/>
      <w:r w:rsidRPr="00F7610E">
        <w:t>Chinomona</w:t>
      </w:r>
      <w:proofErr w:type="spellEnd"/>
      <w:r w:rsidRPr="00F7610E">
        <w:t>, R. (2025).</w:t>
      </w:r>
      <w:proofErr w:type="gramEnd"/>
      <w:r w:rsidRPr="00F7610E">
        <w:t xml:space="preserve"> Digital bank adoption in Indonesia: The role of price value, perceived risk, and intention to use. </w:t>
      </w:r>
      <w:r w:rsidRPr="00F7610E">
        <w:rPr>
          <w:rStyle w:val="Emphasis"/>
        </w:rPr>
        <w:t xml:space="preserve">Nominal: Barometer </w:t>
      </w:r>
      <w:proofErr w:type="spellStart"/>
      <w:r w:rsidRPr="00F7610E">
        <w:rPr>
          <w:rStyle w:val="Emphasis"/>
        </w:rPr>
        <w:t>Riset</w:t>
      </w:r>
      <w:proofErr w:type="spellEnd"/>
      <w:r w:rsidRPr="00F7610E">
        <w:rPr>
          <w:rStyle w:val="Emphasis"/>
        </w:rPr>
        <w:t xml:space="preserve"> </w:t>
      </w:r>
      <w:proofErr w:type="spellStart"/>
      <w:r w:rsidRPr="00F7610E">
        <w:rPr>
          <w:rStyle w:val="Emphasis"/>
        </w:rPr>
        <w:t>Akuntansi</w:t>
      </w:r>
      <w:proofErr w:type="spellEnd"/>
      <w:r w:rsidRPr="00F7610E">
        <w:rPr>
          <w:rStyle w:val="Emphasis"/>
        </w:rPr>
        <w:t xml:space="preserve"> </w:t>
      </w:r>
      <w:proofErr w:type="spellStart"/>
      <w:r w:rsidRPr="00F7610E">
        <w:rPr>
          <w:rStyle w:val="Emphasis"/>
        </w:rPr>
        <w:t>dan</w:t>
      </w:r>
      <w:proofErr w:type="spellEnd"/>
      <w:r w:rsidRPr="00F7610E">
        <w:rPr>
          <w:rStyle w:val="Emphasis"/>
        </w:rPr>
        <w:t xml:space="preserve"> </w:t>
      </w:r>
      <w:proofErr w:type="spellStart"/>
      <w:r w:rsidRPr="00F7610E">
        <w:rPr>
          <w:rStyle w:val="Emphasis"/>
        </w:rPr>
        <w:t>Manajemen</w:t>
      </w:r>
      <w:proofErr w:type="spellEnd"/>
      <w:r w:rsidRPr="00F7610E">
        <w:rPr>
          <w:rStyle w:val="Emphasis"/>
        </w:rPr>
        <w:t>, 14</w:t>
      </w:r>
      <w:r w:rsidRPr="00F7610E">
        <w:t xml:space="preserve">(1), 45–63. </w:t>
      </w:r>
      <w:hyperlink r:id="rId20" w:history="1">
        <w:r w:rsidRPr="00F7610E">
          <w:rPr>
            <w:rStyle w:val="Hyperlink"/>
            <w:color w:val="auto"/>
            <w:u w:val="none"/>
          </w:rPr>
          <w:t>https://doi.org/10.21831/nominal.v14i1.81941</w:t>
        </w:r>
      </w:hyperlink>
    </w:p>
    <w:p w:rsidR="00F7610E" w:rsidRPr="00F7610E" w:rsidRDefault="00F7610E" w:rsidP="00F7610E">
      <w:pPr>
        <w:pStyle w:val="NormalWeb"/>
        <w:jc w:val="both"/>
      </w:pPr>
      <w:proofErr w:type="spellStart"/>
      <w:proofErr w:type="gramStart"/>
      <w:r w:rsidRPr="00F7610E">
        <w:t>Oktaviani</w:t>
      </w:r>
      <w:proofErr w:type="spellEnd"/>
      <w:r w:rsidRPr="00F7610E">
        <w:t xml:space="preserve">, R., &amp; </w:t>
      </w:r>
      <w:proofErr w:type="spellStart"/>
      <w:r w:rsidRPr="00F7610E">
        <w:t>Siregar</w:t>
      </w:r>
      <w:proofErr w:type="spellEnd"/>
      <w:r w:rsidRPr="00F7610E">
        <w:t>, M. E. S. (2021).</w:t>
      </w:r>
      <w:proofErr w:type="gramEnd"/>
      <w:r w:rsidRPr="00F7610E">
        <w:t xml:space="preserve"> Bank soundness assessment using RGEC method: A comparative study with CAMEL approach in Indonesian banking industry. </w:t>
      </w:r>
      <w:r w:rsidRPr="00F7610E">
        <w:rPr>
          <w:rStyle w:val="Emphasis"/>
        </w:rPr>
        <w:t>Journal of Asian Finance, Economics and Business, 8</w:t>
      </w:r>
      <w:r w:rsidRPr="00F7610E">
        <w:t xml:space="preserve">(3), 123–134. </w:t>
      </w:r>
      <w:hyperlink r:id="rId21" w:history="1">
        <w:r w:rsidRPr="00F7610E">
          <w:rPr>
            <w:rStyle w:val="Hyperlink"/>
            <w:color w:val="auto"/>
            <w:u w:val="none"/>
          </w:rPr>
          <w:t>https://doi.org/10.13106/jafeb.2021.vol8.no3.0123</w:t>
        </w:r>
      </w:hyperlink>
    </w:p>
    <w:p w:rsidR="00F7610E" w:rsidRPr="00F7610E" w:rsidRDefault="00F7610E" w:rsidP="00F7610E">
      <w:pPr>
        <w:pStyle w:val="NormalWeb"/>
        <w:jc w:val="both"/>
      </w:pPr>
      <w:proofErr w:type="spellStart"/>
      <w:r w:rsidRPr="00F7610E">
        <w:t>Otoritas</w:t>
      </w:r>
      <w:proofErr w:type="spellEnd"/>
      <w:r w:rsidRPr="00F7610E">
        <w:t xml:space="preserve"> </w:t>
      </w:r>
      <w:proofErr w:type="spellStart"/>
      <w:r w:rsidRPr="00F7610E">
        <w:t>Jasa</w:t>
      </w:r>
      <w:proofErr w:type="spellEnd"/>
      <w:r w:rsidRPr="00F7610E">
        <w:t xml:space="preserve"> </w:t>
      </w:r>
      <w:proofErr w:type="spellStart"/>
      <w:r w:rsidRPr="00F7610E">
        <w:t>Keuangan</w:t>
      </w:r>
      <w:proofErr w:type="spellEnd"/>
      <w:r w:rsidRPr="00F7610E">
        <w:t xml:space="preserve">. </w:t>
      </w:r>
      <w:proofErr w:type="gramStart"/>
      <w:r w:rsidRPr="00F7610E">
        <w:t xml:space="preserve">(2025). </w:t>
      </w:r>
      <w:proofErr w:type="spellStart"/>
      <w:r w:rsidRPr="00F7610E">
        <w:rPr>
          <w:rStyle w:val="Emphasis"/>
        </w:rPr>
        <w:t>Statistik</w:t>
      </w:r>
      <w:proofErr w:type="spellEnd"/>
      <w:r w:rsidRPr="00F7610E">
        <w:rPr>
          <w:rStyle w:val="Emphasis"/>
        </w:rPr>
        <w:t xml:space="preserve"> </w:t>
      </w:r>
      <w:proofErr w:type="spellStart"/>
      <w:r w:rsidRPr="00F7610E">
        <w:rPr>
          <w:rStyle w:val="Emphasis"/>
        </w:rPr>
        <w:t>Perbankan</w:t>
      </w:r>
      <w:proofErr w:type="spellEnd"/>
      <w:r w:rsidRPr="00F7610E">
        <w:rPr>
          <w:rStyle w:val="Emphasis"/>
        </w:rPr>
        <w:t xml:space="preserve"> Indonesia 2025</w:t>
      </w:r>
      <w:r w:rsidRPr="00F7610E">
        <w:t>.</w:t>
      </w:r>
      <w:proofErr w:type="gramEnd"/>
      <w:r w:rsidRPr="00F7610E">
        <w:t xml:space="preserve"> Jakarta, Indonesia: </w:t>
      </w:r>
      <w:proofErr w:type="spellStart"/>
      <w:r w:rsidRPr="00F7610E">
        <w:t>Otoritas</w:t>
      </w:r>
      <w:proofErr w:type="spellEnd"/>
      <w:r w:rsidRPr="00F7610E">
        <w:t xml:space="preserve"> </w:t>
      </w:r>
      <w:proofErr w:type="spellStart"/>
      <w:r w:rsidRPr="00F7610E">
        <w:t>Jasa</w:t>
      </w:r>
      <w:proofErr w:type="spellEnd"/>
      <w:r w:rsidRPr="00F7610E">
        <w:t xml:space="preserve"> </w:t>
      </w:r>
      <w:proofErr w:type="spellStart"/>
      <w:r w:rsidRPr="00F7610E">
        <w:t>Keuangan</w:t>
      </w:r>
      <w:proofErr w:type="spellEnd"/>
      <w:r w:rsidRPr="00F7610E">
        <w:t>.</w:t>
      </w:r>
    </w:p>
    <w:p w:rsidR="00F7610E" w:rsidRPr="00F7610E" w:rsidRDefault="00F7610E" w:rsidP="00F7610E">
      <w:pPr>
        <w:pStyle w:val="NormalWeb"/>
        <w:jc w:val="both"/>
      </w:pPr>
      <w:proofErr w:type="gramStart"/>
      <w:r w:rsidRPr="00F7610E">
        <w:t xml:space="preserve">Putra, A. D., &amp; </w:t>
      </w:r>
      <w:proofErr w:type="spellStart"/>
      <w:r w:rsidRPr="00F7610E">
        <w:t>Wijaya</w:t>
      </w:r>
      <w:proofErr w:type="spellEnd"/>
      <w:r w:rsidRPr="00F7610E">
        <w:t>, R. (2022).</w:t>
      </w:r>
      <w:proofErr w:type="gramEnd"/>
      <w:r w:rsidRPr="00F7610E">
        <w:t xml:space="preserve"> Credit risk, market risk, and banking stability: Evidence from Indonesian commercial banks. </w:t>
      </w:r>
      <w:proofErr w:type="spellStart"/>
      <w:proofErr w:type="gramStart"/>
      <w:r w:rsidRPr="00F7610E">
        <w:rPr>
          <w:rStyle w:val="Emphasis"/>
        </w:rPr>
        <w:t>Heliyon</w:t>
      </w:r>
      <w:proofErr w:type="spellEnd"/>
      <w:r w:rsidRPr="00F7610E">
        <w:rPr>
          <w:rStyle w:val="Emphasis"/>
        </w:rPr>
        <w:t>, 8</w:t>
      </w:r>
      <w:r w:rsidRPr="00F7610E">
        <w:t>(7), e09876.</w:t>
      </w:r>
      <w:proofErr w:type="gramEnd"/>
      <w:r w:rsidRPr="00F7610E">
        <w:t xml:space="preserve"> </w:t>
      </w:r>
      <w:hyperlink r:id="rId22" w:history="1">
        <w:r w:rsidRPr="00F7610E">
          <w:rPr>
            <w:rStyle w:val="Hyperlink"/>
            <w:color w:val="auto"/>
            <w:u w:val="none"/>
          </w:rPr>
          <w:t>https://doi.org/10.1016/j.heliyon.2022.e09876</w:t>
        </w:r>
      </w:hyperlink>
    </w:p>
    <w:p w:rsidR="00F7610E" w:rsidRPr="00F7610E" w:rsidRDefault="00F7610E" w:rsidP="00F7610E">
      <w:pPr>
        <w:pStyle w:val="NormalWeb"/>
        <w:jc w:val="both"/>
      </w:pPr>
      <w:proofErr w:type="spellStart"/>
      <w:r w:rsidRPr="00F7610E">
        <w:t>Rahman</w:t>
      </w:r>
      <w:proofErr w:type="spellEnd"/>
      <w:r w:rsidRPr="00F7610E">
        <w:t xml:space="preserve">, A., &amp; Hakim, S. (2023). Islamic banking resilience and risk management: Evidence from Southeast Asia. </w:t>
      </w:r>
      <w:proofErr w:type="gramStart"/>
      <w:r w:rsidRPr="00F7610E">
        <w:rPr>
          <w:rStyle w:val="Emphasis"/>
        </w:rPr>
        <w:t>Pacific-Basin Finance Journal, 77</w:t>
      </w:r>
      <w:r w:rsidRPr="00F7610E">
        <w:t>, 101895.</w:t>
      </w:r>
      <w:proofErr w:type="gramEnd"/>
      <w:r w:rsidRPr="00F7610E">
        <w:t xml:space="preserve"> </w:t>
      </w:r>
      <w:hyperlink r:id="rId23" w:history="1">
        <w:r w:rsidRPr="00F7610E">
          <w:rPr>
            <w:rStyle w:val="Hyperlink"/>
            <w:color w:val="auto"/>
            <w:u w:val="none"/>
          </w:rPr>
          <w:t>https://doi.org/10.1016/j.pacfin.2023.101895</w:t>
        </w:r>
      </w:hyperlink>
    </w:p>
    <w:p w:rsidR="00F7610E" w:rsidRPr="00F7610E" w:rsidRDefault="00F7610E" w:rsidP="00F7610E">
      <w:pPr>
        <w:pStyle w:val="NormalWeb"/>
        <w:jc w:val="both"/>
      </w:pPr>
      <w:proofErr w:type="spellStart"/>
      <w:proofErr w:type="gramStart"/>
      <w:r w:rsidRPr="00F7610E">
        <w:t>Ridwan</w:t>
      </w:r>
      <w:proofErr w:type="spellEnd"/>
      <w:r w:rsidRPr="00F7610E">
        <w:t xml:space="preserve">, M., </w:t>
      </w:r>
      <w:proofErr w:type="spellStart"/>
      <w:r w:rsidRPr="00F7610E">
        <w:t>Puspitasari</w:t>
      </w:r>
      <w:proofErr w:type="spellEnd"/>
      <w:r w:rsidRPr="00F7610E">
        <w:t xml:space="preserve">, R., </w:t>
      </w:r>
      <w:proofErr w:type="spellStart"/>
      <w:r w:rsidRPr="00F7610E">
        <w:t>Winarsih</w:t>
      </w:r>
      <w:proofErr w:type="spellEnd"/>
      <w:r w:rsidRPr="00F7610E">
        <w:t xml:space="preserve">, T., &amp; </w:t>
      </w:r>
      <w:proofErr w:type="spellStart"/>
      <w:r w:rsidRPr="00F7610E">
        <w:t>Wangsih</w:t>
      </w:r>
      <w:proofErr w:type="spellEnd"/>
      <w:r w:rsidRPr="00F7610E">
        <w:t>, I. C. (2025).</w:t>
      </w:r>
      <w:proofErr w:type="gramEnd"/>
      <w:r w:rsidRPr="00F7610E">
        <w:t xml:space="preserve"> </w:t>
      </w:r>
      <w:proofErr w:type="gramStart"/>
      <w:r w:rsidRPr="00F7610E">
        <w:t xml:space="preserve">The effect of digital banking adoption, trust in </w:t>
      </w:r>
      <w:proofErr w:type="spellStart"/>
      <w:r w:rsidRPr="00F7610E">
        <w:t>fintech</w:t>
      </w:r>
      <w:proofErr w:type="spellEnd"/>
      <w:r w:rsidRPr="00F7610E">
        <w:t xml:space="preserve">, perceived security, and customer satisfaction on financial inclusion in </w:t>
      </w:r>
      <w:r w:rsidRPr="00F7610E">
        <w:lastRenderedPageBreak/>
        <w:t>Indonesian banking.</w:t>
      </w:r>
      <w:proofErr w:type="gramEnd"/>
      <w:r w:rsidRPr="00F7610E">
        <w:t xml:space="preserve"> </w:t>
      </w:r>
      <w:r w:rsidRPr="00F7610E">
        <w:rPr>
          <w:rStyle w:val="Emphasis"/>
        </w:rPr>
        <w:t>West Science Business and Management, 3</w:t>
      </w:r>
      <w:r w:rsidRPr="00F7610E">
        <w:t xml:space="preserve">(1), 158–168. </w:t>
      </w:r>
      <w:hyperlink r:id="rId24" w:history="1">
        <w:r w:rsidRPr="00F7610E">
          <w:rPr>
            <w:rStyle w:val="Hyperlink"/>
            <w:color w:val="auto"/>
            <w:u w:val="none"/>
          </w:rPr>
          <w:t>https://www.researchgate.net/publication/390657263</w:t>
        </w:r>
      </w:hyperlink>
    </w:p>
    <w:p w:rsidR="00F7610E" w:rsidRPr="00F7610E" w:rsidRDefault="00F7610E" w:rsidP="00F7610E">
      <w:pPr>
        <w:pStyle w:val="NormalWeb"/>
        <w:jc w:val="both"/>
      </w:pPr>
      <w:r w:rsidRPr="00F7610E">
        <w:t xml:space="preserve">Sari, P. I., &amp; </w:t>
      </w:r>
      <w:proofErr w:type="spellStart"/>
      <w:r w:rsidRPr="00F7610E">
        <w:t>Yanto</w:t>
      </w:r>
      <w:proofErr w:type="spellEnd"/>
      <w:r w:rsidRPr="00F7610E">
        <w:t xml:space="preserve">, S. (2024). </w:t>
      </w:r>
      <w:proofErr w:type="gramStart"/>
      <w:r w:rsidRPr="00F7610E">
        <w:t xml:space="preserve">Digital banking, </w:t>
      </w:r>
      <w:proofErr w:type="spellStart"/>
      <w:r w:rsidRPr="00F7610E">
        <w:t>fintech</w:t>
      </w:r>
      <w:proofErr w:type="spellEnd"/>
      <w:r w:rsidRPr="00F7610E">
        <w:t>, and green banking on banking profitability.</w:t>
      </w:r>
      <w:proofErr w:type="gramEnd"/>
      <w:r w:rsidRPr="00F7610E">
        <w:t xml:space="preserve"> </w:t>
      </w:r>
      <w:r w:rsidRPr="00F7610E">
        <w:rPr>
          <w:rStyle w:val="Emphasis"/>
        </w:rPr>
        <w:t xml:space="preserve">Media </w:t>
      </w:r>
      <w:proofErr w:type="spellStart"/>
      <w:r w:rsidRPr="00F7610E">
        <w:rPr>
          <w:rStyle w:val="Emphasis"/>
        </w:rPr>
        <w:t>Ekonomi</w:t>
      </w:r>
      <w:proofErr w:type="spellEnd"/>
      <w:r w:rsidRPr="00F7610E">
        <w:rPr>
          <w:rStyle w:val="Emphasis"/>
        </w:rPr>
        <w:t>, 24</w:t>
      </w:r>
      <w:r w:rsidRPr="00F7610E">
        <w:t xml:space="preserve">(1), 1–10. </w:t>
      </w:r>
      <w:hyperlink r:id="rId25" w:history="1">
        <w:r w:rsidRPr="00F7610E">
          <w:rPr>
            <w:rStyle w:val="Hyperlink"/>
            <w:color w:val="auto"/>
            <w:u w:val="none"/>
          </w:rPr>
          <w:t>https://doi.org/10.30595/medek.v24i1.25623</w:t>
        </w:r>
      </w:hyperlink>
    </w:p>
    <w:p w:rsidR="00F7610E" w:rsidRPr="00F7610E" w:rsidRDefault="00F7610E" w:rsidP="00F7610E">
      <w:pPr>
        <w:pStyle w:val="NormalWeb"/>
        <w:jc w:val="both"/>
      </w:pPr>
      <w:proofErr w:type="spellStart"/>
      <w:r w:rsidRPr="00F7610E">
        <w:t>Ula</w:t>
      </w:r>
      <w:proofErr w:type="spellEnd"/>
      <w:r w:rsidRPr="00F7610E">
        <w:t xml:space="preserve">, V. R. (2025). Digital transformation in the Indonesian banking industry: A qualitative SWOT analysis of mobile banking initiatives in conventional financial institutions. </w:t>
      </w:r>
      <w:r w:rsidRPr="00F7610E">
        <w:rPr>
          <w:rStyle w:val="Emphasis"/>
        </w:rPr>
        <w:t>Journal of Digital Finance and Innovation, 8</w:t>
      </w:r>
      <w:r w:rsidRPr="00F7610E">
        <w:t>(2), 88–104.</w:t>
      </w:r>
    </w:p>
    <w:p w:rsidR="00F7610E" w:rsidRPr="00F7610E" w:rsidRDefault="00F7610E" w:rsidP="00F7610E">
      <w:pPr>
        <w:pStyle w:val="NormalWeb"/>
        <w:jc w:val="both"/>
      </w:pPr>
      <w:proofErr w:type="gramStart"/>
      <w:r w:rsidRPr="00F7610E">
        <w:t>Vial, G. (2021).</w:t>
      </w:r>
      <w:proofErr w:type="gramEnd"/>
      <w:r w:rsidRPr="00F7610E">
        <w:t xml:space="preserve"> Understanding digital transformation: A review and a research agenda. </w:t>
      </w:r>
      <w:r w:rsidRPr="00F7610E">
        <w:rPr>
          <w:rStyle w:val="Emphasis"/>
        </w:rPr>
        <w:t>The Journal of Strategic Information Systems, 30</w:t>
      </w:r>
      <w:r w:rsidRPr="00F7610E">
        <w:t xml:space="preserve">(1), 1–14. </w:t>
      </w:r>
      <w:hyperlink r:id="rId26" w:history="1">
        <w:r w:rsidRPr="00F7610E">
          <w:rPr>
            <w:rStyle w:val="Hyperlink"/>
            <w:color w:val="auto"/>
            <w:u w:val="none"/>
          </w:rPr>
          <w:t>https://doi.org/10.1016/j.jsis.2020.101621</w:t>
        </w:r>
      </w:hyperlink>
    </w:p>
    <w:p w:rsidR="00F7610E" w:rsidRPr="00F7610E" w:rsidRDefault="00F7610E" w:rsidP="00F7610E">
      <w:pPr>
        <w:pStyle w:val="NormalWeb"/>
        <w:jc w:val="both"/>
      </w:pPr>
      <w:proofErr w:type="spellStart"/>
      <w:r w:rsidRPr="00F7610E">
        <w:t>Yulianto</w:t>
      </w:r>
      <w:proofErr w:type="spellEnd"/>
      <w:r w:rsidRPr="00F7610E">
        <w:t xml:space="preserve">, A., &amp; </w:t>
      </w:r>
      <w:proofErr w:type="spellStart"/>
      <w:r w:rsidRPr="00F7610E">
        <w:t>Wibowo</w:t>
      </w:r>
      <w:proofErr w:type="spellEnd"/>
      <w:r w:rsidRPr="00F7610E">
        <w:t xml:space="preserve">, S. (2022). </w:t>
      </w:r>
      <w:proofErr w:type="gramStart"/>
      <w:r w:rsidRPr="00F7610E">
        <w:t>Profitability analysis of banking sector using ROA and ROE approach.</w:t>
      </w:r>
      <w:proofErr w:type="gramEnd"/>
      <w:r w:rsidRPr="00F7610E">
        <w:t xml:space="preserve"> </w:t>
      </w:r>
      <w:proofErr w:type="gramStart"/>
      <w:r w:rsidRPr="00F7610E">
        <w:rPr>
          <w:rStyle w:val="Emphasis"/>
        </w:rPr>
        <w:t>Sustainability, 14</w:t>
      </w:r>
      <w:r w:rsidRPr="00F7610E">
        <w:t>(12), 7231.</w:t>
      </w:r>
      <w:proofErr w:type="gramEnd"/>
      <w:r w:rsidRPr="00F7610E">
        <w:t xml:space="preserve"> </w:t>
      </w:r>
      <w:hyperlink r:id="rId27" w:history="1">
        <w:r w:rsidRPr="00F7610E">
          <w:rPr>
            <w:rStyle w:val="Hyperlink"/>
            <w:color w:val="auto"/>
            <w:u w:val="none"/>
          </w:rPr>
          <w:t>https://doi.org/10.3390/su14127231</w:t>
        </w:r>
      </w:hyperlink>
    </w:p>
    <w:p w:rsidR="001E11F2" w:rsidRPr="006B0316" w:rsidRDefault="00F7610E" w:rsidP="0087623D">
      <w:pPr>
        <w:pStyle w:val="NormalWeb"/>
        <w:jc w:val="both"/>
        <w:rPr>
          <w:noProof/>
        </w:rPr>
      </w:pPr>
      <w:r w:rsidRPr="00F7610E">
        <w:t xml:space="preserve">Zhang, X., Lu, Y., &amp; Gupta, S. (2021). </w:t>
      </w:r>
      <w:proofErr w:type="gramStart"/>
      <w:r w:rsidRPr="00F7610E">
        <w:t>Digital banking service adoption and customer engagement behavior.</w:t>
      </w:r>
      <w:proofErr w:type="gramEnd"/>
      <w:r w:rsidRPr="00F7610E">
        <w:t xml:space="preserve"> </w:t>
      </w:r>
      <w:proofErr w:type="gramStart"/>
      <w:r w:rsidRPr="00F7610E">
        <w:rPr>
          <w:rStyle w:val="Emphasis"/>
        </w:rPr>
        <w:t>Information &amp; Management, 58</w:t>
      </w:r>
      <w:r w:rsidRPr="00F7610E">
        <w:t>(8), 103471.</w:t>
      </w:r>
      <w:proofErr w:type="gramEnd"/>
      <w:r w:rsidRPr="00F7610E">
        <w:t xml:space="preserve"> </w:t>
      </w:r>
      <w:hyperlink r:id="rId28" w:history="1">
        <w:r w:rsidRPr="00F7610E">
          <w:rPr>
            <w:rStyle w:val="Hyperlink"/>
            <w:color w:val="auto"/>
            <w:u w:val="none"/>
          </w:rPr>
          <w:t>https://doi.org/10.1016/j.im.2021.103471</w:t>
        </w:r>
      </w:hyperlink>
    </w:p>
    <w:p w:rsidR="00F7610E" w:rsidRDefault="00211A71" w:rsidP="002C29B0">
      <w:pPr>
        <w:pStyle w:val="NormalWeb"/>
        <w:jc w:val="both"/>
      </w:pPr>
      <w:r w:rsidRPr="006B0316">
        <w:rPr>
          <w:b/>
        </w:rPr>
        <w:fldChar w:fldCharType="end"/>
      </w:r>
    </w:p>
    <w:p w:rsidR="00375A16" w:rsidRPr="00F7610E" w:rsidRDefault="00375A16" w:rsidP="00F7610E">
      <w:pPr>
        <w:pStyle w:val="NormalWeb"/>
        <w:jc w:val="both"/>
        <w:rPr>
          <w:b/>
        </w:rPr>
      </w:pPr>
    </w:p>
    <w:sectPr w:rsidR="00375A16" w:rsidRPr="00F7610E">
      <w:headerReference w:type="default" r:id="rId29"/>
      <w:footerReference w:type="default" r:id="rId30"/>
      <w:pgSz w:w="11910" w:h="16840"/>
      <w:pgMar w:top="1220" w:right="1000" w:bottom="1220" w:left="1100" w:header="727" w:footer="10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86C" w:rsidRDefault="009F186C">
      <w:r>
        <w:separator/>
      </w:r>
    </w:p>
  </w:endnote>
  <w:endnote w:type="continuationSeparator" w:id="0">
    <w:p w:rsidR="009F186C" w:rsidRDefault="009F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13E" w:rsidRDefault="004A013E">
    <w:pPr>
      <w:pStyle w:val="BodyText"/>
      <w:spacing w:line="14" w:lineRule="auto"/>
      <w:rPr>
        <w:sz w:val="20"/>
      </w:rPr>
    </w:pPr>
    <w:r>
      <w:rPr>
        <w:noProof/>
      </w:rPr>
      <mc:AlternateContent>
        <mc:Choice Requires="wps">
          <w:drawing>
            <wp:anchor distT="0" distB="0" distL="114300" distR="114300" simplePos="0" relativeHeight="486962176" behindDoc="1" locked="0" layoutInCell="1" allowOverlap="1">
              <wp:simplePos x="0" y="0"/>
              <wp:positionH relativeFrom="page">
                <wp:posOffset>901700</wp:posOffset>
              </wp:positionH>
              <wp:positionV relativeFrom="page">
                <wp:posOffset>9897745</wp:posOffset>
              </wp:positionV>
              <wp:extent cx="2869565" cy="177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13E" w:rsidRDefault="004A013E">
                          <w:pPr>
                            <w:pStyle w:val="BodyText"/>
                            <w:spacing w:line="264" w:lineRule="exact"/>
                            <w:ind w:left="20"/>
                            <w:rPr>
                              <w:rFonts w:ascii="Calibri"/>
                            </w:rPr>
                          </w:pPr>
                          <w:hyperlink r:id="rId1">
                            <w:r>
                              <w:rPr>
                                <w:rFonts w:ascii="Calibri"/>
                                <w:color w:val="0000FF"/>
                                <w:u w:val="single" w:color="0000FF"/>
                              </w:rPr>
                              <w:t>https://jurnal.umt.ac.id/index.php/jceb/index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779.35pt;width:225.95pt;height:14pt;z-index:-163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LSsQ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" filled="f" stroked="f">
              <v:textbox inset="0,0,0,0">
                <w:txbxContent>
                  <w:p w:rsidR="004A013E" w:rsidRDefault="004A013E">
                    <w:pPr>
                      <w:pStyle w:val="BodyText"/>
                      <w:spacing w:line="264" w:lineRule="exact"/>
                      <w:ind w:left="20"/>
                      <w:rPr>
                        <w:rFonts w:ascii="Calibri"/>
                      </w:rPr>
                    </w:pPr>
                    <w:hyperlink r:id="rId2">
                      <w:r>
                        <w:rPr>
                          <w:rFonts w:ascii="Calibri"/>
                          <w:color w:val="0000FF"/>
                          <w:u w:val="single" w:color="0000FF"/>
                        </w:rPr>
                        <w:t>https://jurnal.umt.ac.id/index.php/jceb/index</w:t>
                      </w:r>
                    </w:hyperlink>
                  </w:p>
                </w:txbxContent>
              </v:textbox>
              <w10:wrap anchorx="page" anchory="page"/>
            </v:shape>
          </w:pict>
        </mc:Fallback>
      </mc:AlternateContent>
    </w:r>
    <w:r>
      <w:rPr>
        <w:noProof/>
      </w:rPr>
      <mc:AlternateContent>
        <mc:Choice Requires="wps">
          <w:drawing>
            <wp:anchor distT="0" distB="0" distL="114300" distR="114300" simplePos="0" relativeHeight="486962688" behindDoc="1" locked="0" layoutInCell="1" allowOverlap="1">
              <wp:simplePos x="0" y="0"/>
              <wp:positionH relativeFrom="page">
                <wp:posOffset>6397625</wp:posOffset>
              </wp:positionH>
              <wp:positionV relativeFrom="page">
                <wp:posOffset>9907270</wp:posOffset>
              </wp:positionV>
              <wp:extent cx="28892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13E" w:rsidRDefault="004A013E">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03.75pt;margin-top:780.1pt;width:22.75pt;height:13.05pt;z-index:-163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0PGrw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" filled="f" stroked="f">
              <v:textbox inset="0,0,0,0">
                <w:txbxContent>
                  <w:p w:rsidR="004A013E" w:rsidRDefault="004A013E">
                    <w:pPr>
                      <w:spacing w:line="245" w:lineRule="exact"/>
                      <w:ind w:left="6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86C" w:rsidRDefault="009F186C">
      <w:r>
        <w:separator/>
      </w:r>
    </w:p>
  </w:footnote>
  <w:footnote w:type="continuationSeparator" w:id="0">
    <w:p w:rsidR="009F186C" w:rsidRDefault="009F1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13E" w:rsidRDefault="004A013E" w:rsidP="006B3D61">
    <w:pPr>
      <w:pStyle w:val="Header"/>
      <w:pBdr>
        <w:bottom w:val="thickThinSmallGap" w:sz="24" w:space="1" w:color="622423" w:themeColor="accent2" w:themeShade="7F"/>
      </w:pBd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166"/>
    <w:multiLevelType w:val="multilevel"/>
    <w:tmpl w:val="7466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B1770"/>
    <w:multiLevelType w:val="multilevel"/>
    <w:tmpl w:val="D4C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3A385A"/>
    <w:multiLevelType w:val="multilevel"/>
    <w:tmpl w:val="4180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1217F"/>
    <w:multiLevelType w:val="multilevel"/>
    <w:tmpl w:val="72C2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BE69D5"/>
    <w:multiLevelType w:val="multilevel"/>
    <w:tmpl w:val="DF36D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592D14"/>
    <w:multiLevelType w:val="multilevel"/>
    <w:tmpl w:val="1A3C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C164FE"/>
    <w:multiLevelType w:val="multilevel"/>
    <w:tmpl w:val="3F70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191A14"/>
    <w:multiLevelType w:val="multilevel"/>
    <w:tmpl w:val="34E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A44F60"/>
    <w:multiLevelType w:val="multilevel"/>
    <w:tmpl w:val="A4E8F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CE0D5D"/>
    <w:multiLevelType w:val="multilevel"/>
    <w:tmpl w:val="B7FC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4E46FF"/>
    <w:multiLevelType w:val="multilevel"/>
    <w:tmpl w:val="BA4C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AA33CE"/>
    <w:multiLevelType w:val="multilevel"/>
    <w:tmpl w:val="4E10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914801"/>
    <w:multiLevelType w:val="multilevel"/>
    <w:tmpl w:val="CB7AC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8211A6"/>
    <w:multiLevelType w:val="hybridMultilevel"/>
    <w:tmpl w:val="80D2552A"/>
    <w:lvl w:ilvl="0" w:tplc="83D63E5A">
      <w:start w:val="1"/>
      <w:numFmt w:val="decimal"/>
      <w:lvlText w:val="%1."/>
      <w:lvlJc w:val="left"/>
      <w:pPr>
        <w:ind w:left="700" w:hanging="360"/>
        <w:jc w:val="left"/>
      </w:pPr>
      <w:rPr>
        <w:rFonts w:ascii="Times New Roman" w:eastAsia="Times New Roman" w:hAnsi="Times New Roman" w:cs="Times New Roman" w:hint="default"/>
        <w:b/>
        <w:bCs/>
        <w:w w:val="100"/>
        <w:sz w:val="24"/>
        <w:szCs w:val="24"/>
        <w:lang w:val="en-US" w:eastAsia="en-US" w:bidi="ar-SA"/>
      </w:rPr>
    </w:lvl>
    <w:lvl w:ilvl="1" w:tplc="6E72AA18">
      <w:start w:val="1"/>
      <w:numFmt w:val="lowerLetter"/>
      <w:lvlText w:val="%2."/>
      <w:lvlJc w:val="left"/>
      <w:pPr>
        <w:ind w:left="700" w:hanging="360"/>
        <w:jc w:val="left"/>
      </w:pPr>
      <w:rPr>
        <w:rFonts w:ascii="Times New Roman" w:eastAsia="Times New Roman" w:hAnsi="Times New Roman" w:cs="Times New Roman" w:hint="default"/>
        <w:b/>
        <w:bCs/>
        <w:w w:val="100"/>
        <w:sz w:val="24"/>
        <w:szCs w:val="24"/>
        <w:lang w:val="en-US" w:eastAsia="en-US" w:bidi="ar-SA"/>
      </w:rPr>
    </w:lvl>
    <w:lvl w:ilvl="2" w:tplc="C87834CE">
      <w:numFmt w:val="bullet"/>
      <w:lvlText w:val="•"/>
      <w:lvlJc w:val="left"/>
      <w:pPr>
        <w:ind w:left="1480" w:hanging="360"/>
      </w:pPr>
      <w:rPr>
        <w:rFonts w:hint="default"/>
        <w:lang w:val="en-US" w:eastAsia="en-US" w:bidi="ar-SA"/>
      </w:rPr>
    </w:lvl>
    <w:lvl w:ilvl="3" w:tplc="3FCABB6E">
      <w:numFmt w:val="bullet"/>
      <w:lvlText w:val="•"/>
      <w:lvlJc w:val="left"/>
      <w:pPr>
        <w:ind w:left="2520" w:hanging="360"/>
      </w:pPr>
      <w:rPr>
        <w:rFonts w:hint="default"/>
        <w:lang w:val="en-US" w:eastAsia="en-US" w:bidi="ar-SA"/>
      </w:rPr>
    </w:lvl>
    <w:lvl w:ilvl="4" w:tplc="E1EA763C">
      <w:numFmt w:val="bullet"/>
      <w:lvlText w:val="•"/>
      <w:lvlJc w:val="left"/>
      <w:pPr>
        <w:ind w:left="3561" w:hanging="360"/>
      </w:pPr>
      <w:rPr>
        <w:rFonts w:hint="default"/>
        <w:lang w:val="en-US" w:eastAsia="en-US" w:bidi="ar-SA"/>
      </w:rPr>
    </w:lvl>
    <w:lvl w:ilvl="5" w:tplc="46545504">
      <w:numFmt w:val="bullet"/>
      <w:lvlText w:val="•"/>
      <w:lvlJc w:val="left"/>
      <w:pPr>
        <w:ind w:left="4602" w:hanging="360"/>
      </w:pPr>
      <w:rPr>
        <w:rFonts w:hint="default"/>
        <w:lang w:val="en-US" w:eastAsia="en-US" w:bidi="ar-SA"/>
      </w:rPr>
    </w:lvl>
    <w:lvl w:ilvl="6" w:tplc="DFAED596">
      <w:numFmt w:val="bullet"/>
      <w:lvlText w:val="•"/>
      <w:lvlJc w:val="left"/>
      <w:pPr>
        <w:ind w:left="5643" w:hanging="360"/>
      </w:pPr>
      <w:rPr>
        <w:rFonts w:hint="default"/>
        <w:lang w:val="en-US" w:eastAsia="en-US" w:bidi="ar-SA"/>
      </w:rPr>
    </w:lvl>
    <w:lvl w:ilvl="7" w:tplc="9D4AACCA">
      <w:numFmt w:val="bullet"/>
      <w:lvlText w:val="•"/>
      <w:lvlJc w:val="left"/>
      <w:pPr>
        <w:ind w:left="6684" w:hanging="360"/>
      </w:pPr>
      <w:rPr>
        <w:rFonts w:hint="default"/>
        <w:lang w:val="en-US" w:eastAsia="en-US" w:bidi="ar-SA"/>
      </w:rPr>
    </w:lvl>
    <w:lvl w:ilvl="8" w:tplc="61FA0B2A">
      <w:numFmt w:val="bullet"/>
      <w:lvlText w:val="•"/>
      <w:lvlJc w:val="left"/>
      <w:pPr>
        <w:ind w:left="7724" w:hanging="360"/>
      </w:pPr>
      <w:rPr>
        <w:rFonts w:hint="default"/>
        <w:lang w:val="en-US" w:eastAsia="en-US" w:bidi="ar-SA"/>
      </w:rPr>
    </w:lvl>
  </w:abstractNum>
  <w:abstractNum w:abstractNumId="14">
    <w:nsid w:val="33A50269"/>
    <w:multiLevelType w:val="multilevel"/>
    <w:tmpl w:val="4652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D51ECB"/>
    <w:multiLevelType w:val="multilevel"/>
    <w:tmpl w:val="EE10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F50D61"/>
    <w:multiLevelType w:val="multilevel"/>
    <w:tmpl w:val="F50A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C76A4D"/>
    <w:multiLevelType w:val="multilevel"/>
    <w:tmpl w:val="B156CE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C41CBF"/>
    <w:multiLevelType w:val="multilevel"/>
    <w:tmpl w:val="07FA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F76798"/>
    <w:multiLevelType w:val="multilevel"/>
    <w:tmpl w:val="1F7E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7F4AE9"/>
    <w:multiLevelType w:val="multilevel"/>
    <w:tmpl w:val="2BE2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D2517E"/>
    <w:multiLevelType w:val="multilevel"/>
    <w:tmpl w:val="08A6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3C47F2"/>
    <w:multiLevelType w:val="multilevel"/>
    <w:tmpl w:val="CB18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B73CFA"/>
    <w:multiLevelType w:val="multilevel"/>
    <w:tmpl w:val="13AA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B709D8"/>
    <w:multiLevelType w:val="multilevel"/>
    <w:tmpl w:val="A1B8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DF0312"/>
    <w:multiLevelType w:val="multilevel"/>
    <w:tmpl w:val="CB7AC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8C67A3"/>
    <w:multiLevelType w:val="multilevel"/>
    <w:tmpl w:val="46C4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5C2D51"/>
    <w:multiLevelType w:val="multilevel"/>
    <w:tmpl w:val="5BBE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A8140B"/>
    <w:multiLevelType w:val="multilevel"/>
    <w:tmpl w:val="30BAD1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14791C"/>
    <w:multiLevelType w:val="multilevel"/>
    <w:tmpl w:val="FD4A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F07C5F"/>
    <w:multiLevelType w:val="multilevel"/>
    <w:tmpl w:val="232A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743B15"/>
    <w:multiLevelType w:val="multilevel"/>
    <w:tmpl w:val="944E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987EE8"/>
    <w:multiLevelType w:val="multilevel"/>
    <w:tmpl w:val="A04E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D460F3"/>
    <w:multiLevelType w:val="multilevel"/>
    <w:tmpl w:val="37F6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D0D3D"/>
    <w:multiLevelType w:val="multilevel"/>
    <w:tmpl w:val="04AEED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1AC305A"/>
    <w:multiLevelType w:val="multilevel"/>
    <w:tmpl w:val="5118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595D9C"/>
    <w:multiLevelType w:val="multilevel"/>
    <w:tmpl w:val="C824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4D6A44"/>
    <w:multiLevelType w:val="multilevel"/>
    <w:tmpl w:val="23B8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976AF5"/>
    <w:multiLevelType w:val="multilevel"/>
    <w:tmpl w:val="E8C8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EB0270"/>
    <w:multiLevelType w:val="multilevel"/>
    <w:tmpl w:val="4F8C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815566"/>
    <w:multiLevelType w:val="multilevel"/>
    <w:tmpl w:val="E228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37"/>
  </w:num>
  <w:num w:numId="4">
    <w:abstractNumId w:val="25"/>
  </w:num>
  <w:num w:numId="5">
    <w:abstractNumId w:val="12"/>
  </w:num>
  <w:num w:numId="6">
    <w:abstractNumId w:val="6"/>
  </w:num>
  <w:num w:numId="7">
    <w:abstractNumId w:val="15"/>
  </w:num>
  <w:num w:numId="8">
    <w:abstractNumId w:val="0"/>
  </w:num>
  <w:num w:numId="9">
    <w:abstractNumId w:val="27"/>
  </w:num>
  <w:num w:numId="10">
    <w:abstractNumId w:val="18"/>
  </w:num>
  <w:num w:numId="11">
    <w:abstractNumId w:val="39"/>
  </w:num>
  <w:num w:numId="12">
    <w:abstractNumId w:val="38"/>
  </w:num>
  <w:num w:numId="13">
    <w:abstractNumId w:val="24"/>
  </w:num>
  <w:num w:numId="14">
    <w:abstractNumId w:val="1"/>
  </w:num>
  <w:num w:numId="15">
    <w:abstractNumId w:val="32"/>
  </w:num>
  <w:num w:numId="16">
    <w:abstractNumId w:val="26"/>
  </w:num>
  <w:num w:numId="17">
    <w:abstractNumId w:val="2"/>
  </w:num>
  <w:num w:numId="18">
    <w:abstractNumId w:val="9"/>
  </w:num>
  <w:num w:numId="19">
    <w:abstractNumId w:val="7"/>
  </w:num>
  <w:num w:numId="20">
    <w:abstractNumId w:val="20"/>
  </w:num>
  <w:num w:numId="21">
    <w:abstractNumId w:val="40"/>
  </w:num>
  <w:num w:numId="22">
    <w:abstractNumId w:val="11"/>
  </w:num>
  <w:num w:numId="23">
    <w:abstractNumId w:val="35"/>
  </w:num>
  <w:num w:numId="24">
    <w:abstractNumId w:val="17"/>
  </w:num>
  <w:num w:numId="25">
    <w:abstractNumId w:val="28"/>
  </w:num>
  <w:num w:numId="26">
    <w:abstractNumId w:val="34"/>
  </w:num>
  <w:num w:numId="27">
    <w:abstractNumId w:val="4"/>
  </w:num>
  <w:num w:numId="28">
    <w:abstractNumId w:val="19"/>
  </w:num>
  <w:num w:numId="29">
    <w:abstractNumId w:val="8"/>
  </w:num>
  <w:num w:numId="30">
    <w:abstractNumId w:val="30"/>
  </w:num>
  <w:num w:numId="31">
    <w:abstractNumId w:val="29"/>
  </w:num>
  <w:num w:numId="32">
    <w:abstractNumId w:val="31"/>
  </w:num>
  <w:num w:numId="33">
    <w:abstractNumId w:val="16"/>
  </w:num>
  <w:num w:numId="34">
    <w:abstractNumId w:val="14"/>
  </w:num>
  <w:num w:numId="35">
    <w:abstractNumId w:val="21"/>
  </w:num>
  <w:num w:numId="36">
    <w:abstractNumId w:val="10"/>
  </w:num>
  <w:num w:numId="37">
    <w:abstractNumId w:val="3"/>
  </w:num>
  <w:num w:numId="38">
    <w:abstractNumId w:val="22"/>
  </w:num>
  <w:num w:numId="39">
    <w:abstractNumId w:val="33"/>
  </w:num>
  <w:num w:numId="40">
    <w:abstractNumId w:val="23"/>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504FB"/>
    <w:rsid w:val="00000E12"/>
    <w:rsid w:val="00001763"/>
    <w:rsid w:val="00001ABE"/>
    <w:rsid w:val="00005AC8"/>
    <w:rsid w:val="00014AE0"/>
    <w:rsid w:val="00015016"/>
    <w:rsid w:val="00016050"/>
    <w:rsid w:val="00016AE9"/>
    <w:rsid w:val="00021480"/>
    <w:rsid w:val="000225D2"/>
    <w:rsid w:val="000304DA"/>
    <w:rsid w:val="00040FE5"/>
    <w:rsid w:val="00042964"/>
    <w:rsid w:val="00043A2D"/>
    <w:rsid w:val="00043EAC"/>
    <w:rsid w:val="00044E14"/>
    <w:rsid w:val="00046EA0"/>
    <w:rsid w:val="000509E4"/>
    <w:rsid w:val="00052FF4"/>
    <w:rsid w:val="00057778"/>
    <w:rsid w:val="00080F5A"/>
    <w:rsid w:val="0009204B"/>
    <w:rsid w:val="0009350B"/>
    <w:rsid w:val="000958EB"/>
    <w:rsid w:val="000B64A4"/>
    <w:rsid w:val="000C2B6A"/>
    <w:rsid w:val="000D01D3"/>
    <w:rsid w:val="000D4589"/>
    <w:rsid w:val="000E48E8"/>
    <w:rsid w:val="000E4D5C"/>
    <w:rsid w:val="000F6BE6"/>
    <w:rsid w:val="00106BFD"/>
    <w:rsid w:val="00110B6F"/>
    <w:rsid w:val="00115A8D"/>
    <w:rsid w:val="00120A63"/>
    <w:rsid w:val="00122C21"/>
    <w:rsid w:val="001268E2"/>
    <w:rsid w:val="00127E8F"/>
    <w:rsid w:val="00135499"/>
    <w:rsid w:val="001411B6"/>
    <w:rsid w:val="00144D56"/>
    <w:rsid w:val="00145E83"/>
    <w:rsid w:val="001465F0"/>
    <w:rsid w:val="0015137A"/>
    <w:rsid w:val="00153494"/>
    <w:rsid w:val="00163D11"/>
    <w:rsid w:val="00163E49"/>
    <w:rsid w:val="001704A6"/>
    <w:rsid w:val="001724F5"/>
    <w:rsid w:val="00172944"/>
    <w:rsid w:val="00183E52"/>
    <w:rsid w:val="00183F0B"/>
    <w:rsid w:val="001908B1"/>
    <w:rsid w:val="00190DD5"/>
    <w:rsid w:val="00197970"/>
    <w:rsid w:val="001C22CF"/>
    <w:rsid w:val="001D36B9"/>
    <w:rsid w:val="001D4E0F"/>
    <w:rsid w:val="001E11F2"/>
    <w:rsid w:val="001E147F"/>
    <w:rsid w:val="001F51E3"/>
    <w:rsid w:val="001F5548"/>
    <w:rsid w:val="002005E6"/>
    <w:rsid w:val="00204DEC"/>
    <w:rsid w:val="00211A71"/>
    <w:rsid w:val="00211F33"/>
    <w:rsid w:val="00222701"/>
    <w:rsid w:val="00227B87"/>
    <w:rsid w:val="00230E28"/>
    <w:rsid w:val="00230E7B"/>
    <w:rsid w:val="00232DFF"/>
    <w:rsid w:val="002518AD"/>
    <w:rsid w:val="0025500C"/>
    <w:rsid w:val="002574A3"/>
    <w:rsid w:val="002625AA"/>
    <w:rsid w:val="00265E81"/>
    <w:rsid w:val="00272190"/>
    <w:rsid w:val="00281F71"/>
    <w:rsid w:val="0028709D"/>
    <w:rsid w:val="00290131"/>
    <w:rsid w:val="00295A70"/>
    <w:rsid w:val="002A16A1"/>
    <w:rsid w:val="002A1BA2"/>
    <w:rsid w:val="002A2C86"/>
    <w:rsid w:val="002A5857"/>
    <w:rsid w:val="002B051B"/>
    <w:rsid w:val="002B21C8"/>
    <w:rsid w:val="002C10D3"/>
    <w:rsid w:val="002C29B0"/>
    <w:rsid w:val="002C4797"/>
    <w:rsid w:val="002C5305"/>
    <w:rsid w:val="002C6C9C"/>
    <w:rsid w:val="002D2180"/>
    <w:rsid w:val="002D77B5"/>
    <w:rsid w:val="002E19AD"/>
    <w:rsid w:val="002F092C"/>
    <w:rsid w:val="002F743C"/>
    <w:rsid w:val="00300F3D"/>
    <w:rsid w:val="00311A3B"/>
    <w:rsid w:val="003240F2"/>
    <w:rsid w:val="00325BD4"/>
    <w:rsid w:val="003337B7"/>
    <w:rsid w:val="0033501F"/>
    <w:rsid w:val="00344149"/>
    <w:rsid w:val="00354B58"/>
    <w:rsid w:val="0036024B"/>
    <w:rsid w:val="0036039F"/>
    <w:rsid w:val="00360DD1"/>
    <w:rsid w:val="00365A22"/>
    <w:rsid w:val="00370AD9"/>
    <w:rsid w:val="00372243"/>
    <w:rsid w:val="00374C30"/>
    <w:rsid w:val="00375A16"/>
    <w:rsid w:val="00376276"/>
    <w:rsid w:val="003802ED"/>
    <w:rsid w:val="003833E1"/>
    <w:rsid w:val="00384297"/>
    <w:rsid w:val="0038713B"/>
    <w:rsid w:val="003879EF"/>
    <w:rsid w:val="00391C9D"/>
    <w:rsid w:val="003A0000"/>
    <w:rsid w:val="003A04DC"/>
    <w:rsid w:val="003A091B"/>
    <w:rsid w:val="003A2322"/>
    <w:rsid w:val="003A271C"/>
    <w:rsid w:val="003A4EE0"/>
    <w:rsid w:val="003B33AE"/>
    <w:rsid w:val="003B576A"/>
    <w:rsid w:val="003B6FC0"/>
    <w:rsid w:val="003C03E2"/>
    <w:rsid w:val="003C3516"/>
    <w:rsid w:val="003C604B"/>
    <w:rsid w:val="003C73DF"/>
    <w:rsid w:val="003D56CF"/>
    <w:rsid w:val="003D613E"/>
    <w:rsid w:val="003D6F11"/>
    <w:rsid w:val="003E59AF"/>
    <w:rsid w:val="003E61C4"/>
    <w:rsid w:val="003F4CB6"/>
    <w:rsid w:val="0040071B"/>
    <w:rsid w:val="00411343"/>
    <w:rsid w:val="0041586E"/>
    <w:rsid w:val="0041792D"/>
    <w:rsid w:val="00423607"/>
    <w:rsid w:val="00440578"/>
    <w:rsid w:val="00442A3C"/>
    <w:rsid w:val="004443A8"/>
    <w:rsid w:val="004447DD"/>
    <w:rsid w:val="004478B7"/>
    <w:rsid w:val="004523F1"/>
    <w:rsid w:val="00456E0B"/>
    <w:rsid w:val="004606DA"/>
    <w:rsid w:val="00467C65"/>
    <w:rsid w:val="00481E9C"/>
    <w:rsid w:val="00484156"/>
    <w:rsid w:val="004A013E"/>
    <w:rsid w:val="004A175F"/>
    <w:rsid w:val="004A293C"/>
    <w:rsid w:val="004A4296"/>
    <w:rsid w:val="004A4675"/>
    <w:rsid w:val="004D0D6F"/>
    <w:rsid w:val="004D1C6A"/>
    <w:rsid w:val="004D374D"/>
    <w:rsid w:val="004F329E"/>
    <w:rsid w:val="00511346"/>
    <w:rsid w:val="00511A14"/>
    <w:rsid w:val="0051304C"/>
    <w:rsid w:val="00515CCC"/>
    <w:rsid w:val="00521242"/>
    <w:rsid w:val="005239A7"/>
    <w:rsid w:val="0052542A"/>
    <w:rsid w:val="00532BF9"/>
    <w:rsid w:val="005352E0"/>
    <w:rsid w:val="00540581"/>
    <w:rsid w:val="00540CE1"/>
    <w:rsid w:val="00541BE8"/>
    <w:rsid w:val="0054216D"/>
    <w:rsid w:val="00546690"/>
    <w:rsid w:val="00561D86"/>
    <w:rsid w:val="0057093A"/>
    <w:rsid w:val="00584EFF"/>
    <w:rsid w:val="0059478E"/>
    <w:rsid w:val="00595432"/>
    <w:rsid w:val="00596D55"/>
    <w:rsid w:val="005B052D"/>
    <w:rsid w:val="005B33E9"/>
    <w:rsid w:val="005B5743"/>
    <w:rsid w:val="005C2149"/>
    <w:rsid w:val="005C75CE"/>
    <w:rsid w:val="005D08B9"/>
    <w:rsid w:val="005D158E"/>
    <w:rsid w:val="005D3DFA"/>
    <w:rsid w:val="005E4AED"/>
    <w:rsid w:val="005E554A"/>
    <w:rsid w:val="005F4959"/>
    <w:rsid w:val="005F6280"/>
    <w:rsid w:val="00600062"/>
    <w:rsid w:val="006005FC"/>
    <w:rsid w:val="00606CD3"/>
    <w:rsid w:val="00611BB9"/>
    <w:rsid w:val="006271D1"/>
    <w:rsid w:val="006307AF"/>
    <w:rsid w:val="00630F9A"/>
    <w:rsid w:val="006315B9"/>
    <w:rsid w:val="00632EDF"/>
    <w:rsid w:val="0063365F"/>
    <w:rsid w:val="006436B0"/>
    <w:rsid w:val="0064544D"/>
    <w:rsid w:val="006520D0"/>
    <w:rsid w:val="00662B10"/>
    <w:rsid w:val="006638F6"/>
    <w:rsid w:val="0066409A"/>
    <w:rsid w:val="00664779"/>
    <w:rsid w:val="0066722F"/>
    <w:rsid w:val="006711BA"/>
    <w:rsid w:val="00675BD6"/>
    <w:rsid w:val="00692390"/>
    <w:rsid w:val="00693B94"/>
    <w:rsid w:val="006A4F55"/>
    <w:rsid w:val="006A535F"/>
    <w:rsid w:val="006A7534"/>
    <w:rsid w:val="006B0316"/>
    <w:rsid w:val="006B0E0E"/>
    <w:rsid w:val="006B1021"/>
    <w:rsid w:val="006B1501"/>
    <w:rsid w:val="006B3D61"/>
    <w:rsid w:val="006B75D5"/>
    <w:rsid w:val="006C3736"/>
    <w:rsid w:val="006C6256"/>
    <w:rsid w:val="006D18DD"/>
    <w:rsid w:val="006D37CE"/>
    <w:rsid w:val="006D4132"/>
    <w:rsid w:val="006F1479"/>
    <w:rsid w:val="006F1B90"/>
    <w:rsid w:val="006F79EA"/>
    <w:rsid w:val="006F7BFF"/>
    <w:rsid w:val="00700255"/>
    <w:rsid w:val="00701520"/>
    <w:rsid w:val="007019BE"/>
    <w:rsid w:val="00703C3B"/>
    <w:rsid w:val="007103CB"/>
    <w:rsid w:val="007262AB"/>
    <w:rsid w:val="007302CC"/>
    <w:rsid w:val="007308C1"/>
    <w:rsid w:val="00734DA6"/>
    <w:rsid w:val="007447A9"/>
    <w:rsid w:val="00751095"/>
    <w:rsid w:val="00765209"/>
    <w:rsid w:val="00787A97"/>
    <w:rsid w:val="00791454"/>
    <w:rsid w:val="0079228B"/>
    <w:rsid w:val="0079240E"/>
    <w:rsid w:val="00796B5C"/>
    <w:rsid w:val="007A17BD"/>
    <w:rsid w:val="007A2CB5"/>
    <w:rsid w:val="007A2FB3"/>
    <w:rsid w:val="007A4E40"/>
    <w:rsid w:val="007B03FE"/>
    <w:rsid w:val="007B60F8"/>
    <w:rsid w:val="007C12AD"/>
    <w:rsid w:val="007C13B7"/>
    <w:rsid w:val="007D04CF"/>
    <w:rsid w:val="007D1F08"/>
    <w:rsid w:val="007D5468"/>
    <w:rsid w:val="007D7197"/>
    <w:rsid w:val="007E36CD"/>
    <w:rsid w:val="007E4F00"/>
    <w:rsid w:val="007E7E95"/>
    <w:rsid w:val="007F0981"/>
    <w:rsid w:val="0081436A"/>
    <w:rsid w:val="00823921"/>
    <w:rsid w:val="00824E22"/>
    <w:rsid w:val="00830324"/>
    <w:rsid w:val="00830E5C"/>
    <w:rsid w:val="00832950"/>
    <w:rsid w:val="0083364C"/>
    <w:rsid w:val="008439AC"/>
    <w:rsid w:val="00855482"/>
    <w:rsid w:val="0085590C"/>
    <w:rsid w:val="008605BA"/>
    <w:rsid w:val="008623B4"/>
    <w:rsid w:val="00863352"/>
    <w:rsid w:val="008708E7"/>
    <w:rsid w:val="008719F4"/>
    <w:rsid w:val="0087623D"/>
    <w:rsid w:val="00883338"/>
    <w:rsid w:val="00886A65"/>
    <w:rsid w:val="00887956"/>
    <w:rsid w:val="00890033"/>
    <w:rsid w:val="00897B82"/>
    <w:rsid w:val="008A2601"/>
    <w:rsid w:val="008A7686"/>
    <w:rsid w:val="008B11B0"/>
    <w:rsid w:val="008B3FA1"/>
    <w:rsid w:val="008B5664"/>
    <w:rsid w:val="008B59E3"/>
    <w:rsid w:val="008B79DD"/>
    <w:rsid w:val="008C00D1"/>
    <w:rsid w:val="008C01F0"/>
    <w:rsid w:val="008C343C"/>
    <w:rsid w:val="008D1147"/>
    <w:rsid w:val="008D3F29"/>
    <w:rsid w:val="008D5D47"/>
    <w:rsid w:val="008D7361"/>
    <w:rsid w:val="008D7739"/>
    <w:rsid w:val="008F10C4"/>
    <w:rsid w:val="008F1779"/>
    <w:rsid w:val="008F5CFF"/>
    <w:rsid w:val="00900B7F"/>
    <w:rsid w:val="00907E4F"/>
    <w:rsid w:val="00910440"/>
    <w:rsid w:val="00910BD6"/>
    <w:rsid w:val="00916B3F"/>
    <w:rsid w:val="009207CD"/>
    <w:rsid w:val="009235CC"/>
    <w:rsid w:val="00923A11"/>
    <w:rsid w:val="00930CF8"/>
    <w:rsid w:val="00931F57"/>
    <w:rsid w:val="00936BB3"/>
    <w:rsid w:val="00944057"/>
    <w:rsid w:val="00944881"/>
    <w:rsid w:val="00950E17"/>
    <w:rsid w:val="00952DDE"/>
    <w:rsid w:val="00955144"/>
    <w:rsid w:val="009557B2"/>
    <w:rsid w:val="00974B78"/>
    <w:rsid w:val="00975207"/>
    <w:rsid w:val="00975DA1"/>
    <w:rsid w:val="00983066"/>
    <w:rsid w:val="009A05B8"/>
    <w:rsid w:val="009A5607"/>
    <w:rsid w:val="009A6ECD"/>
    <w:rsid w:val="009B0122"/>
    <w:rsid w:val="009B58A3"/>
    <w:rsid w:val="009B6A8C"/>
    <w:rsid w:val="009C434D"/>
    <w:rsid w:val="009C4725"/>
    <w:rsid w:val="009C62F4"/>
    <w:rsid w:val="009C63D6"/>
    <w:rsid w:val="009D1C24"/>
    <w:rsid w:val="009D3902"/>
    <w:rsid w:val="009D5DFC"/>
    <w:rsid w:val="009D714C"/>
    <w:rsid w:val="009E0C17"/>
    <w:rsid w:val="009F186C"/>
    <w:rsid w:val="00A07571"/>
    <w:rsid w:val="00A101B6"/>
    <w:rsid w:val="00A13037"/>
    <w:rsid w:val="00A1381C"/>
    <w:rsid w:val="00A14B78"/>
    <w:rsid w:val="00A15E76"/>
    <w:rsid w:val="00A3350A"/>
    <w:rsid w:val="00A3641D"/>
    <w:rsid w:val="00A4320B"/>
    <w:rsid w:val="00A43241"/>
    <w:rsid w:val="00A442A4"/>
    <w:rsid w:val="00A4469F"/>
    <w:rsid w:val="00A50B23"/>
    <w:rsid w:val="00A6179B"/>
    <w:rsid w:val="00A62BD1"/>
    <w:rsid w:val="00A65375"/>
    <w:rsid w:val="00A67022"/>
    <w:rsid w:val="00A71A88"/>
    <w:rsid w:val="00A74561"/>
    <w:rsid w:val="00A81184"/>
    <w:rsid w:val="00A81A5C"/>
    <w:rsid w:val="00A90279"/>
    <w:rsid w:val="00A96918"/>
    <w:rsid w:val="00AA0552"/>
    <w:rsid w:val="00AB0931"/>
    <w:rsid w:val="00AB2BB9"/>
    <w:rsid w:val="00AB546B"/>
    <w:rsid w:val="00AB55CC"/>
    <w:rsid w:val="00AB5E4A"/>
    <w:rsid w:val="00AC03E1"/>
    <w:rsid w:val="00AC1C78"/>
    <w:rsid w:val="00AC2603"/>
    <w:rsid w:val="00AC440C"/>
    <w:rsid w:val="00AC52D0"/>
    <w:rsid w:val="00AE3F2F"/>
    <w:rsid w:val="00AF521D"/>
    <w:rsid w:val="00AF5621"/>
    <w:rsid w:val="00AF5D23"/>
    <w:rsid w:val="00AF7A3E"/>
    <w:rsid w:val="00B0030F"/>
    <w:rsid w:val="00B01870"/>
    <w:rsid w:val="00B045F6"/>
    <w:rsid w:val="00B05F12"/>
    <w:rsid w:val="00B06C04"/>
    <w:rsid w:val="00B17B17"/>
    <w:rsid w:val="00B205A2"/>
    <w:rsid w:val="00B42CD8"/>
    <w:rsid w:val="00B436EA"/>
    <w:rsid w:val="00B441E2"/>
    <w:rsid w:val="00B47C7F"/>
    <w:rsid w:val="00B5510A"/>
    <w:rsid w:val="00B56748"/>
    <w:rsid w:val="00B5748C"/>
    <w:rsid w:val="00B57806"/>
    <w:rsid w:val="00B60276"/>
    <w:rsid w:val="00B64ABB"/>
    <w:rsid w:val="00B66C38"/>
    <w:rsid w:val="00B7066C"/>
    <w:rsid w:val="00B7108E"/>
    <w:rsid w:val="00B768AE"/>
    <w:rsid w:val="00B80300"/>
    <w:rsid w:val="00B81D93"/>
    <w:rsid w:val="00B96390"/>
    <w:rsid w:val="00BA1293"/>
    <w:rsid w:val="00BC1009"/>
    <w:rsid w:val="00BC3C6D"/>
    <w:rsid w:val="00BC549C"/>
    <w:rsid w:val="00BD3ACE"/>
    <w:rsid w:val="00BE524B"/>
    <w:rsid w:val="00BE5A0E"/>
    <w:rsid w:val="00BE6BE9"/>
    <w:rsid w:val="00BE6CF8"/>
    <w:rsid w:val="00BE700A"/>
    <w:rsid w:val="00BF1AA2"/>
    <w:rsid w:val="00BF5929"/>
    <w:rsid w:val="00C033DA"/>
    <w:rsid w:val="00C111F5"/>
    <w:rsid w:val="00C147EC"/>
    <w:rsid w:val="00C153CA"/>
    <w:rsid w:val="00C25F71"/>
    <w:rsid w:val="00C30150"/>
    <w:rsid w:val="00C32F1D"/>
    <w:rsid w:val="00C418E4"/>
    <w:rsid w:val="00C50349"/>
    <w:rsid w:val="00C504FB"/>
    <w:rsid w:val="00C55051"/>
    <w:rsid w:val="00C60B5A"/>
    <w:rsid w:val="00C61C30"/>
    <w:rsid w:val="00C763E4"/>
    <w:rsid w:val="00C81FEE"/>
    <w:rsid w:val="00C905A6"/>
    <w:rsid w:val="00C94E80"/>
    <w:rsid w:val="00C96E07"/>
    <w:rsid w:val="00C97CEE"/>
    <w:rsid w:val="00CA36D4"/>
    <w:rsid w:val="00CB05A1"/>
    <w:rsid w:val="00CB69FD"/>
    <w:rsid w:val="00CC0547"/>
    <w:rsid w:val="00CC2C0F"/>
    <w:rsid w:val="00CD0341"/>
    <w:rsid w:val="00CE661C"/>
    <w:rsid w:val="00CF48E9"/>
    <w:rsid w:val="00D00CD5"/>
    <w:rsid w:val="00D02801"/>
    <w:rsid w:val="00D03C55"/>
    <w:rsid w:val="00D12FAA"/>
    <w:rsid w:val="00D2195F"/>
    <w:rsid w:val="00D26AC3"/>
    <w:rsid w:val="00D37BA9"/>
    <w:rsid w:val="00D4089D"/>
    <w:rsid w:val="00D41EF3"/>
    <w:rsid w:val="00D421DD"/>
    <w:rsid w:val="00D42AF9"/>
    <w:rsid w:val="00D46457"/>
    <w:rsid w:val="00D51810"/>
    <w:rsid w:val="00D86A8F"/>
    <w:rsid w:val="00D930CD"/>
    <w:rsid w:val="00D97FBB"/>
    <w:rsid w:val="00DA3001"/>
    <w:rsid w:val="00DB3A7A"/>
    <w:rsid w:val="00DB417B"/>
    <w:rsid w:val="00DC3EA2"/>
    <w:rsid w:val="00DC4DF2"/>
    <w:rsid w:val="00DD224A"/>
    <w:rsid w:val="00DD37BF"/>
    <w:rsid w:val="00DE3B57"/>
    <w:rsid w:val="00E01466"/>
    <w:rsid w:val="00E01F8B"/>
    <w:rsid w:val="00E03F24"/>
    <w:rsid w:val="00E06979"/>
    <w:rsid w:val="00E06AAD"/>
    <w:rsid w:val="00E25ADF"/>
    <w:rsid w:val="00E26410"/>
    <w:rsid w:val="00E26768"/>
    <w:rsid w:val="00E30AF8"/>
    <w:rsid w:val="00E325AA"/>
    <w:rsid w:val="00E36E1C"/>
    <w:rsid w:val="00E41D62"/>
    <w:rsid w:val="00E51B83"/>
    <w:rsid w:val="00E51E25"/>
    <w:rsid w:val="00E542AE"/>
    <w:rsid w:val="00E8379E"/>
    <w:rsid w:val="00E844B4"/>
    <w:rsid w:val="00E92F4D"/>
    <w:rsid w:val="00EA231A"/>
    <w:rsid w:val="00EA2725"/>
    <w:rsid w:val="00EA7D04"/>
    <w:rsid w:val="00EB3574"/>
    <w:rsid w:val="00EB3FD3"/>
    <w:rsid w:val="00EC173D"/>
    <w:rsid w:val="00EC173F"/>
    <w:rsid w:val="00EC4E1A"/>
    <w:rsid w:val="00EC6079"/>
    <w:rsid w:val="00ED3729"/>
    <w:rsid w:val="00ED463E"/>
    <w:rsid w:val="00EE4A5F"/>
    <w:rsid w:val="00EE4C66"/>
    <w:rsid w:val="00EE6AB6"/>
    <w:rsid w:val="00EF5CC5"/>
    <w:rsid w:val="00F02693"/>
    <w:rsid w:val="00F058D5"/>
    <w:rsid w:val="00F07A5C"/>
    <w:rsid w:val="00F127FD"/>
    <w:rsid w:val="00F15A08"/>
    <w:rsid w:val="00F17146"/>
    <w:rsid w:val="00F21D70"/>
    <w:rsid w:val="00F253A8"/>
    <w:rsid w:val="00F36208"/>
    <w:rsid w:val="00F368D8"/>
    <w:rsid w:val="00F40B1A"/>
    <w:rsid w:val="00F5126E"/>
    <w:rsid w:val="00F667C8"/>
    <w:rsid w:val="00F718E4"/>
    <w:rsid w:val="00F75C51"/>
    <w:rsid w:val="00F7610E"/>
    <w:rsid w:val="00F8044C"/>
    <w:rsid w:val="00F85CD6"/>
    <w:rsid w:val="00FA3ECB"/>
    <w:rsid w:val="00FA6E6A"/>
    <w:rsid w:val="00FB2071"/>
    <w:rsid w:val="00FB3D03"/>
    <w:rsid w:val="00FB5A1B"/>
    <w:rsid w:val="00FC095A"/>
    <w:rsid w:val="00FC1650"/>
    <w:rsid w:val="00FC6C01"/>
    <w:rsid w:val="00FC7892"/>
    <w:rsid w:val="00FD54F6"/>
    <w:rsid w:val="00FD5728"/>
    <w:rsid w:val="00FD7FC7"/>
    <w:rsid w:val="00FE6D5A"/>
    <w:rsid w:val="00FE7C02"/>
    <w:rsid w:val="00FF14A2"/>
    <w:rsid w:val="00FF3E44"/>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340"/>
      <w:outlineLvl w:val="0"/>
    </w:pPr>
    <w:rPr>
      <w:b/>
      <w:bCs/>
      <w:sz w:val="24"/>
      <w:szCs w:val="24"/>
    </w:rPr>
  </w:style>
  <w:style w:type="paragraph" w:styleId="Heading2">
    <w:name w:val="heading 2"/>
    <w:basedOn w:val="Normal"/>
    <w:link w:val="Heading2Char"/>
    <w:uiPriority w:val="1"/>
    <w:qFormat/>
    <w:pPr>
      <w:ind w:left="700"/>
      <w:jc w:val="both"/>
      <w:outlineLvl w:val="1"/>
    </w:pPr>
    <w:rPr>
      <w:b/>
      <w:bCs/>
      <w:i/>
      <w:iCs/>
      <w:sz w:val="24"/>
      <w:szCs w:val="24"/>
    </w:rPr>
  </w:style>
  <w:style w:type="paragraph" w:styleId="Heading3">
    <w:name w:val="heading 3"/>
    <w:basedOn w:val="Normal"/>
    <w:next w:val="Normal"/>
    <w:link w:val="Heading3Char"/>
    <w:uiPriority w:val="9"/>
    <w:unhideWhenUsed/>
    <w:qFormat/>
    <w:rsid w:val="00265E81"/>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B052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00" w:hanging="361"/>
      <w:jc w:val="both"/>
    </w:pPr>
  </w:style>
  <w:style w:type="paragraph" w:customStyle="1" w:styleId="TableParagraph">
    <w:name w:val="Table Paragraph"/>
    <w:basedOn w:val="Normal"/>
    <w:uiPriority w:val="1"/>
    <w:qFormat/>
    <w:pPr>
      <w:spacing w:before="23"/>
    </w:pPr>
    <w:rPr>
      <w:rFonts w:ascii="Arial MT" w:eastAsia="Arial MT" w:hAnsi="Arial MT" w:cs="Arial MT"/>
    </w:rPr>
  </w:style>
  <w:style w:type="character" w:styleId="Hyperlink">
    <w:name w:val="Hyperlink"/>
    <w:basedOn w:val="DefaultParagraphFont"/>
    <w:uiPriority w:val="99"/>
    <w:unhideWhenUsed/>
    <w:rsid w:val="00D12FAA"/>
    <w:rPr>
      <w:color w:val="0000FF"/>
      <w:u w:val="single"/>
    </w:rPr>
  </w:style>
  <w:style w:type="paragraph" w:styleId="Header">
    <w:name w:val="header"/>
    <w:basedOn w:val="Normal"/>
    <w:link w:val="HeaderChar"/>
    <w:uiPriority w:val="99"/>
    <w:unhideWhenUsed/>
    <w:rsid w:val="00F5126E"/>
    <w:pPr>
      <w:tabs>
        <w:tab w:val="center" w:pos="4680"/>
        <w:tab w:val="right" w:pos="9360"/>
      </w:tabs>
    </w:pPr>
  </w:style>
  <w:style w:type="character" w:customStyle="1" w:styleId="HeaderChar">
    <w:name w:val="Header Char"/>
    <w:basedOn w:val="DefaultParagraphFont"/>
    <w:link w:val="Header"/>
    <w:uiPriority w:val="99"/>
    <w:rsid w:val="00F5126E"/>
    <w:rPr>
      <w:rFonts w:ascii="Times New Roman" w:eastAsia="Times New Roman" w:hAnsi="Times New Roman" w:cs="Times New Roman"/>
    </w:rPr>
  </w:style>
  <w:style w:type="paragraph" w:styleId="Footer">
    <w:name w:val="footer"/>
    <w:basedOn w:val="Normal"/>
    <w:link w:val="FooterChar"/>
    <w:uiPriority w:val="99"/>
    <w:unhideWhenUsed/>
    <w:rsid w:val="00F5126E"/>
    <w:pPr>
      <w:tabs>
        <w:tab w:val="center" w:pos="4680"/>
        <w:tab w:val="right" w:pos="9360"/>
      </w:tabs>
    </w:pPr>
  </w:style>
  <w:style w:type="character" w:customStyle="1" w:styleId="FooterChar">
    <w:name w:val="Footer Char"/>
    <w:basedOn w:val="DefaultParagraphFont"/>
    <w:link w:val="Footer"/>
    <w:uiPriority w:val="99"/>
    <w:rsid w:val="00F5126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E3F2F"/>
    <w:rPr>
      <w:rFonts w:ascii="Tahoma" w:hAnsi="Tahoma" w:cs="Tahoma"/>
      <w:sz w:val="16"/>
      <w:szCs w:val="16"/>
    </w:rPr>
  </w:style>
  <w:style w:type="character" w:customStyle="1" w:styleId="BalloonTextChar">
    <w:name w:val="Balloon Text Char"/>
    <w:basedOn w:val="DefaultParagraphFont"/>
    <w:link w:val="BalloonText"/>
    <w:uiPriority w:val="99"/>
    <w:semiHidden/>
    <w:rsid w:val="00AE3F2F"/>
    <w:rPr>
      <w:rFonts w:ascii="Tahoma" w:eastAsia="Times New Roman" w:hAnsi="Tahoma" w:cs="Tahoma"/>
      <w:sz w:val="16"/>
      <w:szCs w:val="16"/>
    </w:rPr>
  </w:style>
  <w:style w:type="character" w:customStyle="1" w:styleId="Heading1Char">
    <w:name w:val="Heading 1 Char"/>
    <w:basedOn w:val="DefaultParagraphFont"/>
    <w:link w:val="Heading1"/>
    <w:uiPriority w:val="1"/>
    <w:rsid w:val="0064544D"/>
    <w:rPr>
      <w:rFonts w:ascii="Times New Roman" w:eastAsia="Times New Roman" w:hAnsi="Times New Roman" w:cs="Times New Roman"/>
      <w:b/>
      <w:bCs/>
      <w:sz w:val="24"/>
      <w:szCs w:val="24"/>
    </w:rPr>
  </w:style>
  <w:style w:type="character" w:styleId="Strong">
    <w:name w:val="Strong"/>
    <w:basedOn w:val="DefaultParagraphFont"/>
    <w:uiPriority w:val="22"/>
    <w:qFormat/>
    <w:rsid w:val="002005E6"/>
    <w:rPr>
      <w:b/>
      <w:bCs/>
    </w:rPr>
  </w:style>
  <w:style w:type="character" w:customStyle="1" w:styleId="tq0q1a">
    <w:name w:val="tq0q1a"/>
    <w:basedOn w:val="DefaultParagraphFont"/>
    <w:rsid w:val="002C4797"/>
  </w:style>
  <w:style w:type="character" w:customStyle="1" w:styleId="-hj7p">
    <w:name w:val="-hj7p"/>
    <w:basedOn w:val="DefaultParagraphFont"/>
    <w:rsid w:val="00144D56"/>
  </w:style>
  <w:style w:type="character" w:customStyle="1" w:styleId="BodyTextChar">
    <w:name w:val="Body Text Char"/>
    <w:basedOn w:val="DefaultParagraphFont"/>
    <w:link w:val="BodyText"/>
    <w:uiPriority w:val="1"/>
    <w:rsid w:val="006B3D61"/>
    <w:rPr>
      <w:rFonts w:ascii="Times New Roman" w:eastAsia="Times New Roman" w:hAnsi="Times New Roman" w:cs="Times New Roman"/>
      <w:sz w:val="24"/>
      <w:szCs w:val="24"/>
    </w:rPr>
  </w:style>
  <w:style w:type="table" w:styleId="TableGrid">
    <w:name w:val="Table Grid"/>
    <w:basedOn w:val="TableNormal"/>
    <w:uiPriority w:val="59"/>
    <w:rsid w:val="00B003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510A"/>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0509E4"/>
    <w:rPr>
      <w:i/>
      <w:iCs/>
    </w:rPr>
  </w:style>
  <w:style w:type="table" w:styleId="LightShading">
    <w:name w:val="Light Shading"/>
    <w:basedOn w:val="TableNormal"/>
    <w:uiPriority w:val="60"/>
    <w:rsid w:val="007F098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rsid w:val="00265E81"/>
    <w:rPr>
      <w:rFonts w:asciiTheme="majorHAnsi" w:eastAsiaTheme="majorEastAsia" w:hAnsiTheme="majorHAnsi" w:cstheme="majorBidi"/>
      <w:b/>
      <w:bCs/>
      <w:color w:val="4F81BD" w:themeColor="accent1"/>
    </w:rPr>
  </w:style>
  <w:style w:type="character" w:customStyle="1" w:styleId="fadeinm1hgl8">
    <w:name w:val="_fadein_m1hgl_8"/>
    <w:basedOn w:val="DefaultParagraphFont"/>
    <w:rsid w:val="002E19AD"/>
  </w:style>
  <w:style w:type="character" w:customStyle="1" w:styleId="Heading2Char">
    <w:name w:val="Heading 2 Char"/>
    <w:basedOn w:val="DefaultParagraphFont"/>
    <w:link w:val="Heading2"/>
    <w:uiPriority w:val="1"/>
    <w:rsid w:val="00664779"/>
    <w:rPr>
      <w:rFonts w:ascii="Times New Roman" w:eastAsia="Times New Roman" w:hAnsi="Times New Roman" w:cs="Times New Roman"/>
      <w:b/>
      <w:bCs/>
      <w:i/>
      <w:iCs/>
      <w:sz w:val="24"/>
      <w:szCs w:val="24"/>
    </w:rPr>
  </w:style>
  <w:style w:type="paragraph" w:customStyle="1" w:styleId="ds-markdown-paragraph">
    <w:name w:val="ds-markdown-paragraph"/>
    <w:basedOn w:val="Normal"/>
    <w:rsid w:val="003B6FC0"/>
    <w:pPr>
      <w:widowControl/>
      <w:autoSpaceDE/>
      <w:autoSpaceDN/>
      <w:spacing w:before="100" w:beforeAutospacing="1" w:after="100" w:afterAutospacing="1"/>
    </w:pPr>
    <w:rPr>
      <w:sz w:val="24"/>
      <w:szCs w:val="24"/>
    </w:rPr>
  </w:style>
  <w:style w:type="character" w:customStyle="1" w:styleId="Heading5Char">
    <w:name w:val="Heading 5 Char"/>
    <w:basedOn w:val="DefaultParagraphFont"/>
    <w:link w:val="Heading5"/>
    <w:uiPriority w:val="9"/>
    <w:semiHidden/>
    <w:rsid w:val="005B052D"/>
    <w:rPr>
      <w:rFonts w:asciiTheme="majorHAnsi" w:eastAsiaTheme="majorEastAsia" w:hAnsiTheme="majorHAnsi" w:cstheme="majorBidi"/>
      <w:color w:val="243F60" w:themeColor="accent1" w:themeShade="7F"/>
    </w:rPr>
  </w:style>
  <w:style w:type="character" w:customStyle="1" w:styleId="overflow-hidden">
    <w:name w:val="overflow-hidden"/>
    <w:basedOn w:val="DefaultParagraphFont"/>
    <w:rsid w:val="005B052D"/>
  </w:style>
  <w:style w:type="character" w:customStyle="1" w:styleId="relative">
    <w:name w:val="relative"/>
    <w:basedOn w:val="DefaultParagraphFont"/>
    <w:rsid w:val="00A15E76"/>
  </w:style>
  <w:style w:type="character" w:styleId="HTMLCode">
    <w:name w:val="HTML Code"/>
    <w:basedOn w:val="DefaultParagraphFont"/>
    <w:uiPriority w:val="99"/>
    <w:semiHidden/>
    <w:unhideWhenUsed/>
    <w:rsid w:val="00211F3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340"/>
      <w:outlineLvl w:val="0"/>
    </w:pPr>
    <w:rPr>
      <w:b/>
      <w:bCs/>
      <w:sz w:val="24"/>
      <w:szCs w:val="24"/>
    </w:rPr>
  </w:style>
  <w:style w:type="paragraph" w:styleId="Heading2">
    <w:name w:val="heading 2"/>
    <w:basedOn w:val="Normal"/>
    <w:link w:val="Heading2Char"/>
    <w:uiPriority w:val="1"/>
    <w:qFormat/>
    <w:pPr>
      <w:ind w:left="700"/>
      <w:jc w:val="both"/>
      <w:outlineLvl w:val="1"/>
    </w:pPr>
    <w:rPr>
      <w:b/>
      <w:bCs/>
      <w:i/>
      <w:iCs/>
      <w:sz w:val="24"/>
      <w:szCs w:val="24"/>
    </w:rPr>
  </w:style>
  <w:style w:type="paragraph" w:styleId="Heading3">
    <w:name w:val="heading 3"/>
    <w:basedOn w:val="Normal"/>
    <w:next w:val="Normal"/>
    <w:link w:val="Heading3Char"/>
    <w:uiPriority w:val="9"/>
    <w:unhideWhenUsed/>
    <w:qFormat/>
    <w:rsid w:val="00265E81"/>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B052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00" w:hanging="361"/>
      <w:jc w:val="both"/>
    </w:pPr>
  </w:style>
  <w:style w:type="paragraph" w:customStyle="1" w:styleId="TableParagraph">
    <w:name w:val="Table Paragraph"/>
    <w:basedOn w:val="Normal"/>
    <w:uiPriority w:val="1"/>
    <w:qFormat/>
    <w:pPr>
      <w:spacing w:before="23"/>
    </w:pPr>
    <w:rPr>
      <w:rFonts w:ascii="Arial MT" w:eastAsia="Arial MT" w:hAnsi="Arial MT" w:cs="Arial MT"/>
    </w:rPr>
  </w:style>
  <w:style w:type="character" w:styleId="Hyperlink">
    <w:name w:val="Hyperlink"/>
    <w:basedOn w:val="DefaultParagraphFont"/>
    <w:uiPriority w:val="99"/>
    <w:unhideWhenUsed/>
    <w:rsid w:val="00D12FAA"/>
    <w:rPr>
      <w:color w:val="0000FF"/>
      <w:u w:val="single"/>
    </w:rPr>
  </w:style>
  <w:style w:type="paragraph" w:styleId="Header">
    <w:name w:val="header"/>
    <w:basedOn w:val="Normal"/>
    <w:link w:val="HeaderChar"/>
    <w:uiPriority w:val="99"/>
    <w:unhideWhenUsed/>
    <w:rsid w:val="00F5126E"/>
    <w:pPr>
      <w:tabs>
        <w:tab w:val="center" w:pos="4680"/>
        <w:tab w:val="right" w:pos="9360"/>
      </w:tabs>
    </w:pPr>
  </w:style>
  <w:style w:type="character" w:customStyle="1" w:styleId="HeaderChar">
    <w:name w:val="Header Char"/>
    <w:basedOn w:val="DefaultParagraphFont"/>
    <w:link w:val="Header"/>
    <w:uiPriority w:val="99"/>
    <w:rsid w:val="00F5126E"/>
    <w:rPr>
      <w:rFonts w:ascii="Times New Roman" w:eastAsia="Times New Roman" w:hAnsi="Times New Roman" w:cs="Times New Roman"/>
    </w:rPr>
  </w:style>
  <w:style w:type="paragraph" w:styleId="Footer">
    <w:name w:val="footer"/>
    <w:basedOn w:val="Normal"/>
    <w:link w:val="FooterChar"/>
    <w:uiPriority w:val="99"/>
    <w:unhideWhenUsed/>
    <w:rsid w:val="00F5126E"/>
    <w:pPr>
      <w:tabs>
        <w:tab w:val="center" w:pos="4680"/>
        <w:tab w:val="right" w:pos="9360"/>
      </w:tabs>
    </w:pPr>
  </w:style>
  <w:style w:type="character" w:customStyle="1" w:styleId="FooterChar">
    <w:name w:val="Footer Char"/>
    <w:basedOn w:val="DefaultParagraphFont"/>
    <w:link w:val="Footer"/>
    <w:uiPriority w:val="99"/>
    <w:rsid w:val="00F5126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E3F2F"/>
    <w:rPr>
      <w:rFonts w:ascii="Tahoma" w:hAnsi="Tahoma" w:cs="Tahoma"/>
      <w:sz w:val="16"/>
      <w:szCs w:val="16"/>
    </w:rPr>
  </w:style>
  <w:style w:type="character" w:customStyle="1" w:styleId="BalloonTextChar">
    <w:name w:val="Balloon Text Char"/>
    <w:basedOn w:val="DefaultParagraphFont"/>
    <w:link w:val="BalloonText"/>
    <w:uiPriority w:val="99"/>
    <w:semiHidden/>
    <w:rsid w:val="00AE3F2F"/>
    <w:rPr>
      <w:rFonts w:ascii="Tahoma" w:eastAsia="Times New Roman" w:hAnsi="Tahoma" w:cs="Tahoma"/>
      <w:sz w:val="16"/>
      <w:szCs w:val="16"/>
    </w:rPr>
  </w:style>
  <w:style w:type="character" w:customStyle="1" w:styleId="Heading1Char">
    <w:name w:val="Heading 1 Char"/>
    <w:basedOn w:val="DefaultParagraphFont"/>
    <w:link w:val="Heading1"/>
    <w:uiPriority w:val="1"/>
    <w:rsid w:val="0064544D"/>
    <w:rPr>
      <w:rFonts w:ascii="Times New Roman" w:eastAsia="Times New Roman" w:hAnsi="Times New Roman" w:cs="Times New Roman"/>
      <w:b/>
      <w:bCs/>
      <w:sz w:val="24"/>
      <w:szCs w:val="24"/>
    </w:rPr>
  </w:style>
  <w:style w:type="character" w:styleId="Strong">
    <w:name w:val="Strong"/>
    <w:basedOn w:val="DefaultParagraphFont"/>
    <w:uiPriority w:val="22"/>
    <w:qFormat/>
    <w:rsid w:val="002005E6"/>
    <w:rPr>
      <w:b/>
      <w:bCs/>
    </w:rPr>
  </w:style>
  <w:style w:type="character" w:customStyle="1" w:styleId="tq0q1a">
    <w:name w:val="tq0q1a"/>
    <w:basedOn w:val="DefaultParagraphFont"/>
    <w:rsid w:val="002C4797"/>
  </w:style>
  <w:style w:type="character" w:customStyle="1" w:styleId="-hj7p">
    <w:name w:val="-hj7p"/>
    <w:basedOn w:val="DefaultParagraphFont"/>
    <w:rsid w:val="00144D56"/>
  </w:style>
  <w:style w:type="character" w:customStyle="1" w:styleId="BodyTextChar">
    <w:name w:val="Body Text Char"/>
    <w:basedOn w:val="DefaultParagraphFont"/>
    <w:link w:val="BodyText"/>
    <w:uiPriority w:val="1"/>
    <w:rsid w:val="006B3D61"/>
    <w:rPr>
      <w:rFonts w:ascii="Times New Roman" w:eastAsia="Times New Roman" w:hAnsi="Times New Roman" w:cs="Times New Roman"/>
      <w:sz w:val="24"/>
      <w:szCs w:val="24"/>
    </w:rPr>
  </w:style>
  <w:style w:type="table" w:styleId="TableGrid">
    <w:name w:val="Table Grid"/>
    <w:basedOn w:val="TableNormal"/>
    <w:uiPriority w:val="59"/>
    <w:rsid w:val="00B003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510A"/>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0509E4"/>
    <w:rPr>
      <w:i/>
      <w:iCs/>
    </w:rPr>
  </w:style>
  <w:style w:type="table" w:styleId="LightShading">
    <w:name w:val="Light Shading"/>
    <w:basedOn w:val="TableNormal"/>
    <w:uiPriority w:val="60"/>
    <w:rsid w:val="007F098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rsid w:val="00265E81"/>
    <w:rPr>
      <w:rFonts w:asciiTheme="majorHAnsi" w:eastAsiaTheme="majorEastAsia" w:hAnsiTheme="majorHAnsi" w:cstheme="majorBidi"/>
      <w:b/>
      <w:bCs/>
      <w:color w:val="4F81BD" w:themeColor="accent1"/>
    </w:rPr>
  </w:style>
  <w:style w:type="character" w:customStyle="1" w:styleId="fadeinm1hgl8">
    <w:name w:val="_fadein_m1hgl_8"/>
    <w:basedOn w:val="DefaultParagraphFont"/>
    <w:rsid w:val="002E19AD"/>
  </w:style>
  <w:style w:type="character" w:customStyle="1" w:styleId="Heading2Char">
    <w:name w:val="Heading 2 Char"/>
    <w:basedOn w:val="DefaultParagraphFont"/>
    <w:link w:val="Heading2"/>
    <w:uiPriority w:val="1"/>
    <w:rsid w:val="00664779"/>
    <w:rPr>
      <w:rFonts w:ascii="Times New Roman" w:eastAsia="Times New Roman" w:hAnsi="Times New Roman" w:cs="Times New Roman"/>
      <w:b/>
      <w:bCs/>
      <w:i/>
      <w:iCs/>
      <w:sz w:val="24"/>
      <w:szCs w:val="24"/>
    </w:rPr>
  </w:style>
  <w:style w:type="paragraph" w:customStyle="1" w:styleId="ds-markdown-paragraph">
    <w:name w:val="ds-markdown-paragraph"/>
    <w:basedOn w:val="Normal"/>
    <w:rsid w:val="003B6FC0"/>
    <w:pPr>
      <w:widowControl/>
      <w:autoSpaceDE/>
      <w:autoSpaceDN/>
      <w:spacing w:before="100" w:beforeAutospacing="1" w:after="100" w:afterAutospacing="1"/>
    </w:pPr>
    <w:rPr>
      <w:sz w:val="24"/>
      <w:szCs w:val="24"/>
    </w:rPr>
  </w:style>
  <w:style w:type="character" w:customStyle="1" w:styleId="Heading5Char">
    <w:name w:val="Heading 5 Char"/>
    <w:basedOn w:val="DefaultParagraphFont"/>
    <w:link w:val="Heading5"/>
    <w:uiPriority w:val="9"/>
    <w:semiHidden/>
    <w:rsid w:val="005B052D"/>
    <w:rPr>
      <w:rFonts w:asciiTheme="majorHAnsi" w:eastAsiaTheme="majorEastAsia" w:hAnsiTheme="majorHAnsi" w:cstheme="majorBidi"/>
      <w:color w:val="243F60" w:themeColor="accent1" w:themeShade="7F"/>
    </w:rPr>
  </w:style>
  <w:style w:type="character" w:customStyle="1" w:styleId="overflow-hidden">
    <w:name w:val="overflow-hidden"/>
    <w:basedOn w:val="DefaultParagraphFont"/>
    <w:rsid w:val="005B052D"/>
  </w:style>
  <w:style w:type="character" w:customStyle="1" w:styleId="relative">
    <w:name w:val="relative"/>
    <w:basedOn w:val="DefaultParagraphFont"/>
    <w:rsid w:val="00A15E76"/>
  </w:style>
  <w:style w:type="character" w:styleId="HTMLCode">
    <w:name w:val="HTML Code"/>
    <w:basedOn w:val="DefaultParagraphFont"/>
    <w:uiPriority w:val="99"/>
    <w:semiHidden/>
    <w:unhideWhenUsed/>
    <w:rsid w:val="00211F3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296">
      <w:bodyDiv w:val="1"/>
      <w:marLeft w:val="0"/>
      <w:marRight w:val="0"/>
      <w:marTop w:val="0"/>
      <w:marBottom w:val="0"/>
      <w:divBdr>
        <w:top w:val="none" w:sz="0" w:space="0" w:color="auto"/>
        <w:left w:val="none" w:sz="0" w:space="0" w:color="auto"/>
        <w:bottom w:val="none" w:sz="0" w:space="0" w:color="auto"/>
        <w:right w:val="none" w:sz="0" w:space="0" w:color="auto"/>
      </w:divBdr>
    </w:div>
    <w:div w:id="5134629">
      <w:bodyDiv w:val="1"/>
      <w:marLeft w:val="0"/>
      <w:marRight w:val="0"/>
      <w:marTop w:val="0"/>
      <w:marBottom w:val="0"/>
      <w:divBdr>
        <w:top w:val="none" w:sz="0" w:space="0" w:color="auto"/>
        <w:left w:val="none" w:sz="0" w:space="0" w:color="auto"/>
        <w:bottom w:val="none" w:sz="0" w:space="0" w:color="auto"/>
        <w:right w:val="none" w:sz="0" w:space="0" w:color="auto"/>
      </w:divBdr>
    </w:div>
    <w:div w:id="9573803">
      <w:bodyDiv w:val="1"/>
      <w:marLeft w:val="0"/>
      <w:marRight w:val="0"/>
      <w:marTop w:val="0"/>
      <w:marBottom w:val="0"/>
      <w:divBdr>
        <w:top w:val="none" w:sz="0" w:space="0" w:color="auto"/>
        <w:left w:val="none" w:sz="0" w:space="0" w:color="auto"/>
        <w:bottom w:val="none" w:sz="0" w:space="0" w:color="auto"/>
        <w:right w:val="none" w:sz="0" w:space="0" w:color="auto"/>
      </w:divBdr>
    </w:div>
    <w:div w:id="13656932">
      <w:bodyDiv w:val="1"/>
      <w:marLeft w:val="0"/>
      <w:marRight w:val="0"/>
      <w:marTop w:val="0"/>
      <w:marBottom w:val="0"/>
      <w:divBdr>
        <w:top w:val="none" w:sz="0" w:space="0" w:color="auto"/>
        <w:left w:val="none" w:sz="0" w:space="0" w:color="auto"/>
        <w:bottom w:val="none" w:sz="0" w:space="0" w:color="auto"/>
        <w:right w:val="none" w:sz="0" w:space="0" w:color="auto"/>
      </w:divBdr>
    </w:div>
    <w:div w:id="15079741">
      <w:bodyDiv w:val="1"/>
      <w:marLeft w:val="0"/>
      <w:marRight w:val="0"/>
      <w:marTop w:val="0"/>
      <w:marBottom w:val="0"/>
      <w:divBdr>
        <w:top w:val="none" w:sz="0" w:space="0" w:color="auto"/>
        <w:left w:val="none" w:sz="0" w:space="0" w:color="auto"/>
        <w:bottom w:val="none" w:sz="0" w:space="0" w:color="auto"/>
        <w:right w:val="none" w:sz="0" w:space="0" w:color="auto"/>
      </w:divBdr>
      <w:divsChild>
        <w:div w:id="1213465303">
          <w:marLeft w:val="0"/>
          <w:marRight w:val="0"/>
          <w:marTop w:val="0"/>
          <w:marBottom w:val="0"/>
          <w:divBdr>
            <w:top w:val="none" w:sz="0" w:space="0" w:color="auto"/>
            <w:left w:val="none" w:sz="0" w:space="0" w:color="auto"/>
            <w:bottom w:val="none" w:sz="0" w:space="0" w:color="auto"/>
            <w:right w:val="none" w:sz="0" w:space="0" w:color="auto"/>
          </w:divBdr>
        </w:div>
      </w:divsChild>
    </w:div>
    <w:div w:id="22292964">
      <w:bodyDiv w:val="1"/>
      <w:marLeft w:val="0"/>
      <w:marRight w:val="0"/>
      <w:marTop w:val="0"/>
      <w:marBottom w:val="0"/>
      <w:divBdr>
        <w:top w:val="none" w:sz="0" w:space="0" w:color="auto"/>
        <w:left w:val="none" w:sz="0" w:space="0" w:color="auto"/>
        <w:bottom w:val="none" w:sz="0" w:space="0" w:color="auto"/>
        <w:right w:val="none" w:sz="0" w:space="0" w:color="auto"/>
      </w:divBdr>
    </w:div>
    <w:div w:id="22831835">
      <w:bodyDiv w:val="1"/>
      <w:marLeft w:val="0"/>
      <w:marRight w:val="0"/>
      <w:marTop w:val="0"/>
      <w:marBottom w:val="0"/>
      <w:divBdr>
        <w:top w:val="none" w:sz="0" w:space="0" w:color="auto"/>
        <w:left w:val="none" w:sz="0" w:space="0" w:color="auto"/>
        <w:bottom w:val="none" w:sz="0" w:space="0" w:color="auto"/>
        <w:right w:val="none" w:sz="0" w:space="0" w:color="auto"/>
      </w:divBdr>
    </w:div>
    <w:div w:id="46532940">
      <w:bodyDiv w:val="1"/>
      <w:marLeft w:val="0"/>
      <w:marRight w:val="0"/>
      <w:marTop w:val="0"/>
      <w:marBottom w:val="0"/>
      <w:divBdr>
        <w:top w:val="none" w:sz="0" w:space="0" w:color="auto"/>
        <w:left w:val="none" w:sz="0" w:space="0" w:color="auto"/>
        <w:bottom w:val="none" w:sz="0" w:space="0" w:color="auto"/>
        <w:right w:val="none" w:sz="0" w:space="0" w:color="auto"/>
      </w:divBdr>
    </w:div>
    <w:div w:id="53359099">
      <w:bodyDiv w:val="1"/>
      <w:marLeft w:val="0"/>
      <w:marRight w:val="0"/>
      <w:marTop w:val="0"/>
      <w:marBottom w:val="0"/>
      <w:divBdr>
        <w:top w:val="none" w:sz="0" w:space="0" w:color="auto"/>
        <w:left w:val="none" w:sz="0" w:space="0" w:color="auto"/>
        <w:bottom w:val="none" w:sz="0" w:space="0" w:color="auto"/>
        <w:right w:val="none" w:sz="0" w:space="0" w:color="auto"/>
      </w:divBdr>
    </w:div>
    <w:div w:id="53821191">
      <w:bodyDiv w:val="1"/>
      <w:marLeft w:val="0"/>
      <w:marRight w:val="0"/>
      <w:marTop w:val="0"/>
      <w:marBottom w:val="0"/>
      <w:divBdr>
        <w:top w:val="none" w:sz="0" w:space="0" w:color="auto"/>
        <w:left w:val="none" w:sz="0" w:space="0" w:color="auto"/>
        <w:bottom w:val="none" w:sz="0" w:space="0" w:color="auto"/>
        <w:right w:val="none" w:sz="0" w:space="0" w:color="auto"/>
      </w:divBdr>
    </w:div>
    <w:div w:id="81998865">
      <w:bodyDiv w:val="1"/>
      <w:marLeft w:val="0"/>
      <w:marRight w:val="0"/>
      <w:marTop w:val="0"/>
      <w:marBottom w:val="0"/>
      <w:divBdr>
        <w:top w:val="none" w:sz="0" w:space="0" w:color="auto"/>
        <w:left w:val="none" w:sz="0" w:space="0" w:color="auto"/>
        <w:bottom w:val="none" w:sz="0" w:space="0" w:color="auto"/>
        <w:right w:val="none" w:sz="0" w:space="0" w:color="auto"/>
      </w:divBdr>
    </w:div>
    <w:div w:id="90207340">
      <w:bodyDiv w:val="1"/>
      <w:marLeft w:val="0"/>
      <w:marRight w:val="0"/>
      <w:marTop w:val="0"/>
      <w:marBottom w:val="0"/>
      <w:divBdr>
        <w:top w:val="none" w:sz="0" w:space="0" w:color="auto"/>
        <w:left w:val="none" w:sz="0" w:space="0" w:color="auto"/>
        <w:bottom w:val="none" w:sz="0" w:space="0" w:color="auto"/>
        <w:right w:val="none" w:sz="0" w:space="0" w:color="auto"/>
      </w:divBdr>
    </w:div>
    <w:div w:id="116224323">
      <w:bodyDiv w:val="1"/>
      <w:marLeft w:val="0"/>
      <w:marRight w:val="0"/>
      <w:marTop w:val="0"/>
      <w:marBottom w:val="0"/>
      <w:divBdr>
        <w:top w:val="none" w:sz="0" w:space="0" w:color="auto"/>
        <w:left w:val="none" w:sz="0" w:space="0" w:color="auto"/>
        <w:bottom w:val="none" w:sz="0" w:space="0" w:color="auto"/>
        <w:right w:val="none" w:sz="0" w:space="0" w:color="auto"/>
      </w:divBdr>
    </w:div>
    <w:div w:id="130875598">
      <w:bodyDiv w:val="1"/>
      <w:marLeft w:val="0"/>
      <w:marRight w:val="0"/>
      <w:marTop w:val="0"/>
      <w:marBottom w:val="0"/>
      <w:divBdr>
        <w:top w:val="none" w:sz="0" w:space="0" w:color="auto"/>
        <w:left w:val="none" w:sz="0" w:space="0" w:color="auto"/>
        <w:bottom w:val="none" w:sz="0" w:space="0" w:color="auto"/>
        <w:right w:val="none" w:sz="0" w:space="0" w:color="auto"/>
      </w:divBdr>
    </w:div>
    <w:div w:id="154154688">
      <w:bodyDiv w:val="1"/>
      <w:marLeft w:val="0"/>
      <w:marRight w:val="0"/>
      <w:marTop w:val="0"/>
      <w:marBottom w:val="0"/>
      <w:divBdr>
        <w:top w:val="none" w:sz="0" w:space="0" w:color="auto"/>
        <w:left w:val="none" w:sz="0" w:space="0" w:color="auto"/>
        <w:bottom w:val="none" w:sz="0" w:space="0" w:color="auto"/>
        <w:right w:val="none" w:sz="0" w:space="0" w:color="auto"/>
      </w:divBdr>
    </w:div>
    <w:div w:id="166947377">
      <w:bodyDiv w:val="1"/>
      <w:marLeft w:val="0"/>
      <w:marRight w:val="0"/>
      <w:marTop w:val="0"/>
      <w:marBottom w:val="0"/>
      <w:divBdr>
        <w:top w:val="none" w:sz="0" w:space="0" w:color="auto"/>
        <w:left w:val="none" w:sz="0" w:space="0" w:color="auto"/>
        <w:bottom w:val="none" w:sz="0" w:space="0" w:color="auto"/>
        <w:right w:val="none" w:sz="0" w:space="0" w:color="auto"/>
      </w:divBdr>
    </w:div>
    <w:div w:id="168912943">
      <w:bodyDiv w:val="1"/>
      <w:marLeft w:val="0"/>
      <w:marRight w:val="0"/>
      <w:marTop w:val="0"/>
      <w:marBottom w:val="0"/>
      <w:divBdr>
        <w:top w:val="none" w:sz="0" w:space="0" w:color="auto"/>
        <w:left w:val="none" w:sz="0" w:space="0" w:color="auto"/>
        <w:bottom w:val="none" w:sz="0" w:space="0" w:color="auto"/>
        <w:right w:val="none" w:sz="0" w:space="0" w:color="auto"/>
      </w:divBdr>
    </w:div>
    <w:div w:id="179127447">
      <w:bodyDiv w:val="1"/>
      <w:marLeft w:val="0"/>
      <w:marRight w:val="0"/>
      <w:marTop w:val="0"/>
      <w:marBottom w:val="0"/>
      <w:divBdr>
        <w:top w:val="none" w:sz="0" w:space="0" w:color="auto"/>
        <w:left w:val="none" w:sz="0" w:space="0" w:color="auto"/>
        <w:bottom w:val="none" w:sz="0" w:space="0" w:color="auto"/>
        <w:right w:val="none" w:sz="0" w:space="0" w:color="auto"/>
      </w:divBdr>
    </w:div>
    <w:div w:id="186718164">
      <w:bodyDiv w:val="1"/>
      <w:marLeft w:val="0"/>
      <w:marRight w:val="0"/>
      <w:marTop w:val="0"/>
      <w:marBottom w:val="0"/>
      <w:divBdr>
        <w:top w:val="none" w:sz="0" w:space="0" w:color="auto"/>
        <w:left w:val="none" w:sz="0" w:space="0" w:color="auto"/>
        <w:bottom w:val="none" w:sz="0" w:space="0" w:color="auto"/>
        <w:right w:val="none" w:sz="0" w:space="0" w:color="auto"/>
      </w:divBdr>
    </w:div>
    <w:div w:id="192809692">
      <w:bodyDiv w:val="1"/>
      <w:marLeft w:val="0"/>
      <w:marRight w:val="0"/>
      <w:marTop w:val="0"/>
      <w:marBottom w:val="0"/>
      <w:divBdr>
        <w:top w:val="none" w:sz="0" w:space="0" w:color="auto"/>
        <w:left w:val="none" w:sz="0" w:space="0" w:color="auto"/>
        <w:bottom w:val="none" w:sz="0" w:space="0" w:color="auto"/>
        <w:right w:val="none" w:sz="0" w:space="0" w:color="auto"/>
      </w:divBdr>
    </w:div>
    <w:div w:id="199587908">
      <w:bodyDiv w:val="1"/>
      <w:marLeft w:val="0"/>
      <w:marRight w:val="0"/>
      <w:marTop w:val="0"/>
      <w:marBottom w:val="0"/>
      <w:divBdr>
        <w:top w:val="none" w:sz="0" w:space="0" w:color="auto"/>
        <w:left w:val="none" w:sz="0" w:space="0" w:color="auto"/>
        <w:bottom w:val="none" w:sz="0" w:space="0" w:color="auto"/>
        <w:right w:val="none" w:sz="0" w:space="0" w:color="auto"/>
      </w:divBdr>
    </w:div>
    <w:div w:id="206332082">
      <w:bodyDiv w:val="1"/>
      <w:marLeft w:val="0"/>
      <w:marRight w:val="0"/>
      <w:marTop w:val="0"/>
      <w:marBottom w:val="0"/>
      <w:divBdr>
        <w:top w:val="none" w:sz="0" w:space="0" w:color="auto"/>
        <w:left w:val="none" w:sz="0" w:space="0" w:color="auto"/>
        <w:bottom w:val="none" w:sz="0" w:space="0" w:color="auto"/>
        <w:right w:val="none" w:sz="0" w:space="0" w:color="auto"/>
      </w:divBdr>
    </w:div>
    <w:div w:id="209076653">
      <w:bodyDiv w:val="1"/>
      <w:marLeft w:val="0"/>
      <w:marRight w:val="0"/>
      <w:marTop w:val="0"/>
      <w:marBottom w:val="0"/>
      <w:divBdr>
        <w:top w:val="none" w:sz="0" w:space="0" w:color="auto"/>
        <w:left w:val="none" w:sz="0" w:space="0" w:color="auto"/>
        <w:bottom w:val="none" w:sz="0" w:space="0" w:color="auto"/>
        <w:right w:val="none" w:sz="0" w:space="0" w:color="auto"/>
      </w:divBdr>
      <w:divsChild>
        <w:div w:id="1751416551">
          <w:marLeft w:val="0"/>
          <w:marRight w:val="0"/>
          <w:marTop w:val="0"/>
          <w:marBottom w:val="0"/>
          <w:divBdr>
            <w:top w:val="none" w:sz="0" w:space="0" w:color="auto"/>
            <w:left w:val="none" w:sz="0" w:space="0" w:color="auto"/>
            <w:bottom w:val="none" w:sz="0" w:space="0" w:color="auto"/>
            <w:right w:val="none" w:sz="0" w:space="0" w:color="auto"/>
          </w:divBdr>
          <w:divsChild>
            <w:div w:id="13717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2111">
      <w:bodyDiv w:val="1"/>
      <w:marLeft w:val="0"/>
      <w:marRight w:val="0"/>
      <w:marTop w:val="0"/>
      <w:marBottom w:val="0"/>
      <w:divBdr>
        <w:top w:val="none" w:sz="0" w:space="0" w:color="auto"/>
        <w:left w:val="none" w:sz="0" w:space="0" w:color="auto"/>
        <w:bottom w:val="none" w:sz="0" w:space="0" w:color="auto"/>
        <w:right w:val="none" w:sz="0" w:space="0" w:color="auto"/>
      </w:divBdr>
      <w:divsChild>
        <w:div w:id="1330060279">
          <w:marLeft w:val="0"/>
          <w:marRight w:val="0"/>
          <w:marTop w:val="0"/>
          <w:marBottom w:val="0"/>
          <w:divBdr>
            <w:top w:val="none" w:sz="0" w:space="0" w:color="auto"/>
            <w:left w:val="none" w:sz="0" w:space="0" w:color="auto"/>
            <w:bottom w:val="none" w:sz="0" w:space="0" w:color="auto"/>
            <w:right w:val="none" w:sz="0" w:space="0" w:color="auto"/>
          </w:divBdr>
        </w:div>
      </w:divsChild>
    </w:div>
    <w:div w:id="240067503">
      <w:bodyDiv w:val="1"/>
      <w:marLeft w:val="0"/>
      <w:marRight w:val="0"/>
      <w:marTop w:val="0"/>
      <w:marBottom w:val="0"/>
      <w:divBdr>
        <w:top w:val="none" w:sz="0" w:space="0" w:color="auto"/>
        <w:left w:val="none" w:sz="0" w:space="0" w:color="auto"/>
        <w:bottom w:val="none" w:sz="0" w:space="0" w:color="auto"/>
        <w:right w:val="none" w:sz="0" w:space="0" w:color="auto"/>
      </w:divBdr>
    </w:div>
    <w:div w:id="256714696">
      <w:bodyDiv w:val="1"/>
      <w:marLeft w:val="0"/>
      <w:marRight w:val="0"/>
      <w:marTop w:val="0"/>
      <w:marBottom w:val="0"/>
      <w:divBdr>
        <w:top w:val="none" w:sz="0" w:space="0" w:color="auto"/>
        <w:left w:val="none" w:sz="0" w:space="0" w:color="auto"/>
        <w:bottom w:val="none" w:sz="0" w:space="0" w:color="auto"/>
        <w:right w:val="none" w:sz="0" w:space="0" w:color="auto"/>
      </w:divBdr>
    </w:div>
    <w:div w:id="258565956">
      <w:bodyDiv w:val="1"/>
      <w:marLeft w:val="0"/>
      <w:marRight w:val="0"/>
      <w:marTop w:val="0"/>
      <w:marBottom w:val="0"/>
      <w:divBdr>
        <w:top w:val="none" w:sz="0" w:space="0" w:color="auto"/>
        <w:left w:val="none" w:sz="0" w:space="0" w:color="auto"/>
        <w:bottom w:val="none" w:sz="0" w:space="0" w:color="auto"/>
        <w:right w:val="none" w:sz="0" w:space="0" w:color="auto"/>
      </w:divBdr>
    </w:div>
    <w:div w:id="262999541">
      <w:bodyDiv w:val="1"/>
      <w:marLeft w:val="0"/>
      <w:marRight w:val="0"/>
      <w:marTop w:val="0"/>
      <w:marBottom w:val="0"/>
      <w:divBdr>
        <w:top w:val="none" w:sz="0" w:space="0" w:color="auto"/>
        <w:left w:val="none" w:sz="0" w:space="0" w:color="auto"/>
        <w:bottom w:val="none" w:sz="0" w:space="0" w:color="auto"/>
        <w:right w:val="none" w:sz="0" w:space="0" w:color="auto"/>
      </w:divBdr>
      <w:divsChild>
        <w:div w:id="1155027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3735440">
      <w:bodyDiv w:val="1"/>
      <w:marLeft w:val="0"/>
      <w:marRight w:val="0"/>
      <w:marTop w:val="0"/>
      <w:marBottom w:val="0"/>
      <w:divBdr>
        <w:top w:val="none" w:sz="0" w:space="0" w:color="auto"/>
        <w:left w:val="none" w:sz="0" w:space="0" w:color="auto"/>
        <w:bottom w:val="none" w:sz="0" w:space="0" w:color="auto"/>
        <w:right w:val="none" w:sz="0" w:space="0" w:color="auto"/>
      </w:divBdr>
    </w:div>
    <w:div w:id="286010894">
      <w:bodyDiv w:val="1"/>
      <w:marLeft w:val="0"/>
      <w:marRight w:val="0"/>
      <w:marTop w:val="0"/>
      <w:marBottom w:val="0"/>
      <w:divBdr>
        <w:top w:val="none" w:sz="0" w:space="0" w:color="auto"/>
        <w:left w:val="none" w:sz="0" w:space="0" w:color="auto"/>
        <w:bottom w:val="none" w:sz="0" w:space="0" w:color="auto"/>
        <w:right w:val="none" w:sz="0" w:space="0" w:color="auto"/>
      </w:divBdr>
    </w:div>
    <w:div w:id="297296659">
      <w:bodyDiv w:val="1"/>
      <w:marLeft w:val="0"/>
      <w:marRight w:val="0"/>
      <w:marTop w:val="0"/>
      <w:marBottom w:val="0"/>
      <w:divBdr>
        <w:top w:val="none" w:sz="0" w:space="0" w:color="auto"/>
        <w:left w:val="none" w:sz="0" w:space="0" w:color="auto"/>
        <w:bottom w:val="none" w:sz="0" w:space="0" w:color="auto"/>
        <w:right w:val="none" w:sz="0" w:space="0" w:color="auto"/>
      </w:divBdr>
    </w:div>
    <w:div w:id="309677012">
      <w:bodyDiv w:val="1"/>
      <w:marLeft w:val="0"/>
      <w:marRight w:val="0"/>
      <w:marTop w:val="0"/>
      <w:marBottom w:val="0"/>
      <w:divBdr>
        <w:top w:val="none" w:sz="0" w:space="0" w:color="auto"/>
        <w:left w:val="none" w:sz="0" w:space="0" w:color="auto"/>
        <w:bottom w:val="none" w:sz="0" w:space="0" w:color="auto"/>
        <w:right w:val="none" w:sz="0" w:space="0" w:color="auto"/>
      </w:divBdr>
    </w:div>
    <w:div w:id="310445117">
      <w:bodyDiv w:val="1"/>
      <w:marLeft w:val="0"/>
      <w:marRight w:val="0"/>
      <w:marTop w:val="0"/>
      <w:marBottom w:val="0"/>
      <w:divBdr>
        <w:top w:val="none" w:sz="0" w:space="0" w:color="auto"/>
        <w:left w:val="none" w:sz="0" w:space="0" w:color="auto"/>
        <w:bottom w:val="none" w:sz="0" w:space="0" w:color="auto"/>
        <w:right w:val="none" w:sz="0" w:space="0" w:color="auto"/>
      </w:divBdr>
    </w:div>
    <w:div w:id="310866412">
      <w:bodyDiv w:val="1"/>
      <w:marLeft w:val="0"/>
      <w:marRight w:val="0"/>
      <w:marTop w:val="0"/>
      <w:marBottom w:val="0"/>
      <w:divBdr>
        <w:top w:val="none" w:sz="0" w:space="0" w:color="auto"/>
        <w:left w:val="none" w:sz="0" w:space="0" w:color="auto"/>
        <w:bottom w:val="none" w:sz="0" w:space="0" w:color="auto"/>
        <w:right w:val="none" w:sz="0" w:space="0" w:color="auto"/>
      </w:divBdr>
    </w:div>
    <w:div w:id="321544887">
      <w:bodyDiv w:val="1"/>
      <w:marLeft w:val="0"/>
      <w:marRight w:val="0"/>
      <w:marTop w:val="0"/>
      <w:marBottom w:val="0"/>
      <w:divBdr>
        <w:top w:val="none" w:sz="0" w:space="0" w:color="auto"/>
        <w:left w:val="none" w:sz="0" w:space="0" w:color="auto"/>
        <w:bottom w:val="none" w:sz="0" w:space="0" w:color="auto"/>
        <w:right w:val="none" w:sz="0" w:space="0" w:color="auto"/>
      </w:divBdr>
    </w:div>
    <w:div w:id="334307344">
      <w:bodyDiv w:val="1"/>
      <w:marLeft w:val="0"/>
      <w:marRight w:val="0"/>
      <w:marTop w:val="0"/>
      <w:marBottom w:val="0"/>
      <w:divBdr>
        <w:top w:val="none" w:sz="0" w:space="0" w:color="auto"/>
        <w:left w:val="none" w:sz="0" w:space="0" w:color="auto"/>
        <w:bottom w:val="none" w:sz="0" w:space="0" w:color="auto"/>
        <w:right w:val="none" w:sz="0" w:space="0" w:color="auto"/>
      </w:divBdr>
    </w:div>
    <w:div w:id="343752923">
      <w:bodyDiv w:val="1"/>
      <w:marLeft w:val="0"/>
      <w:marRight w:val="0"/>
      <w:marTop w:val="0"/>
      <w:marBottom w:val="0"/>
      <w:divBdr>
        <w:top w:val="none" w:sz="0" w:space="0" w:color="auto"/>
        <w:left w:val="none" w:sz="0" w:space="0" w:color="auto"/>
        <w:bottom w:val="none" w:sz="0" w:space="0" w:color="auto"/>
        <w:right w:val="none" w:sz="0" w:space="0" w:color="auto"/>
      </w:divBdr>
    </w:div>
    <w:div w:id="347873522">
      <w:bodyDiv w:val="1"/>
      <w:marLeft w:val="0"/>
      <w:marRight w:val="0"/>
      <w:marTop w:val="0"/>
      <w:marBottom w:val="0"/>
      <w:divBdr>
        <w:top w:val="none" w:sz="0" w:space="0" w:color="auto"/>
        <w:left w:val="none" w:sz="0" w:space="0" w:color="auto"/>
        <w:bottom w:val="none" w:sz="0" w:space="0" w:color="auto"/>
        <w:right w:val="none" w:sz="0" w:space="0" w:color="auto"/>
      </w:divBdr>
    </w:div>
    <w:div w:id="351343396">
      <w:bodyDiv w:val="1"/>
      <w:marLeft w:val="0"/>
      <w:marRight w:val="0"/>
      <w:marTop w:val="0"/>
      <w:marBottom w:val="0"/>
      <w:divBdr>
        <w:top w:val="none" w:sz="0" w:space="0" w:color="auto"/>
        <w:left w:val="none" w:sz="0" w:space="0" w:color="auto"/>
        <w:bottom w:val="none" w:sz="0" w:space="0" w:color="auto"/>
        <w:right w:val="none" w:sz="0" w:space="0" w:color="auto"/>
      </w:divBdr>
    </w:div>
    <w:div w:id="359672819">
      <w:bodyDiv w:val="1"/>
      <w:marLeft w:val="0"/>
      <w:marRight w:val="0"/>
      <w:marTop w:val="0"/>
      <w:marBottom w:val="0"/>
      <w:divBdr>
        <w:top w:val="none" w:sz="0" w:space="0" w:color="auto"/>
        <w:left w:val="none" w:sz="0" w:space="0" w:color="auto"/>
        <w:bottom w:val="none" w:sz="0" w:space="0" w:color="auto"/>
        <w:right w:val="none" w:sz="0" w:space="0" w:color="auto"/>
      </w:divBdr>
    </w:div>
    <w:div w:id="379591683">
      <w:bodyDiv w:val="1"/>
      <w:marLeft w:val="0"/>
      <w:marRight w:val="0"/>
      <w:marTop w:val="0"/>
      <w:marBottom w:val="0"/>
      <w:divBdr>
        <w:top w:val="none" w:sz="0" w:space="0" w:color="auto"/>
        <w:left w:val="none" w:sz="0" w:space="0" w:color="auto"/>
        <w:bottom w:val="none" w:sz="0" w:space="0" w:color="auto"/>
        <w:right w:val="none" w:sz="0" w:space="0" w:color="auto"/>
      </w:divBdr>
    </w:div>
    <w:div w:id="407776945">
      <w:bodyDiv w:val="1"/>
      <w:marLeft w:val="0"/>
      <w:marRight w:val="0"/>
      <w:marTop w:val="0"/>
      <w:marBottom w:val="0"/>
      <w:divBdr>
        <w:top w:val="none" w:sz="0" w:space="0" w:color="auto"/>
        <w:left w:val="none" w:sz="0" w:space="0" w:color="auto"/>
        <w:bottom w:val="none" w:sz="0" w:space="0" w:color="auto"/>
        <w:right w:val="none" w:sz="0" w:space="0" w:color="auto"/>
      </w:divBdr>
    </w:div>
    <w:div w:id="423959230">
      <w:bodyDiv w:val="1"/>
      <w:marLeft w:val="0"/>
      <w:marRight w:val="0"/>
      <w:marTop w:val="0"/>
      <w:marBottom w:val="0"/>
      <w:divBdr>
        <w:top w:val="none" w:sz="0" w:space="0" w:color="auto"/>
        <w:left w:val="none" w:sz="0" w:space="0" w:color="auto"/>
        <w:bottom w:val="none" w:sz="0" w:space="0" w:color="auto"/>
        <w:right w:val="none" w:sz="0" w:space="0" w:color="auto"/>
      </w:divBdr>
    </w:div>
    <w:div w:id="475414158">
      <w:bodyDiv w:val="1"/>
      <w:marLeft w:val="0"/>
      <w:marRight w:val="0"/>
      <w:marTop w:val="0"/>
      <w:marBottom w:val="0"/>
      <w:divBdr>
        <w:top w:val="none" w:sz="0" w:space="0" w:color="auto"/>
        <w:left w:val="none" w:sz="0" w:space="0" w:color="auto"/>
        <w:bottom w:val="none" w:sz="0" w:space="0" w:color="auto"/>
        <w:right w:val="none" w:sz="0" w:space="0" w:color="auto"/>
      </w:divBdr>
    </w:div>
    <w:div w:id="490877595">
      <w:bodyDiv w:val="1"/>
      <w:marLeft w:val="0"/>
      <w:marRight w:val="0"/>
      <w:marTop w:val="0"/>
      <w:marBottom w:val="0"/>
      <w:divBdr>
        <w:top w:val="none" w:sz="0" w:space="0" w:color="auto"/>
        <w:left w:val="none" w:sz="0" w:space="0" w:color="auto"/>
        <w:bottom w:val="none" w:sz="0" w:space="0" w:color="auto"/>
        <w:right w:val="none" w:sz="0" w:space="0" w:color="auto"/>
      </w:divBdr>
    </w:div>
    <w:div w:id="503321210">
      <w:bodyDiv w:val="1"/>
      <w:marLeft w:val="0"/>
      <w:marRight w:val="0"/>
      <w:marTop w:val="0"/>
      <w:marBottom w:val="0"/>
      <w:divBdr>
        <w:top w:val="none" w:sz="0" w:space="0" w:color="auto"/>
        <w:left w:val="none" w:sz="0" w:space="0" w:color="auto"/>
        <w:bottom w:val="none" w:sz="0" w:space="0" w:color="auto"/>
        <w:right w:val="none" w:sz="0" w:space="0" w:color="auto"/>
      </w:divBdr>
    </w:div>
    <w:div w:id="519438379">
      <w:bodyDiv w:val="1"/>
      <w:marLeft w:val="0"/>
      <w:marRight w:val="0"/>
      <w:marTop w:val="0"/>
      <w:marBottom w:val="0"/>
      <w:divBdr>
        <w:top w:val="none" w:sz="0" w:space="0" w:color="auto"/>
        <w:left w:val="none" w:sz="0" w:space="0" w:color="auto"/>
        <w:bottom w:val="none" w:sz="0" w:space="0" w:color="auto"/>
        <w:right w:val="none" w:sz="0" w:space="0" w:color="auto"/>
      </w:divBdr>
    </w:div>
    <w:div w:id="523901164">
      <w:bodyDiv w:val="1"/>
      <w:marLeft w:val="0"/>
      <w:marRight w:val="0"/>
      <w:marTop w:val="0"/>
      <w:marBottom w:val="0"/>
      <w:divBdr>
        <w:top w:val="none" w:sz="0" w:space="0" w:color="auto"/>
        <w:left w:val="none" w:sz="0" w:space="0" w:color="auto"/>
        <w:bottom w:val="none" w:sz="0" w:space="0" w:color="auto"/>
        <w:right w:val="none" w:sz="0" w:space="0" w:color="auto"/>
      </w:divBdr>
    </w:div>
    <w:div w:id="531765419">
      <w:bodyDiv w:val="1"/>
      <w:marLeft w:val="0"/>
      <w:marRight w:val="0"/>
      <w:marTop w:val="0"/>
      <w:marBottom w:val="0"/>
      <w:divBdr>
        <w:top w:val="none" w:sz="0" w:space="0" w:color="auto"/>
        <w:left w:val="none" w:sz="0" w:space="0" w:color="auto"/>
        <w:bottom w:val="none" w:sz="0" w:space="0" w:color="auto"/>
        <w:right w:val="none" w:sz="0" w:space="0" w:color="auto"/>
      </w:divBdr>
    </w:div>
    <w:div w:id="537817369">
      <w:bodyDiv w:val="1"/>
      <w:marLeft w:val="0"/>
      <w:marRight w:val="0"/>
      <w:marTop w:val="0"/>
      <w:marBottom w:val="0"/>
      <w:divBdr>
        <w:top w:val="none" w:sz="0" w:space="0" w:color="auto"/>
        <w:left w:val="none" w:sz="0" w:space="0" w:color="auto"/>
        <w:bottom w:val="none" w:sz="0" w:space="0" w:color="auto"/>
        <w:right w:val="none" w:sz="0" w:space="0" w:color="auto"/>
      </w:divBdr>
    </w:div>
    <w:div w:id="541669503">
      <w:bodyDiv w:val="1"/>
      <w:marLeft w:val="0"/>
      <w:marRight w:val="0"/>
      <w:marTop w:val="0"/>
      <w:marBottom w:val="0"/>
      <w:divBdr>
        <w:top w:val="none" w:sz="0" w:space="0" w:color="auto"/>
        <w:left w:val="none" w:sz="0" w:space="0" w:color="auto"/>
        <w:bottom w:val="none" w:sz="0" w:space="0" w:color="auto"/>
        <w:right w:val="none" w:sz="0" w:space="0" w:color="auto"/>
      </w:divBdr>
    </w:div>
    <w:div w:id="543762047">
      <w:bodyDiv w:val="1"/>
      <w:marLeft w:val="0"/>
      <w:marRight w:val="0"/>
      <w:marTop w:val="0"/>
      <w:marBottom w:val="0"/>
      <w:divBdr>
        <w:top w:val="none" w:sz="0" w:space="0" w:color="auto"/>
        <w:left w:val="none" w:sz="0" w:space="0" w:color="auto"/>
        <w:bottom w:val="none" w:sz="0" w:space="0" w:color="auto"/>
        <w:right w:val="none" w:sz="0" w:space="0" w:color="auto"/>
      </w:divBdr>
    </w:div>
    <w:div w:id="546142377">
      <w:bodyDiv w:val="1"/>
      <w:marLeft w:val="0"/>
      <w:marRight w:val="0"/>
      <w:marTop w:val="0"/>
      <w:marBottom w:val="0"/>
      <w:divBdr>
        <w:top w:val="none" w:sz="0" w:space="0" w:color="auto"/>
        <w:left w:val="none" w:sz="0" w:space="0" w:color="auto"/>
        <w:bottom w:val="none" w:sz="0" w:space="0" w:color="auto"/>
        <w:right w:val="none" w:sz="0" w:space="0" w:color="auto"/>
      </w:divBdr>
    </w:div>
    <w:div w:id="549921808">
      <w:bodyDiv w:val="1"/>
      <w:marLeft w:val="0"/>
      <w:marRight w:val="0"/>
      <w:marTop w:val="0"/>
      <w:marBottom w:val="0"/>
      <w:divBdr>
        <w:top w:val="none" w:sz="0" w:space="0" w:color="auto"/>
        <w:left w:val="none" w:sz="0" w:space="0" w:color="auto"/>
        <w:bottom w:val="none" w:sz="0" w:space="0" w:color="auto"/>
        <w:right w:val="none" w:sz="0" w:space="0" w:color="auto"/>
      </w:divBdr>
    </w:div>
    <w:div w:id="567148962">
      <w:bodyDiv w:val="1"/>
      <w:marLeft w:val="0"/>
      <w:marRight w:val="0"/>
      <w:marTop w:val="0"/>
      <w:marBottom w:val="0"/>
      <w:divBdr>
        <w:top w:val="none" w:sz="0" w:space="0" w:color="auto"/>
        <w:left w:val="none" w:sz="0" w:space="0" w:color="auto"/>
        <w:bottom w:val="none" w:sz="0" w:space="0" w:color="auto"/>
        <w:right w:val="none" w:sz="0" w:space="0" w:color="auto"/>
      </w:divBdr>
    </w:div>
    <w:div w:id="570392187">
      <w:bodyDiv w:val="1"/>
      <w:marLeft w:val="0"/>
      <w:marRight w:val="0"/>
      <w:marTop w:val="0"/>
      <w:marBottom w:val="0"/>
      <w:divBdr>
        <w:top w:val="none" w:sz="0" w:space="0" w:color="auto"/>
        <w:left w:val="none" w:sz="0" w:space="0" w:color="auto"/>
        <w:bottom w:val="none" w:sz="0" w:space="0" w:color="auto"/>
        <w:right w:val="none" w:sz="0" w:space="0" w:color="auto"/>
      </w:divBdr>
    </w:div>
    <w:div w:id="583952108">
      <w:bodyDiv w:val="1"/>
      <w:marLeft w:val="0"/>
      <w:marRight w:val="0"/>
      <w:marTop w:val="0"/>
      <w:marBottom w:val="0"/>
      <w:divBdr>
        <w:top w:val="none" w:sz="0" w:space="0" w:color="auto"/>
        <w:left w:val="none" w:sz="0" w:space="0" w:color="auto"/>
        <w:bottom w:val="none" w:sz="0" w:space="0" w:color="auto"/>
        <w:right w:val="none" w:sz="0" w:space="0" w:color="auto"/>
      </w:divBdr>
    </w:div>
    <w:div w:id="616447177">
      <w:bodyDiv w:val="1"/>
      <w:marLeft w:val="0"/>
      <w:marRight w:val="0"/>
      <w:marTop w:val="0"/>
      <w:marBottom w:val="0"/>
      <w:divBdr>
        <w:top w:val="none" w:sz="0" w:space="0" w:color="auto"/>
        <w:left w:val="none" w:sz="0" w:space="0" w:color="auto"/>
        <w:bottom w:val="none" w:sz="0" w:space="0" w:color="auto"/>
        <w:right w:val="none" w:sz="0" w:space="0" w:color="auto"/>
      </w:divBdr>
    </w:div>
    <w:div w:id="625893619">
      <w:bodyDiv w:val="1"/>
      <w:marLeft w:val="0"/>
      <w:marRight w:val="0"/>
      <w:marTop w:val="0"/>
      <w:marBottom w:val="0"/>
      <w:divBdr>
        <w:top w:val="none" w:sz="0" w:space="0" w:color="auto"/>
        <w:left w:val="none" w:sz="0" w:space="0" w:color="auto"/>
        <w:bottom w:val="none" w:sz="0" w:space="0" w:color="auto"/>
        <w:right w:val="none" w:sz="0" w:space="0" w:color="auto"/>
      </w:divBdr>
    </w:div>
    <w:div w:id="635984887">
      <w:bodyDiv w:val="1"/>
      <w:marLeft w:val="0"/>
      <w:marRight w:val="0"/>
      <w:marTop w:val="0"/>
      <w:marBottom w:val="0"/>
      <w:divBdr>
        <w:top w:val="none" w:sz="0" w:space="0" w:color="auto"/>
        <w:left w:val="none" w:sz="0" w:space="0" w:color="auto"/>
        <w:bottom w:val="none" w:sz="0" w:space="0" w:color="auto"/>
        <w:right w:val="none" w:sz="0" w:space="0" w:color="auto"/>
      </w:divBdr>
    </w:div>
    <w:div w:id="638389310">
      <w:bodyDiv w:val="1"/>
      <w:marLeft w:val="0"/>
      <w:marRight w:val="0"/>
      <w:marTop w:val="0"/>
      <w:marBottom w:val="0"/>
      <w:divBdr>
        <w:top w:val="none" w:sz="0" w:space="0" w:color="auto"/>
        <w:left w:val="none" w:sz="0" w:space="0" w:color="auto"/>
        <w:bottom w:val="none" w:sz="0" w:space="0" w:color="auto"/>
        <w:right w:val="none" w:sz="0" w:space="0" w:color="auto"/>
      </w:divBdr>
      <w:divsChild>
        <w:div w:id="1043867910">
          <w:marLeft w:val="0"/>
          <w:marRight w:val="0"/>
          <w:marTop w:val="100"/>
          <w:marBottom w:val="100"/>
          <w:divBdr>
            <w:top w:val="none" w:sz="0" w:space="0" w:color="auto"/>
            <w:left w:val="none" w:sz="0" w:space="0" w:color="auto"/>
            <w:bottom w:val="none" w:sz="0" w:space="0" w:color="auto"/>
            <w:right w:val="none" w:sz="0" w:space="0" w:color="auto"/>
          </w:divBdr>
          <w:divsChild>
            <w:div w:id="1400058744">
              <w:marLeft w:val="0"/>
              <w:marRight w:val="0"/>
              <w:marTop w:val="0"/>
              <w:marBottom w:val="180"/>
              <w:divBdr>
                <w:top w:val="none" w:sz="0" w:space="0" w:color="auto"/>
                <w:left w:val="none" w:sz="0" w:space="0" w:color="auto"/>
                <w:bottom w:val="none" w:sz="0" w:space="0" w:color="auto"/>
                <w:right w:val="none" w:sz="0" w:space="0" w:color="auto"/>
              </w:divBdr>
              <w:divsChild>
                <w:div w:id="1276908397">
                  <w:marLeft w:val="0"/>
                  <w:marRight w:val="0"/>
                  <w:marTop w:val="0"/>
                  <w:marBottom w:val="0"/>
                  <w:divBdr>
                    <w:top w:val="none" w:sz="0" w:space="0" w:color="auto"/>
                    <w:left w:val="none" w:sz="0" w:space="0" w:color="auto"/>
                    <w:bottom w:val="none" w:sz="0" w:space="0" w:color="auto"/>
                    <w:right w:val="none" w:sz="0" w:space="0" w:color="auto"/>
                  </w:divBdr>
                </w:div>
              </w:divsChild>
            </w:div>
            <w:div w:id="952709048">
              <w:marLeft w:val="0"/>
              <w:marRight w:val="0"/>
              <w:marTop w:val="0"/>
              <w:marBottom w:val="240"/>
              <w:divBdr>
                <w:top w:val="none" w:sz="0" w:space="0" w:color="auto"/>
                <w:left w:val="none" w:sz="0" w:space="0" w:color="auto"/>
                <w:bottom w:val="none" w:sz="0" w:space="0" w:color="auto"/>
                <w:right w:val="none" w:sz="0" w:space="0" w:color="auto"/>
              </w:divBdr>
              <w:divsChild>
                <w:div w:id="1881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3602">
          <w:marLeft w:val="0"/>
          <w:marRight w:val="0"/>
          <w:marTop w:val="0"/>
          <w:marBottom w:val="300"/>
          <w:divBdr>
            <w:top w:val="none" w:sz="0" w:space="0" w:color="auto"/>
            <w:left w:val="none" w:sz="0" w:space="0" w:color="auto"/>
            <w:bottom w:val="none" w:sz="0" w:space="0" w:color="auto"/>
            <w:right w:val="none" w:sz="0" w:space="0" w:color="auto"/>
          </w:divBdr>
          <w:divsChild>
            <w:div w:id="13558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68234">
      <w:bodyDiv w:val="1"/>
      <w:marLeft w:val="0"/>
      <w:marRight w:val="0"/>
      <w:marTop w:val="0"/>
      <w:marBottom w:val="0"/>
      <w:divBdr>
        <w:top w:val="none" w:sz="0" w:space="0" w:color="auto"/>
        <w:left w:val="none" w:sz="0" w:space="0" w:color="auto"/>
        <w:bottom w:val="none" w:sz="0" w:space="0" w:color="auto"/>
        <w:right w:val="none" w:sz="0" w:space="0" w:color="auto"/>
      </w:divBdr>
    </w:div>
    <w:div w:id="665940776">
      <w:bodyDiv w:val="1"/>
      <w:marLeft w:val="0"/>
      <w:marRight w:val="0"/>
      <w:marTop w:val="0"/>
      <w:marBottom w:val="0"/>
      <w:divBdr>
        <w:top w:val="none" w:sz="0" w:space="0" w:color="auto"/>
        <w:left w:val="none" w:sz="0" w:space="0" w:color="auto"/>
        <w:bottom w:val="none" w:sz="0" w:space="0" w:color="auto"/>
        <w:right w:val="none" w:sz="0" w:space="0" w:color="auto"/>
      </w:divBdr>
      <w:divsChild>
        <w:div w:id="1238057872">
          <w:marLeft w:val="0"/>
          <w:marRight w:val="0"/>
          <w:marTop w:val="0"/>
          <w:marBottom w:val="0"/>
          <w:divBdr>
            <w:top w:val="none" w:sz="0" w:space="0" w:color="auto"/>
            <w:left w:val="none" w:sz="0" w:space="0" w:color="auto"/>
            <w:bottom w:val="none" w:sz="0" w:space="0" w:color="auto"/>
            <w:right w:val="none" w:sz="0" w:space="0" w:color="auto"/>
          </w:divBdr>
        </w:div>
      </w:divsChild>
    </w:div>
    <w:div w:id="682899531">
      <w:bodyDiv w:val="1"/>
      <w:marLeft w:val="0"/>
      <w:marRight w:val="0"/>
      <w:marTop w:val="0"/>
      <w:marBottom w:val="0"/>
      <w:divBdr>
        <w:top w:val="none" w:sz="0" w:space="0" w:color="auto"/>
        <w:left w:val="none" w:sz="0" w:space="0" w:color="auto"/>
        <w:bottom w:val="none" w:sz="0" w:space="0" w:color="auto"/>
        <w:right w:val="none" w:sz="0" w:space="0" w:color="auto"/>
      </w:divBdr>
    </w:div>
    <w:div w:id="696153577">
      <w:bodyDiv w:val="1"/>
      <w:marLeft w:val="0"/>
      <w:marRight w:val="0"/>
      <w:marTop w:val="0"/>
      <w:marBottom w:val="0"/>
      <w:divBdr>
        <w:top w:val="none" w:sz="0" w:space="0" w:color="auto"/>
        <w:left w:val="none" w:sz="0" w:space="0" w:color="auto"/>
        <w:bottom w:val="none" w:sz="0" w:space="0" w:color="auto"/>
        <w:right w:val="none" w:sz="0" w:space="0" w:color="auto"/>
      </w:divBdr>
      <w:divsChild>
        <w:div w:id="707225358">
          <w:marLeft w:val="0"/>
          <w:marRight w:val="0"/>
          <w:marTop w:val="0"/>
          <w:marBottom w:val="0"/>
          <w:divBdr>
            <w:top w:val="none" w:sz="0" w:space="0" w:color="auto"/>
            <w:left w:val="none" w:sz="0" w:space="0" w:color="auto"/>
            <w:bottom w:val="none" w:sz="0" w:space="0" w:color="auto"/>
            <w:right w:val="none" w:sz="0" w:space="0" w:color="auto"/>
          </w:divBdr>
          <w:divsChild>
            <w:div w:id="3773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0741">
      <w:bodyDiv w:val="1"/>
      <w:marLeft w:val="0"/>
      <w:marRight w:val="0"/>
      <w:marTop w:val="0"/>
      <w:marBottom w:val="0"/>
      <w:divBdr>
        <w:top w:val="none" w:sz="0" w:space="0" w:color="auto"/>
        <w:left w:val="none" w:sz="0" w:space="0" w:color="auto"/>
        <w:bottom w:val="none" w:sz="0" w:space="0" w:color="auto"/>
        <w:right w:val="none" w:sz="0" w:space="0" w:color="auto"/>
      </w:divBdr>
    </w:div>
    <w:div w:id="714232525">
      <w:bodyDiv w:val="1"/>
      <w:marLeft w:val="0"/>
      <w:marRight w:val="0"/>
      <w:marTop w:val="0"/>
      <w:marBottom w:val="0"/>
      <w:divBdr>
        <w:top w:val="none" w:sz="0" w:space="0" w:color="auto"/>
        <w:left w:val="none" w:sz="0" w:space="0" w:color="auto"/>
        <w:bottom w:val="none" w:sz="0" w:space="0" w:color="auto"/>
        <w:right w:val="none" w:sz="0" w:space="0" w:color="auto"/>
      </w:divBdr>
    </w:div>
    <w:div w:id="721440327">
      <w:bodyDiv w:val="1"/>
      <w:marLeft w:val="0"/>
      <w:marRight w:val="0"/>
      <w:marTop w:val="0"/>
      <w:marBottom w:val="0"/>
      <w:divBdr>
        <w:top w:val="none" w:sz="0" w:space="0" w:color="auto"/>
        <w:left w:val="none" w:sz="0" w:space="0" w:color="auto"/>
        <w:bottom w:val="none" w:sz="0" w:space="0" w:color="auto"/>
        <w:right w:val="none" w:sz="0" w:space="0" w:color="auto"/>
      </w:divBdr>
    </w:div>
    <w:div w:id="727805390">
      <w:bodyDiv w:val="1"/>
      <w:marLeft w:val="0"/>
      <w:marRight w:val="0"/>
      <w:marTop w:val="0"/>
      <w:marBottom w:val="0"/>
      <w:divBdr>
        <w:top w:val="none" w:sz="0" w:space="0" w:color="auto"/>
        <w:left w:val="none" w:sz="0" w:space="0" w:color="auto"/>
        <w:bottom w:val="none" w:sz="0" w:space="0" w:color="auto"/>
        <w:right w:val="none" w:sz="0" w:space="0" w:color="auto"/>
      </w:divBdr>
    </w:div>
    <w:div w:id="747850525">
      <w:bodyDiv w:val="1"/>
      <w:marLeft w:val="0"/>
      <w:marRight w:val="0"/>
      <w:marTop w:val="0"/>
      <w:marBottom w:val="0"/>
      <w:divBdr>
        <w:top w:val="none" w:sz="0" w:space="0" w:color="auto"/>
        <w:left w:val="none" w:sz="0" w:space="0" w:color="auto"/>
        <w:bottom w:val="none" w:sz="0" w:space="0" w:color="auto"/>
        <w:right w:val="none" w:sz="0" w:space="0" w:color="auto"/>
      </w:divBdr>
    </w:div>
    <w:div w:id="757603206">
      <w:bodyDiv w:val="1"/>
      <w:marLeft w:val="0"/>
      <w:marRight w:val="0"/>
      <w:marTop w:val="0"/>
      <w:marBottom w:val="0"/>
      <w:divBdr>
        <w:top w:val="none" w:sz="0" w:space="0" w:color="auto"/>
        <w:left w:val="none" w:sz="0" w:space="0" w:color="auto"/>
        <w:bottom w:val="none" w:sz="0" w:space="0" w:color="auto"/>
        <w:right w:val="none" w:sz="0" w:space="0" w:color="auto"/>
      </w:divBdr>
      <w:divsChild>
        <w:div w:id="521941894">
          <w:marLeft w:val="0"/>
          <w:marRight w:val="0"/>
          <w:marTop w:val="100"/>
          <w:marBottom w:val="100"/>
          <w:divBdr>
            <w:top w:val="none" w:sz="0" w:space="0" w:color="auto"/>
            <w:left w:val="none" w:sz="0" w:space="0" w:color="auto"/>
            <w:bottom w:val="none" w:sz="0" w:space="0" w:color="auto"/>
            <w:right w:val="none" w:sz="0" w:space="0" w:color="auto"/>
          </w:divBdr>
          <w:divsChild>
            <w:div w:id="269120324">
              <w:marLeft w:val="0"/>
              <w:marRight w:val="0"/>
              <w:marTop w:val="0"/>
              <w:marBottom w:val="0"/>
              <w:divBdr>
                <w:top w:val="none" w:sz="0" w:space="0" w:color="auto"/>
                <w:left w:val="none" w:sz="0" w:space="0" w:color="auto"/>
                <w:bottom w:val="none" w:sz="0" w:space="0" w:color="auto"/>
                <w:right w:val="none" w:sz="0" w:space="0" w:color="auto"/>
              </w:divBdr>
              <w:divsChild>
                <w:div w:id="139770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894">
          <w:marLeft w:val="0"/>
          <w:marRight w:val="0"/>
          <w:marTop w:val="0"/>
          <w:marBottom w:val="300"/>
          <w:divBdr>
            <w:top w:val="none" w:sz="0" w:space="0" w:color="auto"/>
            <w:left w:val="none" w:sz="0" w:space="0" w:color="auto"/>
            <w:bottom w:val="none" w:sz="0" w:space="0" w:color="auto"/>
            <w:right w:val="none" w:sz="0" w:space="0" w:color="auto"/>
          </w:divBdr>
          <w:divsChild>
            <w:div w:id="72629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5546">
      <w:bodyDiv w:val="1"/>
      <w:marLeft w:val="0"/>
      <w:marRight w:val="0"/>
      <w:marTop w:val="0"/>
      <w:marBottom w:val="0"/>
      <w:divBdr>
        <w:top w:val="none" w:sz="0" w:space="0" w:color="auto"/>
        <w:left w:val="none" w:sz="0" w:space="0" w:color="auto"/>
        <w:bottom w:val="none" w:sz="0" w:space="0" w:color="auto"/>
        <w:right w:val="none" w:sz="0" w:space="0" w:color="auto"/>
      </w:divBdr>
    </w:div>
    <w:div w:id="776097747">
      <w:bodyDiv w:val="1"/>
      <w:marLeft w:val="0"/>
      <w:marRight w:val="0"/>
      <w:marTop w:val="0"/>
      <w:marBottom w:val="0"/>
      <w:divBdr>
        <w:top w:val="none" w:sz="0" w:space="0" w:color="auto"/>
        <w:left w:val="none" w:sz="0" w:space="0" w:color="auto"/>
        <w:bottom w:val="none" w:sz="0" w:space="0" w:color="auto"/>
        <w:right w:val="none" w:sz="0" w:space="0" w:color="auto"/>
      </w:divBdr>
    </w:div>
    <w:div w:id="785537854">
      <w:bodyDiv w:val="1"/>
      <w:marLeft w:val="0"/>
      <w:marRight w:val="0"/>
      <w:marTop w:val="0"/>
      <w:marBottom w:val="0"/>
      <w:divBdr>
        <w:top w:val="none" w:sz="0" w:space="0" w:color="auto"/>
        <w:left w:val="none" w:sz="0" w:space="0" w:color="auto"/>
        <w:bottom w:val="none" w:sz="0" w:space="0" w:color="auto"/>
        <w:right w:val="none" w:sz="0" w:space="0" w:color="auto"/>
      </w:divBdr>
    </w:div>
    <w:div w:id="817920056">
      <w:bodyDiv w:val="1"/>
      <w:marLeft w:val="0"/>
      <w:marRight w:val="0"/>
      <w:marTop w:val="0"/>
      <w:marBottom w:val="0"/>
      <w:divBdr>
        <w:top w:val="none" w:sz="0" w:space="0" w:color="auto"/>
        <w:left w:val="none" w:sz="0" w:space="0" w:color="auto"/>
        <w:bottom w:val="none" w:sz="0" w:space="0" w:color="auto"/>
        <w:right w:val="none" w:sz="0" w:space="0" w:color="auto"/>
      </w:divBdr>
    </w:div>
    <w:div w:id="844242678">
      <w:bodyDiv w:val="1"/>
      <w:marLeft w:val="0"/>
      <w:marRight w:val="0"/>
      <w:marTop w:val="0"/>
      <w:marBottom w:val="0"/>
      <w:divBdr>
        <w:top w:val="none" w:sz="0" w:space="0" w:color="auto"/>
        <w:left w:val="none" w:sz="0" w:space="0" w:color="auto"/>
        <w:bottom w:val="none" w:sz="0" w:space="0" w:color="auto"/>
        <w:right w:val="none" w:sz="0" w:space="0" w:color="auto"/>
      </w:divBdr>
    </w:div>
    <w:div w:id="845291798">
      <w:bodyDiv w:val="1"/>
      <w:marLeft w:val="0"/>
      <w:marRight w:val="0"/>
      <w:marTop w:val="0"/>
      <w:marBottom w:val="0"/>
      <w:divBdr>
        <w:top w:val="none" w:sz="0" w:space="0" w:color="auto"/>
        <w:left w:val="none" w:sz="0" w:space="0" w:color="auto"/>
        <w:bottom w:val="none" w:sz="0" w:space="0" w:color="auto"/>
        <w:right w:val="none" w:sz="0" w:space="0" w:color="auto"/>
      </w:divBdr>
    </w:div>
    <w:div w:id="858661274">
      <w:bodyDiv w:val="1"/>
      <w:marLeft w:val="0"/>
      <w:marRight w:val="0"/>
      <w:marTop w:val="0"/>
      <w:marBottom w:val="0"/>
      <w:divBdr>
        <w:top w:val="none" w:sz="0" w:space="0" w:color="auto"/>
        <w:left w:val="none" w:sz="0" w:space="0" w:color="auto"/>
        <w:bottom w:val="none" w:sz="0" w:space="0" w:color="auto"/>
        <w:right w:val="none" w:sz="0" w:space="0" w:color="auto"/>
      </w:divBdr>
    </w:div>
    <w:div w:id="880554502">
      <w:bodyDiv w:val="1"/>
      <w:marLeft w:val="0"/>
      <w:marRight w:val="0"/>
      <w:marTop w:val="0"/>
      <w:marBottom w:val="0"/>
      <w:divBdr>
        <w:top w:val="none" w:sz="0" w:space="0" w:color="auto"/>
        <w:left w:val="none" w:sz="0" w:space="0" w:color="auto"/>
        <w:bottom w:val="none" w:sz="0" w:space="0" w:color="auto"/>
        <w:right w:val="none" w:sz="0" w:space="0" w:color="auto"/>
      </w:divBdr>
    </w:div>
    <w:div w:id="882055106">
      <w:bodyDiv w:val="1"/>
      <w:marLeft w:val="0"/>
      <w:marRight w:val="0"/>
      <w:marTop w:val="0"/>
      <w:marBottom w:val="0"/>
      <w:divBdr>
        <w:top w:val="none" w:sz="0" w:space="0" w:color="auto"/>
        <w:left w:val="none" w:sz="0" w:space="0" w:color="auto"/>
        <w:bottom w:val="none" w:sz="0" w:space="0" w:color="auto"/>
        <w:right w:val="none" w:sz="0" w:space="0" w:color="auto"/>
      </w:divBdr>
      <w:divsChild>
        <w:div w:id="11341359">
          <w:marLeft w:val="0"/>
          <w:marRight w:val="0"/>
          <w:marTop w:val="0"/>
          <w:marBottom w:val="0"/>
          <w:divBdr>
            <w:top w:val="none" w:sz="0" w:space="0" w:color="auto"/>
            <w:left w:val="none" w:sz="0" w:space="0" w:color="auto"/>
            <w:bottom w:val="none" w:sz="0" w:space="0" w:color="auto"/>
            <w:right w:val="none" w:sz="0" w:space="0" w:color="auto"/>
          </w:divBdr>
          <w:divsChild>
            <w:div w:id="4625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4244">
      <w:bodyDiv w:val="1"/>
      <w:marLeft w:val="0"/>
      <w:marRight w:val="0"/>
      <w:marTop w:val="0"/>
      <w:marBottom w:val="0"/>
      <w:divBdr>
        <w:top w:val="none" w:sz="0" w:space="0" w:color="auto"/>
        <w:left w:val="none" w:sz="0" w:space="0" w:color="auto"/>
        <w:bottom w:val="none" w:sz="0" w:space="0" w:color="auto"/>
        <w:right w:val="none" w:sz="0" w:space="0" w:color="auto"/>
      </w:divBdr>
    </w:div>
    <w:div w:id="902839309">
      <w:bodyDiv w:val="1"/>
      <w:marLeft w:val="0"/>
      <w:marRight w:val="0"/>
      <w:marTop w:val="0"/>
      <w:marBottom w:val="0"/>
      <w:divBdr>
        <w:top w:val="none" w:sz="0" w:space="0" w:color="auto"/>
        <w:left w:val="none" w:sz="0" w:space="0" w:color="auto"/>
        <w:bottom w:val="none" w:sz="0" w:space="0" w:color="auto"/>
        <w:right w:val="none" w:sz="0" w:space="0" w:color="auto"/>
      </w:divBdr>
    </w:div>
    <w:div w:id="903222978">
      <w:bodyDiv w:val="1"/>
      <w:marLeft w:val="0"/>
      <w:marRight w:val="0"/>
      <w:marTop w:val="0"/>
      <w:marBottom w:val="0"/>
      <w:divBdr>
        <w:top w:val="none" w:sz="0" w:space="0" w:color="auto"/>
        <w:left w:val="none" w:sz="0" w:space="0" w:color="auto"/>
        <w:bottom w:val="none" w:sz="0" w:space="0" w:color="auto"/>
        <w:right w:val="none" w:sz="0" w:space="0" w:color="auto"/>
      </w:divBdr>
    </w:div>
    <w:div w:id="917642228">
      <w:bodyDiv w:val="1"/>
      <w:marLeft w:val="0"/>
      <w:marRight w:val="0"/>
      <w:marTop w:val="0"/>
      <w:marBottom w:val="0"/>
      <w:divBdr>
        <w:top w:val="none" w:sz="0" w:space="0" w:color="auto"/>
        <w:left w:val="none" w:sz="0" w:space="0" w:color="auto"/>
        <w:bottom w:val="none" w:sz="0" w:space="0" w:color="auto"/>
        <w:right w:val="none" w:sz="0" w:space="0" w:color="auto"/>
      </w:divBdr>
    </w:div>
    <w:div w:id="924188811">
      <w:bodyDiv w:val="1"/>
      <w:marLeft w:val="0"/>
      <w:marRight w:val="0"/>
      <w:marTop w:val="0"/>
      <w:marBottom w:val="0"/>
      <w:divBdr>
        <w:top w:val="none" w:sz="0" w:space="0" w:color="auto"/>
        <w:left w:val="none" w:sz="0" w:space="0" w:color="auto"/>
        <w:bottom w:val="none" w:sz="0" w:space="0" w:color="auto"/>
        <w:right w:val="none" w:sz="0" w:space="0" w:color="auto"/>
      </w:divBdr>
    </w:div>
    <w:div w:id="951519722">
      <w:bodyDiv w:val="1"/>
      <w:marLeft w:val="0"/>
      <w:marRight w:val="0"/>
      <w:marTop w:val="0"/>
      <w:marBottom w:val="0"/>
      <w:divBdr>
        <w:top w:val="none" w:sz="0" w:space="0" w:color="auto"/>
        <w:left w:val="none" w:sz="0" w:space="0" w:color="auto"/>
        <w:bottom w:val="none" w:sz="0" w:space="0" w:color="auto"/>
        <w:right w:val="none" w:sz="0" w:space="0" w:color="auto"/>
      </w:divBdr>
    </w:div>
    <w:div w:id="957024214">
      <w:bodyDiv w:val="1"/>
      <w:marLeft w:val="0"/>
      <w:marRight w:val="0"/>
      <w:marTop w:val="0"/>
      <w:marBottom w:val="0"/>
      <w:divBdr>
        <w:top w:val="none" w:sz="0" w:space="0" w:color="auto"/>
        <w:left w:val="none" w:sz="0" w:space="0" w:color="auto"/>
        <w:bottom w:val="none" w:sz="0" w:space="0" w:color="auto"/>
        <w:right w:val="none" w:sz="0" w:space="0" w:color="auto"/>
      </w:divBdr>
      <w:divsChild>
        <w:div w:id="2028410328">
          <w:marLeft w:val="0"/>
          <w:marRight w:val="0"/>
          <w:marTop w:val="100"/>
          <w:marBottom w:val="100"/>
          <w:divBdr>
            <w:top w:val="none" w:sz="0" w:space="0" w:color="auto"/>
            <w:left w:val="none" w:sz="0" w:space="0" w:color="auto"/>
            <w:bottom w:val="none" w:sz="0" w:space="0" w:color="auto"/>
            <w:right w:val="none" w:sz="0" w:space="0" w:color="auto"/>
          </w:divBdr>
          <w:divsChild>
            <w:div w:id="618726994">
              <w:marLeft w:val="0"/>
              <w:marRight w:val="0"/>
              <w:marTop w:val="0"/>
              <w:marBottom w:val="0"/>
              <w:divBdr>
                <w:top w:val="none" w:sz="0" w:space="0" w:color="auto"/>
                <w:left w:val="none" w:sz="0" w:space="0" w:color="auto"/>
                <w:bottom w:val="none" w:sz="0" w:space="0" w:color="auto"/>
                <w:right w:val="none" w:sz="0" w:space="0" w:color="auto"/>
              </w:divBdr>
              <w:divsChild>
                <w:div w:id="5485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87835">
          <w:marLeft w:val="0"/>
          <w:marRight w:val="0"/>
          <w:marTop w:val="0"/>
          <w:marBottom w:val="300"/>
          <w:divBdr>
            <w:top w:val="none" w:sz="0" w:space="0" w:color="auto"/>
            <w:left w:val="none" w:sz="0" w:space="0" w:color="auto"/>
            <w:bottom w:val="none" w:sz="0" w:space="0" w:color="auto"/>
            <w:right w:val="none" w:sz="0" w:space="0" w:color="auto"/>
          </w:divBdr>
          <w:divsChild>
            <w:div w:id="44362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6056">
      <w:bodyDiv w:val="1"/>
      <w:marLeft w:val="0"/>
      <w:marRight w:val="0"/>
      <w:marTop w:val="0"/>
      <w:marBottom w:val="0"/>
      <w:divBdr>
        <w:top w:val="none" w:sz="0" w:space="0" w:color="auto"/>
        <w:left w:val="none" w:sz="0" w:space="0" w:color="auto"/>
        <w:bottom w:val="none" w:sz="0" w:space="0" w:color="auto"/>
        <w:right w:val="none" w:sz="0" w:space="0" w:color="auto"/>
      </w:divBdr>
    </w:div>
    <w:div w:id="967860798">
      <w:bodyDiv w:val="1"/>
      <w:marLeft w:val="0"/>
      <w:marRight w:val="0"/>
      <w:marTop w:val="0"/>
      <w:marBottom w:val="0"/>
      <w:divBdr>
        <w:top w:val="none" w:sz="0" w:space="0" w:color="auto"/>
        <w:left w:val="none" w:sz="0" w:space="0" w:color="auto"/>
        <w:bottom w:val="none" w:sz="0" w:space="0" w:color="auto"/>
        <w:right w:val="none" w:sz="0" w:space="0" w:color="auto"/>
      </w:divBdr>
    </w:div>
    <w:div w:id="1003238631">
      <w:bodyDiv w:val="1"/>
      <w:marLeft w:val="0"/>
      <w:marRight w:val="0"/>
      <w:marTop w:val="0"/>
      <w:marBottom w:val="0"/>
      <w:divBdr>
        <w:top w:val="none" w:sz="0" w:space="0" w:color="auto"/>
        <w:left w:val="none" w:sz="0" w:space="0" w:color="auto"/>
        <w:bottom w:val="none" w:sz="0" w:space="0" w:color="auto"/>
        <w:right w:val="none" w:sz="0" w:space="0" w:color="auto"/>
      </w:divBdr>
    </w:div>
    <w:div w:id="1019351035">
      <w:bodyDiv w:val="1"/>
      <w:marLeft w:val="0"/>
      <w:marRight w:val="0"/>
      <w:marTop w:val="0"/>
      <w:marBottom w:val="0"/>
      <w:divBdr>
        <w:top w:val="none" w:sz="0" w:space="0" w:color="auto"/>
        <w:left w:val="none" w:sz="0" w:space="0" w:color="auto"/>
        <w:bottom w:val="none" w:sz="0" w:space="0" w:color="auto"/>
        <w:right w:val="none" w:sz="0" w:space="0" w:color="auto"/>
      </w:divBdr>
    </w:div>
    <w:div w:id="1020938376">
      <w:bodyDiv w:val="1"/>
      <w:marLeft w:val="0"/>
      <w:marRight w:val="0"/>
      <w:marTop w:val="0"/>
      <w:marBottom w:val="0"/>
      <w:divBdr>
        <w:top w:val="none" w:sz="0" w:space="0" w:color="auto"/>
        <w:left w:val="none" w:sz="0" w:space="0" w:color="auto"/>
        <w:bottom w:val="none" w:sz="0" w:space="0" w:color="auto"/>
        <w:right w:val="none" w:sz="0" w:space="0" w:color="auto"/>
      </w:divBdr>
    </w:div>
    <w:div w:id="1030569057">
      <w:bodyDiv w:val="1"/>
      <w:marLeft w:val="0"/>
      <w:marRight w:val="0"/>
      <w:marTop w:val="0"/>
      <w:marBottom w:val="0"/>
      <w:divBdr>
        <w:top w:val="none" w:sz="0" w:space="0" w:color="auto"/>
        <w:left w:val="none" w:sz="0" w:space="0" w:color="auto"/>
        <w:bottom w:val="none" w:sz="0" w:space="0" w:color="auto"/>
        <w:right w:val="none" w:sz="0" w:space="0" w:color="auto"/>
      </w:divBdr>
    </w:div>
    <w:div w:id="1032152902">
      <w:bodyDiv w:val="1"/>
      <w:marLeft w:val="0"/>
      <w:marRight w:val="0"/>
      <w:marTop w:val="0"/>
      <w:marBottom w:val="0"/>
      <w:divBdr>
        <w:top w:val="none" w:sz="0" w:space="0" w:color="auto"/>
        <w:left w:val="none" w:sz="0" w:space="0" w:color="auto"/>
        <w:bottom w:val="none" w:sz="0" w:space="0" w:color="auto"/>
        <w:right w:val="none" w:sz="0" w:space="0" w:color="auto"/>
      </w:divBdr>
    </w:div>
    <w:div w:id="1032610039">
      <w:bodyDiv w:val="1"/>
      <w:marLeft w:val="0"/>
      <w:marRight w:val="0"/>
      <w:marTop w:val="0"/>
      <w:marBottom w:val="0"/>
      <w:divBdr>
        <w:top w:val="none" w:sz="0" w:space="0" w:color="auto"/>
        <w:left w:val="none" w:sz="0" w:space="0" w:color="auto"/>
        <w:bottom w:val="none" w:sz="0" w:space="0" w:color="auto"/>
        <w:right w:val="none" w:sz="0" w:space="0" w:color="auto"/>
      </w:divBdr>
    </w:div>
    <w:div w:id="1049112085">
      <w:bodyDiv w:val="1"/>
      <w:marLeft w:val="0"/>
      <w:marRight w:val="0"/>
      <w:marTop w:val="0"/>
      <w:marBottom w:val="0"/>
      <w:divBdr>
        <w:top w:val="none" w:sz="0" w:space="0" w:color="auto"/>
        <w:left w:val="none" w:sz="0" w:space="0" w:color="auto"/>
        <w:bottom w:val="none" w:sz="0" w:space="0" w:color="auto"/>
        <w:right w:val="none" w:sz="0" w:space="0" w:color="auto"/>
      </w:divBdr>
    </w:div>
    <w:div w:id="1051805002">
      <w:bodyDiv w:val="1"/>
      <w:marLeft w:val="0"/>
      <w:marRight w:val="0"/>
      <w:marTop w:val="0"/>
      <w:marBottom w:val="0"/>
      <w:divBdr>
        <w:top w:val="none" w:sz="0" w:space="0" w:color="auto"/>
        <w:left w:val="none" w:sz="0" w:space="0" w:color="auto"/>
        <w:bottom w:val="none" w:sz="0" w:space="0" w:color="auto"/>
        <w:right w:val="none" w:sz="0" w:space="0" w:color="auto"/>
      </w:divBdr>
    </w:div>
    <w:div w:id="1053701689">
      <w:bodyDiv w:val="1"/>
      <w:marLeft w:val="0"/>
      <w:marRight w:val="0"/>
      <w:marTop w:val="0"/>
      <w:marBottom w:val="0"/>
      <w:divBdr>
        <w:top w:val="none" w:sz="0" w:space="0" w:color="auto"/>
        <w:left w:val="none" w:sz="0" w:space="0" w:color="auto"/>
        <w:bottom w:val="none" w:sz="0" w:space="0" w:color="auto"/>
        <w:right w:val="none" w:sz="0" w:space="0" w:color="auto"/>
      </w:divBdr>
    </w:div>
    <w:div w:id="1056322415">
      <w:bodyDiv w:val="1"/>
      <w:marLeft w:val="0"/>
      <w:marRight w:val="0"/>
      <w:marTop w:val="0"/>
      <w:marBottom w:val="0"/>
      <w:divBdr>
        <w:top w:val="none" w:sz="0" w:space="0" w:color="auto"/>
        <w:left w:val="none" w:sz="0" w:space="0" w:color="auto"/>
        <w:bottom w:val="none" w:sz="0" w:space="0" w:color="auto"/>
        <w:right w:val="none" w:sz="0" w:space="0" w:color="auto"/>
      </w:divBdr>
    </w:div>
    <w:div w:id="1068260872">
      <w:bodyDiv w:val="1"/>
      <w:marLeft w:val="0"/>
      <w:marRight w:val="0"/>
      <w:marTop w:val="0"/>
      <w:marBottom w:val="0"/>
      <w:divBdr>
        <w:top w:val="none" w:sz="0" w:space="0" w:color="auto"/>
        <w:left w:val="none" w:sz="0" w:space="0" w:color="auto"/>
        <w:bottom w:val="none" w:sz="0" w:space="0" w:color="auto"/>
        <w:right w:val="none" w:sz="0" w:space="0" w:color="auto"/>
      </w:divBdr>
    </w:div>
    <w:div w:id="1078138563">
      <w:bodyDiv w:val="1"/>
      <w:marLeft w:val="0"/>
      <w:marRight w:val="0"/>
      <w:marTop w:val="0"/>
      <w:marBottom w:val="0"/>
      <w:divBdr>
        <w:top w:val="none" w:sz="0" w:space="0" w:color="auto"/>
        <w:left w:val="none" w:sz="0" w:space="0" w:color="auto"/>
        <w:bottom w:val="none" w:sz="0" w:space="0" w:color="auto"/>
        <w:right w:val="none" w:sz="0" w:space="0" w:color="auto"/>
      </w:divBdr>
      <w:divsChild>
        <w:div w:id="1383334067">
          <w:marLeft w:val="0"/>
          <w:marRight w:val="0"/>
          <w:marTop w:val="0"/>
          <w:marBottom w:val="0"/>
          <w:divBdr>
            <w:top w:val="none" w:sz="0" w:space="0" w:color="auto"/>
            <w:left w:val="none" w:sz="0" w:space="0" w:color="auto"/>
            <w:bottom w:val="none" w:sz="0" w:space="0" w:color="auto"/>
            <w:right w:val="none" w:sz="0" w:space="0" w:color="auto"/>
          </w:divBdr>
        </w:div>
      </w:divsChild>
    </w:div>
    <w:div w:id="1088044146">
      <w:bodyDiv w:val="1"/>
      <w:marLeft w:val="0"/>
      <w:marRight w:val="0"/>
      <w:marTop w:val="0"/>
      <w:marBottom w:val="0"/>
      <w:divBdr>
        <w:top w:val="none" w:sz="0" w:space="0" w:color="auto"/>
        <w:left w:val="none" w:sz="0" w:space="0" w:color="auto"/>
        <w:bottom w:val="none" w:sz="0" w:space="0" w:color="auto"/>
        <w:right w:val="none" w:sz="0" w:space="0" w:color="auto"/>
      </w:divBdr>
      <w:divsChild>
        <w:div w:id="558633260">
          <w:marLeft w:val="0"/>
          <w:marRight w:val="0"/>
          <w:marTop w:val="100"/>
          <w:marBottom w:val="100"/>
          <w:divBdr>
            <w:top w:val="none" w:sz="0" w:space="0" w:color="auto"/>
            <w:left w:val="none" w:sz="0" w:space="0" w:color="auto"/>
            <w:bottom w:val="none" w:sz="0" w:space="0" w:color="auto"/>
            <w:right w:val="none" w:sz="0" w:space="0" w:color="auto"/>
          </w:divBdr>
          <w:divsChild>
            <w:div w:id="460267590">
              <w:marLeft w:val="0"/>
              <w:marRight w:val="0"/>
              <w:marTop w:val="0"/>
              <w:marBottom w:val="0"/>
              <w:divBdr>
                <w:top w:val="none" w:sz="0" w:space="0" w:color="auto"/>
                <w:left w:val="none" w:sz="0" w:space="0" w:color="auto"/>
                <w:bottom w:val="none" w:sz="0" w:space="0" w:color="auto"/>
                <w:right w:val="none" w:sz="0" w:space="0" w:color="auto"/>
              </w:divBdr>
              <w:divsChild>
                <w:div w:id="2084519471">
                  <w:marLeft w:val="0"/>
                  <w:marRight w:val="0"/>
                  <w:marTop w:val="0"/>
                  <w:marBottom w:val="0"/>
                  <w:divBdr>
                    <w:top w:val="none" w:sz="0" w:space="0" w:color="auto"/>
                    <w:left w:val="none" w:sz="0" w:space="0" w:color="auto"/>
                    <w:bottom w:val="none" w:sz="0" w:space="0" w:color="auto"/>
                    <w:right w:val="none" w:sz="0" w:space="0" w:color="auto"/>
                  </w:divBdr>
                  <w:divsChild>
                    <w:div w:id="183248211">
                      <w:marLeft w:val="0"/>
                      <w:marRight w:val="0"/>
                      <w:marTop w:val="0"/>
                      <w:marBottom w:val="0"/>
                      <w:divBdr>
                        <w:top w:val="none" w:sz="0" w:space="0" w:color="auto"/>
                        <w:left w:val="none" w:sz="0" w:space="0" w:color="auto"/>
                        <w:bottom w:val="none" w:sz="0" w:space="0" w:color="auto"/>
                        <w:right w:val="none" w:sz="0" w:space="0" w:color="auto"/>
                      </w:divBdr>
                    </w:div>
                    <w:div w:id="17478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17636">
          <w:marLeft w:val="0"/>
          <w:marRight w:val="0"/>
          <w:marTop w:val="0"/>
          <w:marBottom w:val="300"/>
          <w:divBdr>
            <w:top w:val="none" w:sz="0" w:space="0" w:color="auto"/>
            <w:left w:val="none" w:sz="0" w:space="0" w:color="auto"/>
            <w:bottom w:val="none" w:sz="0" w:space="0" w:color="auto"/>
            <w:right w:val="none" w:sz="0" w:space="0" w:color="auto"/>
          </w:divBdr>
          <w:divsChild>
            <w:div w:id="140348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51391">
      <w:bodyDiv w:val="1"/>
      <w:marLeft w:val="0"/>
      <w:marRight w:val="0"/>
      <w:marTop w:val="0"/>
      <w:marBottom w:val="0"/>
      <w:divBdr>
        <w:top w:val="none" w:sz="0" w:space="0" w:color="auto"/>
        <w:left w:val="none" w:sz="0" w:space="0" w:color="auto"/>
        <w:bottom w:val="none" w:sz="0" w:space="0" w:color="auto"/>
        <w:right w:val="none" w:sz="0" w:space="0" w:color="auto"/>
      </w:divBdr>
    </w:div>
    <w:div w:id="1109008624">
      <w:bodyDiv w:val="1"/>
      <w:marLeft w:val="0"/>
      <w:marRight w:val="0"/>
      <w:marTop w:val="0"/>
      <w:marBottom w:val="0"/>
      <w:divBdr>
        <w:top w:val="none" w:sz="0" w:space="0" w:color="auto"/>
        <w:left w:val="none" w:sz="0" w:space="0" w:color="auto"/>
        <w:bottom w:val="none" w:sz="0" w:space="0" w:color="auto"/>
        <w:right w:val="none" w:sz="0" w:space="0" w:color="auto"/>
      </w:divBdr>
    </w:div>
    <w:div w:id="1109622605">
      <w:bodyDiv w:val="1"/>
      <w:marLeft w:val="0"/>
      <w:marRight w:val="0"/>
      <w:marTop w:val="0"/>
      <w:marBottom w:val="0"/>
      <w:divBdr>
        <w:top w:val="none" w:sz="0" w:space="0" w:color="auto"/>
        <w:left w:val="none" w:sz="0" w:space="0" w:color="auto"/>
        <w:bottom w:val="none" w:sz="0" w:space="0" w:color="auto"/>
        <w:right w:val="none" w:sz="0" w:space="0" w:color="auto"/>
      </w:divBdr>
    </w:div>
    <w:div w:id="1119449363">
      <w:bodyDiv w:val="1"/>
      <w:marLeft w:val="0"/>
      <w:marRight w:val="0"/>
      <w:marTop w:val="0"/>
      <w:marBottom w:val="0"/>
      <w:divBdr>
        <w:top w:val="none" w:sz="0" w:space="0" w:color="auto"/>
        <w:left w:val="none" w:sz="0" w:space="0" w:color="auto"/>
        <w:bottom w:val="none" w:sz="0" w:space="0" w:color="auto"/>
        <w:right w:val="none" w:sz="0" w:space="0" w:color="auto"/>
      </w:divBdr>
    </w:div>
    <w:div w:id="1132139183">
      <w:bodyDiv w:val="1"/>
      <w:marLeft w:val="0"/>
      <w:marRight w:val="0"/>
      <w:marTop w:val="0"/>
      <w:marBottom w:val="0"/>
      <w:divBdr>
        <w:top w:val="none" w:sz="0" w:space="0" w:color="auto"/>
        <w:left w:val="none" w:sz="0" w:space="0" w:color="auto"/>
        <w:bottom w:val="none" w:sz="0" w:space="0" w:color="auto"/>
        <w:right w:val="none" w:sz="0" w:space="0" w:color="auto"/>
      </w:divBdr>
    </w:div>
    <w:div w:id="1135878875">
      <w:bodyDiv w:val="1"/>
      <w:marLeft w:val="0"/>
      <w:marRight w:val="0"/>
      <w:marTop w:val="0"/>
      <w:marBottom w:val="0"/>
      <w:divBdr>
        <w:top w:val="none" w:sz="0" w:space="0" w:color="auto"/>
        <w:left w:val="none" w:sz="0" w:space="0" w:color="auto"/>
        <w:bottom w:val="none" w:sz="0" w:space="0" w:color="auto"/>
        <w:right w:val="none" w:sz="0" w:space="0" w:color="auto"/>
      </w:divBdr>
      <w:divsChild>
        <w:div w:id="150293741">
          <w:marLeft w:val="0"/>
          <w:marRight w:val="0"/>
          <w:marTop w:val="0"/>
          <w:marBottom w:val="0"/>
          <w:divBdr>
            <w:top w:val="none" w:sz="0" w:space="0" w:color="auto"/>
            <w:left w:val="none" w:sz="0" w:space="0" w:color="auto"/>
            <w:bottom w:val="none" w:sz="0" w:space="0" w:color="auto"/>
            <w:right w:val="none" w:sz="0" w:space="0" w:color="auto"/>
          </w:divBdr>
          <w:divsChild>
            <w:div w:id="336080172">
              <w:marLeft w:val="0"/>
              <w:marRight w:val="0"/>
              <w:marTop w:val="0"/>
              <w:marBottom w:val="0"/>
              <w:divBdr>
                <w:top w:val="none" w:sz="0" w:space="0" w:color="auto"/>
                <w:left w:val="none" w:sz="0" w:space="0" w:color="auto"/>
                <w:bottom w:val="none" w:sz="0" w:space="0" w:color="auto"/>
                <w:right w:val="none" w:sz="0" w:space="0" w:color="auto"/>
              </w:divBdr>
              <w:divsChild>
                <w:div w:id="609898675">
                  <w:marLeft w:val="0"/>
                  <w:marRight w:val="0"/>
                  <w:marTop w:val="0"/>
                  <w:marBottom w:val="0"/>
                  <w:divBdr>
                    <w:top w:val="none" w:sz="0" w:space="0" w:color="auto"/>
                    <w:left w:val="none" w:sz="0" w:space="0" w:color="auto"/>
                    <w:bottom w:val="none" w:sz="0" w:space="0" w:color="auto"/>
                    <w:right w:val="none" w:sz="0" w:space="0" w:color="auto"/>
                  </w:divBdr>
                  <w:divsChild>
                    <w:div w:id="222526076">
                      <w:marLeft w:val="0"/>
                      <w:marRight w:val="0"/>
                      <w:marTop w:val="0"/>
                      <w:marBottom w:val="0"/>
                      <w:divBdr>
                        <w:top w:val="none" w:sz="0" w:space="0" w:color="auto"/>
                        <w:left w:val="none" w:sz="0" w:space="0" w:color="auto"/>
                        <w:bottom w:val="none" w:sz="0" w:space="0" w:color="auto"/>
                        <w:right w:val="none" w:sz="0" w:space="0" w:color="auto"/>
                      </w:divBdr>
                      <w:divsChild>
                        <w:div w:id="948464713">
                          <w:marLeft w:val="0"/>
                          <w:marRight w:val="0"/>
                          <w:marTop w:val="0"/>
                          <w:marBottom w:val="0"/>
                          <w:divBdr>
                            <w:top w:val="none" w:sz="0" w:space="0" w:color="auto"/>
                            <w:left w:val="none" w:sz="0" w:space="0" w:color="auto"/>
                            <w:bottom w:val="none" w:sz="0" w:space="0" w:color="auto"/>
                            <w:right w:val="none" w:sz="0" w:space="0" w:color="auto"/>
                          </w:divBdr>
                          <w:divsChild>
                            <w:div w:id="131993499">
                              <w:marLeft w:val="0"/>
                              <w:marRight w:val="0"/>
                              <w:marTop w:val="0"/>
                              <w:marBottom w:val="0"/>
                              <w:divBdr>
                                <w:top w:val="none" w:sz="0" w:space="0" w:color="auto"/>
                                <w:left w:val="none" w:sz="0" w:space="0" w:color="auto"/>
                                <w:bottom w:val="none" w:sz="0" w:space="0" w:color="auto"/>
                                <w:right w:val="none" w:sz="0" w:space="0" w:color="auto"/>
                              </w:divBdr>
                              <w:divsChild>
                                <w:div w:id="52312128">
                                  <w:marLeft w:val="0"/>
                                  <w:marRight w:val="0"/>
                                  <w:marTop w:val="0"/>
                                  <w:marBottom w:val="0"/>
                                  <w:divBdr>
                                    <w:top w:val="none" w:sz="0" w:space="0" w:color="auto"/>
                                    <w:left w:val="none" w:sz="0" w:space="0" w:color="auto"/>
                                    <w:bottom w:val="none" w:sz="0" w:space="0" w:color="auto"/>
                                    <w:right w:val="none" w:sz="0" w:space="0" w:color="auto"/>
                                  </w:divBdr>
                                  <w:divsChild>
                                    <w:div w:id="17150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72868">
                          <w:marLeft w:val="0"/>
                          <w:marRight w:val="0"/>
                          <w:marTop w:val="0"/>
                          <w:marBottom w:val="0"/>
                          <w:divBdr>
                            <w:top w:val="none" w:sz="0" w:space="0" w:color="auto"/>
                            <w:left w:val="none" w:sz="0" w:space="0" w:color="auto"/>
                            <w:bottom w:val="none" w:sz="0" w:space="0" w:color="auto"/>
                            <w:right w:val="none" w:sz="0" w:space="0" w:color="auto"/>
                          </w:divBdr>
                          <w:divsChild>
                            <w:div w:id="570849450">
                              <w:marLeft w:val="0"/>
                              <w:marRight w:val="0"/>
                              <w:marTop w:val="0"/>
                              <w:marBottom w:val="0"/>
                              <w:divBdr>
                                <w:top w:val="none" w:sz="0" w:space="0" w:color="auto"/>
                                <w:left w:val="none" w:sz="0" w:space="0" w:color="auto"/>
                                <w:bottom w:val="none" w:sz="0" w:space="0" w:color="auto"/>
                                <w:right w:val="none" w:sz="0" w:space="0" w:color="auto"/>
                              </w:divBdr>
                              <w:divsChild>
                                <w:div w:id="145733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490385">
      <w:bodyDiv w:val="1"/>
      <w:marLeft w:val="0"/>
      <w:marRight w:val="0"/>
      <w:marTop w:val="0"/>
      <w:marBottom w:val="0"/>
      <w:divBdr>
        <w:top w:val="none" w:sz="0" w:space="0" w:color="auto"/>
        <w:left w:val="none" w:sz="0" w:space="0" w:color="auto"/>
        <w:bottom w:val="none" w:sz="0" w:space="0" w:color="auto"/>
        <w:right w:val="none" w:sz="0" w:space="0" w:color="auto"/>
      </w:divBdr>
      <w:divsChild>
        <w:div w:id="1337878899">
          <w:marLeft w:val="0"/>
          <w:marRight w:val="0"/>
          <w:marTop w:val="0"/>
          <w:marBottom w:val="0"/>
          <w:divBdr>
            <w:top w:val="none" w:sz="0" w:space="0" w:color="auto"/>
            <w:left w:val="none" w:sz="0" w:space="0" w:color="auto"/>
            <w:bottom w:val="none" w:sz="0" w:space="0" w:color="auto"/>
            <w:right w:val="none" w:sz="0" w:space="0" w:color="auto"/>
          </w:divBdr>
        </w:div>
      </w:divsChild>
    </w:div>
    <w:div w:id="1152788980">
      <w:bodyDiv w:val="1"/>
      <w:marLeft w:val="0"/>
      <w:marRight w:val="0"/>
      <w:marTop w:val="0"/>
      <w:marBottom w:val="0"/>
      <w:divBdr>
        <w:top w:val="none" w:sz="0" w:space="0" w:color="auto"/>
        <w:left w:val="none" w:sz="0" w:space="0" w:color="auto"/>
        <w:bottom w:val="none" w:sz="0" w:space="0" w:color="auto"/>
        <w:right w:val="none" w:sz="0" w:space="0" w:color="auto"/>
      </w:divBdr>
    </w:div>
    <w:div w:id="1188521708">
      <w:bodyDiv w:val="1"/>
      <w:marLeft w:val="0"/>
      <w:marRight w:val="0"/>
      <w:marTop w:val="0"/>
      <w:marBottom w:val="0"/>
      <w:divBdr>
        <w:top w:val="none" w:sz="0" w:space="0" w:color="auto"/>
        <w:left w:val="none" w:sz="0" w:space="0" w:color="auto"/>
        <w:bottom w:val="none" w:sz="0" w:space="0" w:color="auto"/>
        <w:right w:val="none" w:sz="0" w:space="0" w:color="auto"/>
      </w:divBdr>
    </w:div>
    <w:div w:id="1194079004">
      <w:bodyDiv w:val="1"/>
      <w:marLeft w:val="0"/>
      <w:marRight w:val="0"/>
      <w:marTop w:val="0"/>
      <w:marBottom w:val="0"/>
      <w:divBdr>
        <w:top w:val="none" w:sz="0" w:space="0" w:color="auto"/>
        <w:left w:val="none" w:sz="0" w:space="0" w:color="auto"/>
        <w:bottom w:val="none" w:sz="0" w:space="0" w:color="auto"/>
        <w:right w:val="none" w:sz="0" w:space="0" w:color="auto"/>
      </w:divBdr>
    </w:div>
    <w:div w:id="1195537545">
      <w:bodyDiv w:val="1"/>
      <w:marLeft w:val="0"/>
      <w:marRight w:val="0"/>
      <w:marTop w:val="0"/>
      <w:marBottom w:val="0"/>
      <w:divBdr>
        <w:top w:val="none" w:sz="0" w:space="0" w:color="auto"/>
        <w:left w:val="none" w:sz="0" w:space="0" w:color="auto"/>
        <w:bottom w:val="none" w:sz="0" w:space="0" w:color="auto"/>
        <w:right w:val="none" w:sz="0" w:space="0" w:color="auto"/>
      </w:divBdr>
    </w:div>
    <w:div w:id="1210914769">
      <w:bodyDiv w:val="1"/>
      <w:marLeft w:val="0"/>
      <w:marRight w:val="0"/>
      <w:marTop w:val="0"/>
      <w:marBottom w:val="0"/>
      <w:divBdr>
        <w:top w:val="none" w:sz="0" w:space="0" w:color="auto"/>
        <w:left w:val="none" w:sz="0" w:space="0" w:color="auto"/>
        <w:bottom w:val="none" w:sz="0" w:space="0" w:color="auto"/>
        <w:right w:val="none" w:sz="0" w:space="0" w:color="auto"/>
      </w:divBdr>
    </w:div>
    <w:div w:id="1220089089">
      <w:bodyDiv w:val="1"/>
      <w:marLeft w:val="0"/>
      <w:marRight w:val="0"/>
      <w:marTop w:val="0"/>
      <w:marBottom w:val="0"/>
      <w:divBdr>
        <w:top w:val="none" w:sz="0" w:space="0" w:color="auto"/>
        <w:left w:val="none" w:sz="0" w:space="0" w:color="auto"/>
        <w:bottom w:val="none" w:sz="0" w:space="0" w:color="auto"/>
        <w:right w:val="none" w:sz="0" w:space="0" w:color="auto"/>
      </w:divBdr>
    </w:div>
    <w:div w:id="1234513596">
      <w:bodyDiv w:val="1"/>
      <w:marLeft w:val="0"/>
      <w:marRight w:val="0"/>
      <w:marTop w:val="0"/>
      <w:marBottom w:val="0"/>
      <w:divBdr>
        <w:top w:val="none" w:sz="0" w:space="0" w:color="auto"/>
        <w:left w:val="none" w:sz="0" w:space="0" w:color="auto"/>
        <w:bottom w:val="none" w:sz="0" w:space="0" w:color="auto"/>
        <w:right w:val="none" w:sz="0" w:space="0" w:color="auto"/>
      </w:divBdr>
    </w:div>
    <w:div w:id="1247227651">
      <w:bodyDiv w:val="1"/>
      <w:marLeft w:val="0"/>
      <w:marRight w:val="0"/>
      <w:marTop w:val="0"/>
      <w:marBottom w:val="0"/>
      <w:divBdr>
        <w:top w:val="none" w:sz="0" w:space="0" w:color="auto"/>
        <w:left w:val="none" w:sz="0" w:space="0" w:color="auto"/>
        <w:bottom w:val="none" w:sz="0" w:space="0" w:color="auto"/>
        <w:right w:val="none" w:sz="0" w:space="0" w:color="auto"/>
      </w:divBdr>
      <w:divsChild>
        <w:div w:id="247007518">
          <w:marLeft w:val="0"/>
          <w:marRight w:val="0"/>
          <w:marTop w:val="0"/>
          <w:marBottom w:val="0"/>
          <w:divBdr>
            <w:top w:val="none" w:sz="0" w:space="0" w:color="auto"/>
            <w:left w:val="none" w:sz="0" w:space="0" w:color="auto"/>
            <w:bottom w:val="none" w:sz="0" w:space="0" w:color="auto"/>
            <w:right w:val="none" w:sz="0" w:space="0" w:color="auto"/>
          </w:divBdr>
          <w:divsChild>
            <w:div w:id="4435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61877">
      <w:bodyDiv w:val="1"/>
      <w:marLeft w:val="0"/>
      <w:marRight w:val="0"/>
      <w:marTop w:val="0"/>
      <w:marBottom w:val="0"/>
      <w:divBdr>
        <w:top w:val="none" w:sz="0" w:space="0" w:color="auto"/>
        <w:left w:val="none" w:sz="0" w:space="0" w:color="auto"/>
        <w:bottom w:val="none" w:sz="0" w:space="0" w:color="auto"/>
        <w:right w:val="none" w:sz="0" w:space="0" w:color="auto"/>
      </w:divBdr>
    </w:div>
    <w:div w:id="1265915319">
      <w:bodyDiv w:val="1"/>
      <w:marLeft w:val="0"/>
      <w:marRight w:val="0"/>
      <w:marTop w:val="0"/>
      <w:marBottom w:val="0"/>
      <w:divBdr>
        <w:top w:val="none" w:sz="0" w:space="0" w:color="auto"/>
        <w:left w:val="none" w:sz="0" w:space="0" w:color="auto"/>
        <w:bottom w:val="none" w:sz="0" w:space="0" w:color="auto"/>
        <w:right w:val="none" w:sz="0" w:space="0" w:color="auto"/>
      </w:divBdr>
    </w:div>
    <w:div w:id="1290934133">
      <w:bodyDiv w:val="1"/>
      <w:marLeft w:val="0"/>
      <w:marRight w:val="0"/>
      <w:marTop w:val="0"/>
      <w:marBottom w:val="0"/>
      <w:divBdr>
        <w:top w:val="none" w:sz="0" w:space="0" w:color="auto"/>
        <w:left w:val="none" w:sz="0" w:space="0" w:color="auto"/>
        <w:bottom w:val="none" w:sz="0" w:space="0" w:color="auto"/>
        <w:right w:val="none" w:sz="0" w:space="0" w:color="auto"/>
      </w:divBdr>
    </w:div>
    <w:div w:id="1300915838">
      <w:bodyDiv w:val="1"/>
      <w:marLeft w:val="0"/>
      <w:marRight w:val="0"/>
      <w:marTop w:val="0"/>
      <w:marBottom w:val="0"/>
      <w:divBdr>
        <w:top w:val="none" w:sz="0" w:space="0" w:color="auto"/>
        <w:left w:val="none" w:sz="0" w:space="0" w:color="auto"/>
        <w:bottom w:val="none" w:sz="0" w:space="0" w:color="auto"/>
        <w:right w:val="none" w:sz="0" w:space="0" w:color="auto"/>
      </w:divBdr>
    </w:div>
    <w:div w:id="1304236624">
      <w:bodyDiv w:val="1"/>
      <w:marLeft w:val="0"/>
      <w:marRight w:val="0"/>
      <w:marTop w:val="0"/>
      <w:marBottom w:val="0"/>
      <w:divBdr>
        <w:top w:val="none" w:sz="0" w:space="0" w:color="auto"/>
        <w:left w:val="none" w:sz="0" w:space="0" w:color="auto"/>
        <w:bottom w:val="none" w:sz="0" w:space="0" w:color="auto"/>
        <w:right w:val="none" w:sz="0" w:space="0" w:color="auto"/>
      </w:divBdr>
    </w:div>
    <w:div w:id="1322851575">
      <w:bodyDiv w:val="1"/>
      <w:marLeft w:val="0"/>
      <w:marRight w:val="0"/>
      <w:marTop w:val="0"/>
      <w:marBottom w:val="0"/>
      <w:divBdr>
        <w:top w:val="none" w:sz="0" w:space="0" w:color="auto"/>
        <w:left w:val="none" w:sz="0" w:space="0" w:color="auto"/>
        <w:bottom w:val="none" w:sz="0" w:space="0" w:color="auto"/>
        <w:right w:val="none" w:sz="0" w:space="0" w:color="auto"/>
      </w:divBdr>
    </w:div>
    <w:div w:id="1329484472">
      <w:bodyDiv w:val="1"/>
      <w:marLeft w:val="0"/>
      <w:marRight w:val="0"/>
      <w:marTop w:val="0"/>
      <w:marBottom w:val="0"/>
      <w:divBdr>
        <w:top w:val="none" w:sz="0" w:space="0" w:color="auto"/>
        <w:left w:val="none" w:sz="0" w:space="0" w:color="auto"/>
        <w:bottom w:val="none" w:sz="0" w:space="0" w:color="auto"/>
        <w:right w:val="none" w:sz="0" w:space="0" w:color="auto"/>
      </w:divBdr>
    </w:div>
    <w:div w:id="1332413971">
      <w:bodyDiv w:val="1"/>
      <w:marLeft w:val="0"/>
      <w:marRight w:val="0"/>
      <w:marTop w:val="0"/>
      <w:marBottom w:val="0"/>
      <w:divBdr>
        <w:top w:val="none" w:sz="0" w:space="0" w:color="auto"/>
        <w:left w:val="none" w:sz="0" w:space="0" w:color="auto"/>
        <w:bottom w:val="none" w:sz="0" w:space="0" w:color="auto"/>
        <w:right w:val="none" w:sz="0" w:space="0" w:color="auto"/>
      </w:divBdr>
    </w:div>
    <w:div w:id="1337728556">
      <w:bodyDiv w:val="1"/>
      <w:marLeft w:val="0"/>
      <w:marRight w:val="0"/>
      <w:marTop w:val="0"/>
      <w:marBottom w:val="0"/>
      <w:divBdr>
        <w:top w:val="none" w:sz="0" w:space="0" w:color="auto"/>
        <w:left w:val="none" w:sz="0" w:space="0" w:color="auto"/>
        <w:bottom w:val="none" w:sz="0" w:space="0" w:color="auto"/>
        <w:right w:val="none" w:sz="0" w:space="0" w:color="auto"/>
      </w:divBdr>
    </w:div>
    <w:div w:id="1352342201">
      <w:bodyDiv w:val="1"/>
      <w:marLeft w:val="0"/>
      <w:marRight w:val="0"/>
      <w:marTop w:val="0"/>
      <w:marBottom w:val="0"/>
      <w:divBdr>
        <w:top w:val="none" w:sz="0" w:space="0" w:color="auto"/>
        <w:left w:val="none" w:sz="0" w:space="0" w:color="auto"/>
        <w:bottom w:val="none" w:sz="0" w:space="0" w:color="auto"/>
        <w:right w:val="none" w:sz="0" w:space="0" w:color="auto"/>
      </w:divBdr>
    </w:div>
    <w:div w:id="1361317193">
      <w:bodyDiv w:val="1"/>
      <w:marLeft w:val="0"/>
      <w:marRight w:val="0"/>
      <w:marTop w:val="0"/>
      <w:marBottom w:val="0"/>
      <w:divBdr>
        <w:top w:val="none" w:sz="0" w:space="0" w:color="auto"/>
        <w:left w:val="none" w:sz="0" w:space="0" w:color="auto"/>
        <w:bottom w:val="none" w:sz="0" w:space="0" w:color="auto"/>
        <w:right w:val="none" w:sz="0" w:space="0" w:color="auto"/>
      </w:divBdr>
    </w:div>
    <w:div w:id="1364283039">
      <w:bodyDiv w:val="1"/>
      <w:marLeft w:val="0"/>
      <w:marRight w:val="0"/>
      <w:marTop w:val="0"/>
      <w:marBottom w:val="0"/>
      <w:divBdr>
        <w:top w:val="none" w:sz="0" w:space="0" w:color="auto"/>
        <w:left w:val="none" w:sz="0" w:space="0" w:color="auto"/>
        <w:bottom w:val="none" w:sz="0" w:space="0" w:color="auto"/>
        <w:right w:val="none" w:sz="0" w:space="0" w:color="auto"/>
      </w:divBdr>
    </w:div>
    <w:div w:id="1367363322">
      <w:bodyDiv w:val="1"/>
      <w:marLeft w:val="0"/>
      <w:marRight w:val="0"/>
      <w:marTop w:val="0"/>
      <w:marBottom w:val="0"/>
      <w:divBdr>
        <w:top w:val="none" w:sz="0" w:space="0" w:color="auto"/>
        <w:left w:val="none" w:sz="0" w:space="0" w:color="auto"/>
        <w:bottom w:val="none" w:sz="0" w:space="0" w:color="auto"/>
        <w:right w:val="none" w:sz="0" w:space="0" w:color="auto"/>
      </w:divBdr>
    </w:div>
    <w:div w:id="1380740555">
      <w:bodyDiv w:val="1"/>
      <w:marLeft w:val="0"/>
      <w:marRight w:val="0"/>
      <w:marTop w:val="0"/>
      <w:marBottom w:val="0"/>
      <w:divBdr>
        <w:top w:val="none" w:sz="0" w:space="0" w:color="auto"/>
        <w:left w:val="none" w:sz="0" w:space="0" w:color="auto"/>
        <w:bottom w:val="none" w:sz="0" w:space="0" w:color="auto"/>
        <w:right w:val="none" w:sz="0" w:space="0" w:color="auto"/>
      </w:divBdr>
    </w:div>
    <w:div w:id="1384862334">
      <w:bodyDiv w:val="1"/>
      <w:marLeft w:val="0"/>
      <w:marRight w:val="0"/>
      <w:marTop w:val="0"/>
      <w:marBottom w:val="0"/>
      <w:divBdr>
        <w:top w:val="none" w:sz="0" w:space="0" w:color="auto"/>
        <w:left w:val="none" w:sz="0" w:space="0" w:color="auto"/>
        <w:bottom w:val="none" w:sz="0" w:space="0" w:color="auto"/>
        <w:right w:val="none" w:sz="0" w:space="0" w:color="auto"/>
      </w:divBdr>
    </w:div>
    <w:div w:id="1385444147">
      <w:bodyDiv w:val="1"/>
      <w:marLeft w:val="0"/>
      <w:marRight w:val="0"/>
      <w:marTop w:val="0"/>
      <w:marBottom w:val="0"/>
      <w:divBdr>
        <w:top w:val="none" w:sz="0" w:space="0" w:color="auto"/>
        <w:left w:val="none" w:sz="0" w:space="0" w:color="auto"/>
        <w:bottom w:val="none" w:sz="0" w:space="0" w:color="auto"/>
        <w:right w:val="none" w:sz="0" w:space="0" w:color="auto"/>
      </w:divBdr>
    </w:div>
    <w:div w:id="1387266140">
      <w:bodyDiv w:val="1"/>
      <w:marLeft w:val="0"/>
      <w:marRight w:val="0"/>
      <w:marTop w:val="0"/>
      <w:marBottom w:val="0"/>
      <w:divBdr>
        <w:top w:val="none" w:sz="0" w:space="0" w:color="auto"/>
        <w:left w:val="none" w:sz="0" w:space="0" w:color="auto"/>
        <w:bottom w:val="none" w:sz="0" w:space="0" w:color="auto"/>
        <w:right w:val="none" w:sz="0" w:space="0" w:color="auto"/>
      </w:divBdr>
    </w:div>
    <w:div w:id="1393625197">
      <w:bodyDiv w:val="1"/>
      <w:marLeft w:val="0"/>
      <w:marRight w:val="0"/>
      <w:marTop w:val="0"/>
      <w:marBottom w:val="0"/>
      <w:divBdr>
        <w:top w:val="none" w:sz="0" w:space="0" w:color="auto"/>
        <w:left w:val="none" w:sz="0" w:space="0" w:color="auto"/>
        <w:bottom w:val="none" w:sz="0" w:space="0" w:color="auto"/>
        <w:right w:val="none" w:sz="0" w:space="0" w:color="auto"/>
      </w:divBdr>
      <w:divsChild>
        <w:div w:id="124978803">
          <w:marLeft w:val="0"/>
          <w:marRight w:val="0"/>
          <w:marTop w:val="100"/>
          <w:marBottom w:val="100"/>
          <w:divBdr>
            <w:top w:val="none" w:sz="0" w:space="0" w:color="auto"/>
            <w:left w:val="none" w:sz="0" w:space="0" w:color="auto"/>
            <w:bottom w:val="none" w:sz="0" w:space="0" w:color="auto"/>
            <w:right w:val="none" w:sz="0" w:space="0" w:color="auto"/>
          </w:divBdr>
          <w:divsChild>
            <w:div w:id="129247702">
              <w:marLeft w:val="0"/>
              <w:marRight w:val="0"/>
              <w:marTop w:val="0"/>
              <w:marBottom w:val="0"/>
              <w:divBdr>
                <w:top w:val="none" w:sz="0" w:space="0" w:color="auto"/>
                <w:left w:val="none" w:sz="0" w:space="0" w:color="auto"/>
                <w:bottom w:val="none" w:sz="0" w:space="0" w:color="auto"/>
                <w:right w:val="none" w:sz="0" w:space="0" w:color="auto"/>
              </w:divBdr>
              <w:divsChild>
                <w:div w:id="121939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110">
          <w:marLeft w:val="0"/>
          <w:marRight w:val="0"/>
          <w:marTop w:val="0"/>
          <w:marBottom w:val="300"/>
          <w:divBdr>
            <w:top w:val="none" w:sz="0" w:space="0" w:color="auto"/>
            <w:left w:val="none" w:sz="0" w:space="0" w:color="auto"/>
            <w:bottom w:val="none" w:sz="0" w:space="0" w:color="auto"/>
            <w:right w:val="none" w:sz="0" w:space="0" w:color="auto"/>
          </w:divBdr>
          <w:divsChild>
            <w:div w:id="208417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8997">
      <w:bodyDiv w:val="1"/>
      <w:marLeft w:val="0"/>
      <w:marRight w:val="0"/>
      <w:marTop w:val="0"/>
      <w:marBottom w:val="0"/>
      <w:divBdr>
        <w:top w:val="none" w:sz="0" w:space="0" w:color="auto"/>
        <w:left w:val="none" w:sz="0" w:space="0" w:color="auto"/>
        <w:bottom w:val="none" w:sz="0" w:space="0" w:color="auto"/>
        <w:right w:val="none" w:sz="0" w:space="0" w:color="auto"/>
      </w:divBdr>
    </w:div>
    <w:div w:id="1408501142">
      <w:bodyDiv w:val="1"/>
      <w:marLeft w:val="0"/>
      <w:marRight w:val="0"/>
      <w:marTop w:val="0"/>
      <w:marBottom w:val="0"/>
      <w:divBdr>
        <w:top w:val="none" w:sz="0" w:space="0" w:color="auto"/>
        <w:left w:val="none" w:sz="0" w:space="0" w:color="auto"/>
        <w:bottom w:val="none" w:sz="0" w:space="0" w:color="auto"/>
        <w:right w:val="none" w:sz="0" w:space="0" w:color="auto"/>
      </w:divBdr>
    </w:div>
    <w:div w:id="1409424351">
      <w:bodyDiv w:val="1"/>
      <w:marLeft w:val="0"/>
      <w:marRight w:val="0"/>
      <w:marTop w:val="0"/>
      <w:marBottom w:val="0"/>
      <w:divBdr>
        <w:top w:val="none" w:sz="0" w:space="0" w:color="auto"/>
        <w:left w:val="none" w:sz="0" w:space="0" w:color="auto"/>
        <w:bottom w:val="none" w:sz="0" w:space="0" w:color="auto"/>
        <w:right w:val="none" w:sz="0" w:space="0" w:color="auto"/>
      </w:divBdr>
    </w:div>
    <w:div w:id="1412390372">
      <w:bodyDiv w:val="1"/>
      <w:marLeft w:val="0"/>
      <w:marRight w:val="0"/>
      <w:marTop w:val="0"/>
      <w:marBottom w:val="0"/>
      <w:divBdr>
        <w:top w:val="none" w:sz="0" w:space="0" w:color="auto"/>
        <w:left w:val="none" w:sz="0" w:space="0" w:color="auto"/>
        <w:bottom w:val="none" w:sz="0" w:space="0" w:color="auto"/>
        <w:right w:val="none" w:sz="0" w:space="0" w:color="auto"/>
      </w:divBdr>
    </w:div>
    <w:div w:id="1423910372">
      <w:bodyDiv w:val="1"/>
      <w:marLeft w:val="0"/>
      <w:marRight w:val="0"/>
      <w:marTop w:val="0"/>
      <w:marBottom w:val="0"/>
      <w:divBdr>
        <w:top w:val="none" w:sz="0" w:space="0" w:color="auto"/>
        <w:left w:val="none" w:sz="0" w:space="0" w:color="auto"/>
        <w:bottom w:val="none" w:sz="0" w:space="0" w:color="auto"/>
        <w:right w:val="none" w:sz="0" w:space="0" w:color="auto"/>
      </w:divBdr>
    </w:div>
    <w:div w:id="1427308761">
      <w:bodyDiv w:val="1"/>
      <w:marLeft w:val="0"/>
      <w:marRight w:val="0"/>
      <w:marTop w:val="0"/>
      <w:marBottom w:val="0"/>
      <w:divBdr>
        <w:top w:val="none" w:sz="0" w:space="0" w:color="auto"/>
        <w:left w:val="none" w:sz="0" w:space="0" w:color="auto"/>
        <w:bottom w:val="none" w:sz="0" w:space="0" w:color="auto"/>
        <w:right w:val="none" w:sz="0" w:space="0" w:color="auto"/>
      </w:divBdr>
    </w:div>
    <w:div w:id="1430195472">
      <w:bodyDiv w:val="1"/>
      <w:marLeft w:val="0"/>
      <w:marRight w:val="0"/>
      <w:marTop w:val="0"/>
      <w:marBottom w:val="0"/>
      <w:divBdr>
        <w:top w:val="none" w:sz="0" w:space="0" w:color="auto"/>
        <w:left w:val="none" w:sz="0" w:space="0" w:color="auto"/>
        <w:bottom w:val="none" w:sz="0" w:space="0" w:color="auto"/>
        <w:right w:val="none" w:sz="0" w:space="0" w:color="auto"/>
      </w:divBdr>
    </w:div>
    <w:div w:id="1460681513">
      <w:bodyDiv w:val="1"/>
      <w:marLeft w:val="0"/>
      <w:marRight w:val="0"/>
      <w:marTop w:val="0"/>
      <w:marBottom w:val="0"/>
      <w:divBdr>
        <w:top w:val="none" w:sz="0" w:space="0" w:color="auto"/>
        <w:left w:val="none" w:sz="0" w:space="0" w:color="auto"/>
        <w:bottom w:val="none" w:sz="0" w:space="0" w:color="auto"/>
        <w:right w:val="none" w:sz="0" w:space="0" w:color="auto"/>
      </w:divBdr>
      <w:divsChild>
        <w:div w:id="809517251">
          <w:marLeft w:val="0"/>
          <w:marRight w:val="0"/>
          <w:marTop w:val="0"/>
          <w:marBottom w:val="0"/>
          <w:divBdr>
            <w:top w:val="none" w:sz="0" w:space="0" w:color="auto"/>
            <w:left w:val="none" w:sz="0" w:space="0" w:color="auto"/>
            <w:bottom w:val="none" w:sz="0" w:space="0" w:color="auto"/>
            <w:right w:val="none" w:sz="0" w:space="0" w:color="auto"/>
          </w:divBdr>
          <w:divsChild>
            <w:div w:id="11752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4053">
      <w:bodyDiv w:val="1"/>
      <w:marLeft w:val="0"/>
      <w:marRight w:val="0"/>
      <w:marTop w:val="0"/>
      <w:marBottom w:val="0"/>
      <w:divBdr>
        <w:top w:val="none" w:sz="0" w:space="0" w:color="auto"/>
        <w:left w:val="none" w:sz="0" w:space="0" w:color="auto"/>
        <w:bottom w:val="none" w:sz="0" w:space="0" w:color="auto"/>
        <w:right w:val="none" w:sz="0" w:space="0" w:color="auto"/>
      </w:divBdr>
    </w:div>
    <w:div w:id="1471247352">
      <w:bodyDiv w:val="1"/>
      <w:marLeft w:val="0"/>
      <w:marRight w:val="0"/>
      <w:marTop w:val="0"/>
      <w:marBottom w:val="0"/>
      <w:divBdr>
        <w:top w:val="none" w:sz="0" w:space="0" w:color="auto"/>
        <w:left w:val="none" w:sz="0" w:space="0" w:color="auto"/>
        <w:bottom w:val="none" w:sz="0" w:space="0" w:color="auto"/>
        <w:right w:val="none" w:sz="0" w:space="0" w:color="auto"/>
      </w:divBdr>
    </w:div>
    <w:div w:id="1516923779">
      <w:bodyDiv w:val="1"/>
      <w:marLeft w:val="0"/>
      <w:marRight w:val="0"/>
      <w:marTop w:val="0"/>
      <w:marBottom w:val="0"/>
      <w:divBdr>
        <w:top w:val="none" w:sz="0" w:space="0" w:color="auto"/>
        <w:left w:val="none" w:sz="0" w:space="0" w:color="auto"/>
        <w:bottom w:val="none" w:sz="0" w:space="0" w:color="auto"/>
        <w:right w:val="none" w:sz="0" w:space="0" w:color="auto"/>
      </w:divBdr>
    </w:div>
    <w:div w:id="1517118467">
      <w:bodyDiv w:val="1"/>
      <w:marLeft w:val="0"/>
      <w:marRight w:val="0"/>
      <w:marTop w:val="0"/>
      <w:marBottom w:val="0"/>
      <w:divBdr>
        <w:top w:val="none" w:sz="0" w:space="0" w:color="auto"/>
        <w:left w:val="none" w:sz="0" w:space="0" w:color="auto"/>
        <w:bottom w:val="none" w:sz="0" w:space="0" w:color="auto"/>
        <w:right w:val="none" w:sz="0" w:space="0" w:color="auto"/>
      </w:divBdr>
    </w:div>
    <w:div w:id="1519930522">
      <w:bodyDiv w:val="1"/>
      <w:marLeft w:val="0"/>
      <w:marRight w:val="0"/>
      <w:marTop w:val="0"/>
      <w:marBottom w:val="0"/>
      <w:divBdr>
        <w:top w:val="none" w:sz="0" w:space="0" w:color="auto"/>
        <w:left w:val="none" w:sz="0" w:space="0" w:color="auto"/>
        <w:bottom w:val="none" w:sz="0" w:space="0" w:color="auto"/>
        <w:right w:val="none" w:sz="0" w:space="0" w:color="auto"/>
      </w:divBdr>
    </w:div>
    <w:div w:id="1522351239">
      <w:bodyDiv w:val="1"/>
      <w:marLeft w:val="0"/>
      <w:marRight w:val="0"/>
      <w:marTop w:val="0"/>
      <w:marBottom w:val="0"/>
      <w:divBdr>
        <w:top w:val="none" w:sz="0" w:space="0" w:color="auto"/>
        <w:left w:val="none" w:sz="0" w:space="0" w:color="auto"/>
        <w:bottom w:val="none" w:sz="0" w:space="0" w:color="auto"/>
        <w:right w:val="none" w:sz="0" w:space="0" w:color="auto"/>
      </w:divBdr>
    </w:div>
    <w:div w:id="1531262149">
      <w:bodyDiv w:val="1"/>
      <w:marLeft w:val="0"/>
      <w:marRight w:val="0"/>
      <w:marTop w:val="0"/>
      <w:marBottom w:val="0"/>
      <w:divBdr>
        <w:top w:val="none" w:sz="0" w:space="0" w:color="auto"/>
        <w:left w:val="none" w:sz="0" w:space="0" w:color="auto"/>
        <w:bottom w:val="none" w:sz="0" w:space="0" w:color="auto"/>
        <w:right w:val="none" w:sz="0" w:space="0" w:color="auto"/>
      </w:divBdr>
    </w:div>
    <w:div w:id="1549680694">
      <w:bodyDiv w:val="1"/>
      <w:marLeft w:val="0"/>
      <w:marRight w:val="0"/>
      <w:marTop w:val="0"/>
      <w:marBottom w:val="0"/>
      <w:divBdr>
        <w:top w:val="none" w:sz="0" w:space="0" w:color="auto"/>
        <w:left w:val="none" w:sz="0" w:space="0" w:color="auto"/>
        <w:bottom w:val="none" w:sz="0" w:space="0" w:color="auto"/>
        <w:right w:val="none" w:sz="0" w:space="0" w:color="auto"/>
      </w:divBdr>
    </w:div>
    <w:div w:id="1558784974">
      <w:bodyDiv w:val="1"/>
      <w:marLeft w:val="0"/>
      <w:marRight w:val="0"/>
      <w:marTop w:val="0"/>
      <w:marBottom w:val="0"/>
      <w:divBdr>
        <w:top w:val="none" w:sz="0" w:space="0" w:color="auto"/>
        <w:left w:val="none" w:sz="0" w:space="0" w:color="auto"/>
        <w:bottom w:val="none" w:sz="0" w:space="0" w:color="auto"/>
        <w:right w:val="none" w:sz="0" w:space="0" w:color="auto"/>
      </w:divBdr>
    </w:div>
    <w:div w:id="1561793074">
      <w:bodyDiv w:val="1"/>
      <w:marLeft w:val="0"/>
      <w:marRight w:val="0"/>
      <w:marTop w:val="0"/>
      <w:marBottom w:val="0"/>
      <w:divBdr>
        <w:top w:val="none" w:sz="0" w:space="0" w:color="auto"/>
        <w:left w:val="none" w:sz="0" w:space="0" w:color="auto"/>
        <w:bottom w:val="none" w:sz="0" w:space="0" w:color="auto"/>
        <w:right w:val="none" w:sz="0" w:space="0" w:color="auto"/>
      </w:divBdr>
    </w:div>
    <w:div w:id="1578782088">
      <w:bodyDiv w:val="1"/>
      <w:marLeft w:val="0"/>
      <w:marRight w:val="0"/>
      <w:marTop w:val="0"/>
      <w:marBottom w:val="0"/>
      <w:divBdr>
        <w:top w:val="none" w:sz="0" w:space="0" w:color="auto"/>
        <w:left w:val="none" w:sz="0" w:space="0" w:color="auto"/>
        <w:bottom w:val="none" w:sz="0" w:space="0" w:color="auto"/>
        <w:right w:val="none" w:sz="0" w:space="0" w:color="auto"/>
      </w:divBdr>
    </w:div>
    <w:div w:id="1590696778">
      <w:bodyDiv w:val="1"/>
      <w:marLeft w:val="0"/>
      <w:marRight w:val="0"/>
      <w:marTop w:val="0"/>
      <w:marBottom w:val="0"/>
      <w:divBdr>
        <w:top w:val="none" w:sz="0" w:space="0" w:color="auto"/>
        <w:left w:val="none" w:sz="0" w:space="0" w:color="auto"/>
        <w:bottom w:val="none" w:sz="0" w:space="0" w:color="auto"/>
        <w:right w:val="none" w:sz="0" w:space="0" w:color="auto"/>
      </w:divBdr>
    </w:div>
    <w:div w:id="1594898390">
      <w:bodyDiv w:val="1"/>
      <w:marLeft w:val="0"/>
      <w:marRight w:val="0"/>
      <w:marTop w:val="0"/>
      <w:marBottom w:val="0"/>
      <w:divBdr>
        <w:top w:val="none" w:sz="0" w:space="0" w:color="auto"/>
        <w:left w:val="none" w:sz="0" w:space="0" w:color="auto"/>
        <w:bottom w:val="none" w:sz="0" w:space="0" w:color="auto"/>
        <w:right w:val="none" w:sz="0" w:space="0" w:color="auto"/>
      </w:divBdr>
    </w:div>
    <w:div w:id="1599482125">
      <w:bodyDiv w:val="1"/>
      <w:marLeft w:val="0"/>
      <w:marRight w:val="0"/>
      <w:marTop w:val="0"/>
      <w:marBottom w:val="0"/>
      <w:divBdr>
        <w:top w:val="none" w:sz="0" w:space="0" w:color="auto"/>
        <w:left w:val="none" w:sz="0" w:space="0" w:color="auto"/>
        <w:bottom w:val="none" w:sz="0" w:space="0" w:color="auto"/>
        <w:right w:val="none" w:sz="0" w:space="0" w:color="auto"/>
      </w:divBdr>
      <w:divsChild>
        <w:div w:id="1824657258">
          <w:marLeft w:val="0"/>
          <w:marRight w:val="0"/>
          <w:marTop w:val="100"/>
          <w:marBottom w:val="100"/>
          <w:divBdr>
            <w:top w:val="none" w:sz="0" w:space="0" w:color="auto"/>
            <w:left w:val="none" w:sz="0" w:space="0" w:color="auto"/>
            <w:bottom w:val="none" w:sz="0" w:space="0" w:color="auto"/>
            <w:right w:val="none" w:sz="0" w:space="0" w:color="auto"/>
          </w:divBdr>
          <w:divsChild>
            <w:div w:id="2107261793">
              <w:marLeft w:val="0"/>
              <w:marRight w:val="0"/>
              <w:marTop w:val="0"/>
              <w:marBottom w:val="0"/>
              <w:divBdr>
                <w:top w:val="none" w:sz="0" w:space="0" w:color="auto"/>
                <w:left w:val="none" w:sz="0" w:space="0" w:color="auto"/>
                <w:bottom w:val="none" w:sz="0" w:space="0" w:color="auto"/>
                <w:right w:val="none" w:sz="0" w:space="0" w:color="auto"/>
              </w:divBdr>
              <w:divsChild>
                <w:div w:id="18189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7361">
          <w:marLeft w:val="0"/>
          <w:marRight w:val="0"/>
          <w:marTop w:val="0"/>
          <w:marBottom w:val="300"/>
          <w:divBdr>
            <w:top w:val="none" w:sz="0" w:space="0" w:color="auto"/>
            <w:left w:val="none" w:sz="0" w:space="0" w:color="auto"/>
            <w:bottom w:val="none" w:sz="0" w:space="0" w:color="auto"/>
            <w:right w:val="none" w:sz="0" w:space="0" w:color="auto"/>
          </w:divBdr>
          <w:divsChild>
            <w:div w:id="14770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81920">
      <w:bodyDiv w:val="1"/>
      <w:marLeft w:val="0"/>
      <w:marRight w:val="0"/>
      <w:marTop w:val="0"/>
      <w:marBottom w:val="0"/>
      <w:divBdr>
        <w:top w:val="none" w:sz="0" w:space="0" w:color="auto"/>
        <w:left w:val="none" w:sz="0" w:space="0" w:color="auto"/>
        <w:bottom w:val="none" w:sz="0" w:space="0" w:color="auto"/>
        <w:right w:val="none" w:sz="0" w:space="0" w:color="auto"/>
      </w:divBdr>
    </w:div>
    <w:div w:id="1604386840">
      <w:bodyDiv w:val="1"/>
      <w:marLeft w:val="0"/>
      <w:marRight w:val="0"/>
      <w:marTop w:val="0"/>
      <w:marBottom w:val="0"/>
      <w:divBdr>
        <w:top w:val="none" w:sz="0" w:space="0" w:color="auto"/>
        <w:left w:val="none" w:sz="0" w:space="0" w:color="auto"/>
        <w:bottom w:val="none" w:sz="0" w:space="0" w:color="auto"/>
        <w:right w:val="none" w:sz="0" w:space="0" w:color="auto"/>
      </w:divBdr>
    </w:div>
    <w:div w:id="1604534363">
      <w:bodyDiv w:val="1"/>
      <w:marLeft w:val="0"/>
      <w:marRight w:val="0"/>
      <w:marTop w:val="0"/>
      <w:marBottom w:val="0"/>
      <w:divBdr>
        <w:top w:val="none" w:sz="0" w:space="0" w:color="auto"/>
        <w:left w:val="none" w:sz="0" w:space="0" w:color="auto"/>
        <w:bottom w:val="none" w:sz="0" w:space="0" w:color="auto"/>
        <w:right w:val="none" w:sz="0" w:space="0" w:color="auto"/>
      </w:divBdr>
    </w:div>
    <w:div w:id="1621302043">
      <w:bodyDiv w:val="1"/>
      <w:marLeft w:val="0"/>
      <w:marRight w:val="0"/>
      <w:marTop w:val="0"/>
      <w:marBottom w:val="0"/>
      <w:divBdr>
        <w:top w:val="none" w:sz="0" w:space="0" w:color="auto"/>
        <w:left w:val="none" w:sz="0" w:space="0" w:color="auto"/>
        <w:bottom w:val="none" w:sz="0" w:space="0" w:color="auto"/>
        <w:right w:val="none" w:sz="0" w:space="0" w:color="auto"/>
      </w:divBdr>
    </w:div>
    <w:div w:id="1664433605">
      <w:bodyDiv w:val="1"/>
      <w:marLeft w:val="0"/>
      <w:marRight w:val="0"/>
      <w:marTop w:val="0"/>
      <w:marBottom w:val="0"/>
      <w:divBdr>
        <w:top w:val="none" w:sz="0" w:space="0" w:color="auto"/>
        <w:left w:val="none" w:sz="0" w:space="0" w:color="auto"/>
        <w:bottom w:val="none" w:sz="0" w:space="0" w:color="auto"/>
        <w:right w:val="none" w:sz="0" w:space="0" w:color="auto"/>
      </w:divBdr>
    </w:div>
    <w:div w:id="1670675114">
      <w:bodyDiv w:val="1"/>
      <w:marLeft w:val="0"/>
      <w:marRight w:val="0"/>
      <w:marTop w:val="0"/>
      <w:marBottom w:val="0"/>
      <w:divBdr>
        <w:top w:val="none" w:sz="0" w:space="0" w:color="auto"/>
        <w:left w:val="none" w:sz="0" w:space="0" w:color="auto"/>
        <w:bottom w:val="none" w:sz="0" w:space="0" w:color="auto"/>
        <w:right w:val="none" w:sz="0" w:space="0" w:color="auto"/>
      </w:divBdr>
    </w:div>
    <w:div w:id="1675648041">
      <w:bodyDiv w:val="1"/>
      <w:marLeft w:val="0"/>
      <w:marRight w:val="0"/>
      <w:marTop w:val="0"/>
      <w:marBottom w:val="0"/>
      <w:divBdr>
        <w:top w:val="none" w:sz="0" w:space="0" w:color="auto"/>
        <w:left w:val="none" w:sz="0" w:space="0" w:color="auto"/>
        <w:bottom w:val="none" w:sz="0" w:space="0" w:color="auto"/>
        <w:right w:val="none" w:sz="0" w:space="0" w:color="auto"/>
      </w:divBdr>
    </w:div>
    <w:div w:id="1680307470">
      <w:bodyDiv w:val="1"/>
      <w:marLeft w:val="0"/>
      <w:marRight w:val="0"/>
      <w:marTop w:val="0"/>
      <w:marBottom w:val="0"/>
      <w:divBdr>
        <w:top w:val="none" w:sz="0" w:space="0" w:color="auto"/>
        <w:left w:val="none" w:sz="0" w:space="0" w:color="auto"/>
        <w:bottom w:val="none" w:sz="0" w:space="0" w:color="auto"/>
        <w:right w:val="none" w:sz="0" w:space="0" w:color="auto"/>
      </w:divBdr>
    </w:div>
    <w:div w:id="1689674966">
      <w:bodyDiv w:val="1"/>
      <w:marLeft w:val="0"/>
      <w:marRight w:val="0"/>
      <w:marTop w:val="0"/>
      <w:marBottom w:val="0"/>
      <w:divBdr>
        <w:top w:val="none" w:sz="0" w:space="0" w:color="auto"/>
        <w:left w:val="none" w:sz="0" w:space="0" w:color="auto"/>
        <w:bottom w:val="none" w:sz="0" w:space="0" w:color="auto"/>
        <w:right w:val="none" w:sz="0" w:space="0" w:color="auto"/>
      </w:divBdr>
    </w:div>
    <w:div w:id="1691181844">
      <w:bodyDiv w:val="1"/>
      <w:marLeft w:val="0"/>
      <w:marRight w:val="0"/>
      <w:marTop w:val="0"/>
      <w:marBottom w:val="0"/>
      <w:divBdr>
        <w:top w:val="none" w:sz="0" w:space="0" w:color="auto"/>
        <w:left w:val="none" w:sz="0" w:space="0" w:color="auto"/>
        <w:bottom w:val="none" w:sz="0" w:space="0" w:color="auto"/>
        <w:right w:val="none" w:sz="0" w:space="0" w:color="auto"/>
      </w:divBdr>
    </w:div>
    <w:div w:id="1703020798">
      <w:bodyDiv w:val="1"/>
      <w:marLeft w:val="0"/>
      <w:marRight w:val="0"/>
      <w:marTop w:val="0"/>
      <w:marBottom w:val="0"/>
      <w:divBdr>
        <w:top w:val="none" w:sz="0" w:space="0" w:color="auto"/>
        <w:left w:val="none" w:sz="0" w:space="0" w:color="auto"/>
        <w:bottom w:val="none" w:sz="0" w:space="0" w:color="auto"/>
        <w:right w:val="none" w:sz="0" w:space="0" w:color="auto"/>
      </w:divBdr>
    </w:div>
    <w:div w:id="1704133468">
      <w:bodyDiv w:val="1"/>
      <w:marLeft w:val="0"/>
      <w:marRight w:val="0"/>
      <w:marTop w:val="0"/>
      <w:marBottom w:val="0"/>
      <w:divBdr>
        <w:top w:val="none" w:sz="0" w:space="0" w:color="auto"/>
        <w:left w:val="none" w:sz="0" w:space="0" w:color="auto"/>
        <w:bottom w:val="none" w:sz="0" w:space="0" w:color="auto"/>
        <w:right w:val="none" w:sz="0" w:space="0" w:color="auto"/>
      </w:divBdr>
    </w:div>
    <w:div w:id="1711145432">
      <w:bodyDiv w:val="1"/>
      <w:marLeft w:val="0"/>
      <w:marRight w:val="0"/>
      <w:marTop w:val="0"/>
      <w:marBottom w:val="0"/>
      <w:divBdr>
        <w:top w:val="none" w:sz="0" w:space="0" w:color="auto"/>
        <w:left w:val="none" w:sz="0" w:space="0" w:color="auto"/>
        <w:bottom w:val="none" w:sz="0" w:space="0" w:color="auto"/>
        <w:right w:val="none" w:sz="0" w:space="0" w:color="auto"/>
      </w:divBdr>
    </w:div>
    <w:div w:id="1713995537">
      <w:bodyDiv w:val="1"/>
      <w:marLeft w:val="0"/>
      <w:marRight w:val="0"/>
      <w:marTop w:val="0"/>
      <w:marBottom w:val="0"/>
      <w:divBdr>
        <w:top w:val="none" w:sz="0" w:space="0" w:color="auto"/>
        <w:left w:val="none" w:sz="0" w:space="0" w:color="auto"/>
        <w:bottom w:val="none" w:sz="0" w:space="0" w:color="auto"/>
        <w:right w:val="none" w:sz="0" w:space="0" w:color="auto"/>
      </w:divBdr>
    </w:div>
    <w:div w:id="1720131802">
      <w:bodyDiv w:val="1"/>
      <w:marLeft w:val="0"/>
      <w:marRight w:val="0"/>
      <w:marTop w:val="0"/>
      <w:marBottom w:val="0"/>
      <w:divBdr>
        <w:top w:val="none" w:sz="0" w:space="0" w:color="auto"/>
        <w:left w:val="none" w:sz="0" w:space="0" w:color="auto"/>
        <w:bottom w:val="none" w:sz="0" w:space="0" w:color="auto"/>
        <w:right w:val="none" w:sz="0" w:space="0" w:color="auto"/>
      </w:divBdr>
      <w:divsChild>
        <w:div w:id="1876766720">
          <w:marLeft w:val="0"/>
          <w:marRight w:val="0"/>
          <w:marTop w:val="100"/>
          <w:marBottom w:val="100"/>
          <w:divBdr>
            <w:top w:val="none" w:sz="0" w:space="0" w:color="auto"/>
            <w:left w:val="none" w:sz="0" w:space="0" w:color="auto"/>
            <w:bottom w:val="none" w:sz="0" w:space="0" w:color="auto"/>
            <w:right w:val="none" w:sz="0" w:space="0" w:color="auto"/>
          </w:divBdr>
          <w:divsChild>
            <w:div w:id="211039258">
              <w:marLeft w:val="0"/>
              <w:marRight w:val="0"/>
              <w:marTop w:val="0"/>
              <w:marBottom w:val="180"/>
              <w:divBdr>
                <w:top w:val="none" w:sz="0" w:space="0" w:color="auto"/>
                <w:left w:val="none" w:sz="0" w:space="0" w:color="auto"/>
                <w:bottom w:val="none" w:sz="0" w:space="0" w:color="auto"/>
                <w:right w:val="none" w:sz="0" w:space="0" w:color="auto"/>
              </w:divBdr>
              <w:divsChild>
                <w:div w:id="184830184">
                  <w:marLeft w:val="0"/>
                  <w:marRight w:val="0"/>
                  <w:marTop w:val="0"/>
                  <w:marBottom w:val="0"/>
                  <w:divBdr>
                    <w:top w:val="none" w:sz="0" w:space="0" w:color="auto"/>
                    <w:left w:val="none" w:sz="0" w:space="0" w:color="auto"/>
                    <w:bottom w:val="none" w:sz="0" w:space="0" w:color="auto"/>
                    <w:right w:val="none" w:sz="0" w:space="0" w:color="auto"/>
                  </w:divBdr>
                </w:div>
              </w:divsChild>
            </w:div>
            <w:div w:id="468517362">
              <w:marLeft w:val="0"/>
              <w:marRight w:val="0"/>
              <w:marTop w:val="0"/>
              <w:marBottom w:val="240"/>
              <w:divBdr>
                <w:top w:val="none" w:sz="0" w:space="0" w:color="auto"/>
                <w:left w:val="none" w:sz="0" w:space="0" w:color="auto"/>
                <w:bottom w:val="none" w:sz="0" w:space="0" w:color="auto"/>
                <w:right w:val="none" w:sz="0" w:space="0" w:color="auto"/>
              </w:divBdr>
              <w:divsChild>
                <w:div w:id="1871608451">
                  <w:marLeft w:val="0"/>
                  <w:marRight w:val="0"/>
                  <w:marTop w:val="0"/>
                  <w:marBottom w:val="0"/>
                  <w:divBdr>
                    <w:top w:val="none" w:sz="0" w:space="0" w:color="auto"/>
                    <w:left w:val="none" w:sz="0" w:space="0" w:color="auto"/>
                    <w:bottom w:val="none" w:sz="0" w:space="0" w:color="auto"/>
                    <w:right w:val="none" w:sz="0" w:space="0" w:color="auto"/>
                  </w:divBdr>
                </w:div>
              </w:divsChild>
            </w:div>
            <w:div w:id="119569873">
              <w:marLeft w:val="0"/>
              <w:marRight w:val="0"/>
              <w:marTop w:val="0"/>
              <w:marBottom w:val="0"/>
              <w:divBdr>
                <w:top w:val="none" w:sz="0" w:space="0" w:color="auto"/>
                <w:left w:val="none" w:sz="0" w:space="0" w:color="auto"/>
                <w:bottom w:val="none" w:sz="0" w:space="0" w:color="auto"/>
                <w:right w:val="none" w:sz="0" w:space="0" w:color="auto"/>
              </w:divBdr>
              <w:divsChild>
                <w:div w:id="59574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16271">
          <w:marLeft w:val="0"/>
          <w:marRight w:val="0"/>
          <w:marTop w:val="0"/>
          <w:marBottom w:val="300"/>
          <w:divBdr>
            <w:top w:val="none" w:sz="0" w:space="0" w:color="auto"/>
            <w:left w:val="none" w:sz="0" w:space="0" w:color="auto"/>
            <w:bottom w:val="none" w:sz="0" w:space="0" w:color="auto"/>
            <w:right w:val="none" w:sz="0" w:space="0" w:color="auto"/>
          </w:divBdr>
          <w:divsChild>
            <w:div w:id="809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21329">
      <w:bodyDiv w:val="1"/>
      <w:marLeft w:val="0"/>
      <w:marRight w:val="0"/>
      <w:marTop w:val="0"/>
      <w:marBottom w:val="0"/>
      <w:divBdr>
        <w:top w:val="none" w:sz="0" w:space="0" w:color="auto"/>
        <w:left w:val="none" w:sz="0" w:space="0" w:color="auto"/>
        <w:bottom w:val="none" w:sz="0" w:space="0" w:color="auto"/>
        <w:right w:val="none" w:sz="0" w:space="0" w:color="auto"/>
      </w:divBdr>
    </w:div>
    <w:div w:id="1736968013">
      <w:bodyDiv w:val="1"/>
      <w:marLeft w:val="0"/>
      <w:marRight w:val="0"/>
      <w:marTop w:val="0"/>
      <w:marBottom w:val="0"/>
      <w:divBdr>
        <w:top w:val="none" w:sz="0" w:space="0" w:color="auto"/>
        <w:left w:val="none" w:sz="0" w:space="0" w:color="auto"/>
        <w:bottom w:val="none" w:sz="0" w:space="0" w:color="auto"/>
        <w:right w:val="none" w:sz="0" w:space="0" w:color="auto"/>
      </w:divBdr>
    </w:div>
    <w:div w:id="1742293714">
      <w:bodyDiv w:val="1"/>
      <w:marLeft w:val="0"/>
      <w:marRight w:val="0"/>
      <w:marTop w:val="0"/>
      <w:marBottom w:val="0"/>
      <w:divBdr>
        <w:top w:val="none" w:sz="0" w:space="0" w:color="auto"/>
        <w:left w:val="none" w:sz="0" w:space="0" w:color="auto"/>
        <w:bottom w:val="none" w:sz="0" w:space="0" w:color="auto"/>
        <w:right w:val="none" w:sz="0" w:space="0" w:color="auto"/>
      </w:divBdr>
    </w:div>
    <w:div w:id="1746410493">
      <w:bodyDiv w:val="1"/>
      <w:marLeft w:val="0"/>
      <w:marRight w:val="0"/>
      <w:marTop w:val="0"/>
      <w:marBottom w:val="0"/>
      <w:divBdr>
        <w:top w:val="none" w:sz="0" w:space="0" w:color="auto"/>
        <w:left w:val="none" w:sz="0" w:space="0" w:color="auto"/>
        <w:bottom w:val="none" w:sz="0" w:space="0" w:color="auto"/>
        <w:right w:val="none" w:sz="0" w:space="0" w:color="auto"/>
      </w:divBdr>
    </w:div>
    <w:div w:id="1749427389">
      <w:bodyDiv w:val="1"/>
      <w:marLeft w:val="0"/>
      <w:marRight w:val="0"/>
      <w:marTop w:val="0"/>
      <w:marBottom w:val="0"/>
      <w:divBdr>
        <w:top w:val="none" w:sz="0" w:space="0" w:color="auto"/>
        <w:left w:val="none" w:sz="0" w:space="0" w:color="auto"/>
        <w:bottom w:val="none" w:sz="0" w:space="0" w:color="auto"/>
        <w:right w:val="none" w:sz="0" w:space="0" w:color="auto"/>
      </w:divBdr>
      <w:divsChild>
        <w:div w:id="356934062">
          <w:marLeft w:val="0"/>
          <w:marRight w:val="0"/>
          <w:marTop w:val="0"/>
          <w:marBottom w:val="0"/>
          <w:divBdr>
            <w:top w:val="none" w:sz="0" w:space="0" w:color="auto"/>
            <w:left w:val="none" w:sz="0" w:space="0" w:color="auto"/>
            <w:bottom w:val="none" w:sz="0" w:space="0" w:color="auto"/>
            <w:right w:val="none" w:sz="0" w:space="0" w:color="auto"/>
          </w:divBdr>
        </w:div>
      </w:divsChild>
    </w:div>
    <w:div w:id="1754862353">
      <w:bodyDiv w:val="1"/>
      <w:marLeft w:val="0"/>
      <w:marRight w:val="0"/>
      <w:marTop w:val="0"/>
      <w:marBottom w:val="0"/>
      <w:divBdr>
        <w:top w:val="none" w:sz="0" w:space="0" w:color="auto"/>
        <w:left w:val="none" w:sz="0" w:space="0" w:color="auto"/>
        <w:bottom w:val="none" w:sz="0" w:space="0" w:color="auto"/>
        <w:right w:val="none" w:sz="0" w:space="0" w:color="auto"/>
      </w:divBdr>
    </w:div>
    <w:div w:id="1762023795">
      <w:bodyDiv w:val="1"/>
      <w:marLeft w:val="0"/>
      <w:marRight w:val="0"/>
      <w:marTop w:val="0"/>
      <w:marBottom w:val="0"/>
      <w:divBdr>
        <w:top w:val="none" w:sz="0" w:space="0" w:color="auto"/>
        <w:left w:val="none" w:sz="0" w:space="0" w:color="auto"/>
        <w:bottom w:val="none" w:sz="0" w:space="0" w:color="auto"/>
        <w:right w:val="none" w:sz="0" w:space="0" w:color="auto"/>
      </w:divBdr>
    </w:div>
    <w:div w:id="1775251706">
      <w:bodyDiv w:val="1"/>
      <w:marLeft w:val="0"/>
      <w:marRight w:val="0"/>
      <w:marTop w:val="0"/>
      <w:marBottom w:val="0"/>
      <w:divBdr>
        <w:top w:val="none" w:sz="0" w:space="0" w:color="auto"/>
        <w:left w:val="none" w:sz="0" w:space="0" w:color="auto"/>
        <w:bottom w:val="none" w:sz="0" w:space="0" w:color="auto"/>
        <w:right w:val="none" w:sz="0" w:space="0" w:color="auto"/>
      </w:divBdr>
    </w:div>
    <w:div w:id="1775977535">
      <w:bodyDiv w:val="1"/>
      <w:marLeft w:val="0"/>
      <w:marRight w:val="0"/>
      <w:marTop w:val="0"/>
      <w:marBottom w:val="0"/>
      <w:divBdr>
        <w:top w:val="none" w:sz="0" w:space="0" w:color="auto"/>
        <w:left w:val="none" w:sz="0" w:space="0" w:color="auto"/>
        <w:bottom w:val="none" w:sz="0" w:space="0" w:color="auto"/>
        <w:right w:val="none" w:sz="0" w:space="0" w:color="auto"/>
      </w:divBdr>
    </w:div>
    <w:div w:id="1782921280">
      <w:bodyDiv w:val="1"/>
      <w:marLeft w:val="0"/>
      <w:marRight w:val="0"/>
      <w:marTop w:val="0"/>
      <w:marBottom w:val="0"/>
      <w:divBdr>
        <w:top w:val="none" w:sz="0" w:space="0" w:color="auto"/>
        <w:left w:val="none" w:sz="0" w:space="0" w:color="auto"/>
        <w:bottom w:val="none" w:sz="0" w:space="0" w:color="auto"/>
        <w:right w:val="none" w:sz="0" w:space="0" w:color="auto"/>
      </w:divBdr>
    </w:div>
    <w:div w:id="1783498568">
      <w:bodyDiv w:val="1"/>
      <w:marLeft w:val="0"/>
      <w:marRight w:val="0"/>
      <w:marTop w:val="0"/>
      <w:marBottom w:val="0"/>
      <w:divBdr>
        <w:top w:val="none" w:sz="0" w:space="0" w:color="auto"/>
        <w:left w:val="none" w:sz="0" w:space="0" w:color="auto"/>
        <w:bottom w:val="none" w:sz="0" w:space="0" w:color="auto"/>
        <w:right w:val="none" w:sz="0" w:space="0" w:color="auto"/>
      </w:divBdr>
    </w:div>
    <w:div w:id="1803108155">
      <w:bodyDiv w:val="1"/>
      <w:marLeft w:val="0"/>
      <w:marRight w:val="0"/>
      <w:marTop w:val="0"/>
      <w:marBottom w:val="0"/>
      <w:divBdr>
        <w:top w:val="none" w:sz="0" w:space="0" w:color="auto"/>
        <w:left w:val="none" w:sz="0" w:space="0" w:color="auto"/>
        <w:bottom w:val="none" w:sz="0" w:space="0" w:color="auto"/>
        <w:right w:val="none" w:sz="0" w:space="0" w:color="auto"/>
      </w:divBdr>
    </w:div>
    <w:div w:id="1807621223">
      <w:bodyDiv w:val="1"/>
      <w:marLeft w:val="0"/>
      <w:marRight w:val="0"/>
      <w:marTop w:val="0"/>
      <w:marBottom w:val="0"/>
      <w:divBdr>
        <w:top w:val="none" w:sz="0" w:space="0" w:color="auto"/>
        <w:left w:val="none" w:sz="0" w:space="0" w:color="auto"/>
        <w:bottom w:val="none" w:sz="0" w:space="0" w:color="auto"/>
        <w:right w:val="none" w:sz="0" w:space="0" w:color="auto"/>
      </w:divBdr>
      <w:divsChild>
        <w:div w:id="1988824898">
          <w:marLeft w:val="0"/>
          <w:marRight w:val="0"/>
          <w:marTop w:val="0"/>
          <w:marBottom w:val="0"/>
          <w:divBdr>
            <w:top w:val="none" w:sz="0" w:space="0" w:color="auto"/>
            <w:left w:val="none" w:sz="0" w:space="0" w:color="auto"/>
            <w:bottom w:val="none" w:sz="0" w:space="0" w:color="auto"/>
            <w:right w:val="none" w:sz="0" w:space="0" w:color="auto"/>
          </w:divBdr>
          <w:divsChild>
            <w:div w:id="18839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37989">
      <w:bodyDiv w:val="1"/>
      <w:marLeft w:val="0"/>
      <w:marRight w:val="0"/>
      <w:marTop w:val="0"/>
      <w:marBottom w:val="0"/>
      <w:divBdr>
        <w:top w:val="none" w:sz="0" w:space="0" w:color="auto"/>
        <w:left w:val="none" w:sz="0" w:space="0" w:color="auto"/>
        <w:bottom w:val="none" w:sz="0" w:space="0" w:color="auto"/>
        <w:right w:val="none" w:sz="0" w:space="0" w:color="auto"/>
      </w:divBdr>
    </w:div>
    <w:div w:id="1813017655">
      <w:bodyDiv w:val="1"/>
      <w:marLeft w:val="0"/>
      <w:marRight w:val="0"/>
      <w:marTop w:val="0"/>
      <w:marBottom w:val="0"/>
      <w:divBdr>
        <w:top w:val="none" w:sz="0" w:space="0" w:color="auto"/>
        <w:left w:val="none" w:sz="0" w:space="0" w:color="auto"/>
        <w:bottom w:val="none" w:sz="0" w:space="0" w:color="auto"/>
        <w:right w:val="none" w:sz="0" w:space="0" w:color="auto"/>
      </w:divBdr>
    </w:div>
    <w:div w:id="1835412800">
      <w:bodyDiv w:val="1"/>
      <w:marLeft w:val="0"/>
      <w:marRight w:val="0"/>
      <w:marTop w:val="0"/>
      <w:marBottom w:val="0"/>
      <w:divBdr>
        <w:top w:val="none" w:sz="0" w:space="0" w:color="auto"/>
        <w:left w:val="none" w:sz="0" w:space="0" w:color="auto"/>
        <w:bottom w:val="none" w:sz="0" w:space="0" w:color="auto"/>
        <w:right w:val="none" w:sz="0" w:space="0" w:color="auto"/>
      </w:divBdr>
      <w:divsChild>
        <w:div w:id="741218398">
          <w:marLeft w:val="0"/>
          <w:marRight w:val="0"/>
          <w:marTop w:val="100"/>
          <w:marBottom w:val="100"/>
          <w:divBdr>
            <w:top w:val="none" w:sz="0" w:space="0" w:color="auto"/>
            <w:left w:val="none" w:sz="0" w:space="0" w:color="auto"/>
            <w:bottom w:val="none" w:sz="0" w:space="0" w:color="auto"/>
            <w:right w:val="none" w:sz="0" w:space="0" w:color="auto"/>
          </w:divBdr>
          <w:divsChild>
            <w:div w:id="117722729">
              <w:marLeft w:val="0"/>
              <w:marRight w:val="0"/>
              <w:marTop w:val="0"/>
              <w:marBottom w:val="180"/>
              <w:divBdr>
                <w:top w:val="none" w:sz="0" w:space="0" w:color="auto"/>
                <w:left w:val="none" w:sz="0" w:space="0" w:color="auto"/>
                <w:bottom w:val="none" w:sz="0" w:space="0" w:color="auto"/>
                <w:right w:val="none" w:sz="0" w:space="0" w:color="auto"/>
              </w:divBdr>
              <w:divsChild>
                <w:div w:id="1569413186">
                  <w:marLeft w:val="0"/>
                  <w:marRight w:val="0"/>
                  <w:marTop w:val="0"/>
                  <w:marBottom w:val="0"/>
                  <w:divBdr>
                    <w:top w:val="none" w:sz="0" w:space="0" w:color="auto"/>
                    <w:left w:val="none" w:sz="0" w:space="0" w:color="auto"/>
                    <w:bottom w:val="none" w:sz="0" w:space="0" w:color="auto"/>
                    <w:right w:val="none" w:sz="0" w:space="0" w:color="auto"/>
                  </w:divBdr>
                  <w:divsChild>
                    <w:div w:id="8748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6982">
              <w:marLeft w:val="0"/>
              <w:marRight w:val="0"/>
              <w:marTop w:val="0"/>
              <w:marBottom w:val="240"/>
              <w:divBdr>
                <w:top w:val="none" w:sz="0" w:space="0" w:color="auto"/>
                <w:left w:val="none" w:sz="0" w:space="0" w:color="auto"/>
                <w:bottom w:val="none" w:sz="0" w:space="0" w:color="auto"/>
                <w:right w:val="none" w:sz="0" w:space="0" w:color="auto"/>
              </w:divBdr>
              <w:divsChild>
                <w:div w:id="560943645">
                  <w:marLeft w:val="0"/>
                  <w:marRight w:val="0"/>
                  <w:marTop w:val="0"/>
                  <w:marBottom w:val="0"/>
                  <w:divBdr>
                    <w:top w:val="none" w:sz="0" w:space="0" w:color="auto"/>
                    <w:left w:val="none" w:sz="0" w:space="0" w:color="auto"/>
                    <w:bottom w:val="none" w:sz="0" w:space="0" w:color="auto"/>
                    <w:right w:val="none" w:sz="0" w:space="0" w:color="auto"/>
                  </w:divBdr>
                </w:div>
              </w:divsChild>
            </w:div>
            <w:div w:id="863787312">
              <w:marLeft w:val="0"/>
              <w:marRight w:val="0"/>
              <w:marTop w:val="0"/>
              <w:marBottom w:val="0"/>
              <w:divBdr>
                <w:top w:val="none" w:sz="0" w:space="0" w:color="auto"/>
                <w:left w:val="none" w:sz="0" w:space="0" w:color="auto"/>
                <w:bottom w:val="none" w:sz="0" w:space="0" w:color="auto"/>
                <w:right w:val="none" w:sz="0" w:space="0" w:color="auto"/>
              </w:divBdr>
              <w:divsChild>
                <w:div w:id="9806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6013">
          <w:marLeft w:val="0"/>
          <w:marRight w:val="0"/>
          <w:marTop w:val="0"/>
          <w:marBottom w:val="300"/>
          <w:divBdr>
            <w:top w:val="none" w:sz="0" w:space="0" w:color="auto"/>
            <w:left w:val="none" w:sz="0" w:space="0" w:color="auto"/>
            <w:bottom w:val="none" w:sz="0" w:space="0" w:color="auto"/>
            <w:right w:val="none" w:sz="0" w:space="0" w:color="auto"/>
          </w:divBdr>
          <w:divsChild>
            <w:div w:id="1621187380">
              <w:marLeft w:val="0"/>
              <w:marRight w:val="0"/>
              <w:marTop w:val="0"/>
              <w:marBottom w:val="0"/>
              <w:divBdr>
                <w:top w:val="none" w:sz="0" w:space="0" w:color="auto"/>
                <w:left w:val="none" w:sz="0" w:space="0" w:color="auto"/>
                <w:bottom w:val="none" w:sz="0" w:space="0" w:color="auto"/>
                <w:right w:val="none" w:sz="0" w:space="0" w:color="auto"/>
              </w:divBdr>
            </w:div>
          </w:divsChild>
        </w:div>
        <w:div w:id="1589850992">
          <w:marLeft w:val="0"/>
          <w:marRight w:val="0"/>
          <w:marTop w:val="100"/>
          <w:marBottom w:val="0"/>
          <w:divBdr>
            <w:top w:val="none" w:sz="0" w:space="0" w:color="auto"/>
            <w:left w:val="none" w:sz="0" w:space="0" w:color="auto"/>
            <w:bottom w:val="none" w:sz="0" w:space="0" w:color="auto"/>
            <w:right w:val="none" w:sz="0" w:space="0" w:color="auto"/>
          </w:divBdr>
          <w:divsChild>
            <w:div w:id="633560653">
              <w:marLeft w:val="0"/>
              <w:marRight w:val="0"/>
              <w:marTop w:val="0"/>
              <w:marBottom w:val="0"/>
              <w:divBdr>
                <w:top w:val="none" w:sz="0" w:space="0" w:color="auto"/>
                <w:left w:val="none" w:sz="0" w:space="0" w:color="auto"/>
                <w:bottom w:val="none" w:sz="0" w:space="0" w:color="auto"/>
                <w:right w:val="none" w:sz="0" w:space="0" w:color="auto"/>
              </w:divBdr>
              <w:divsChild>
                <w:div w:id="30420376">
                  <w:marLeft w:val="0"/>
                  <w:marRight w:val="0"/>
                  <w:marTop w:val="0"/>
                  <w:marBottom w:val="0"/>
                  <w:divBdr>
                    <w:top w:val="none" w:sz="0" w:space="0" w:color="auto"/>
                    <w:left w:val="none" w:sz="0" w:space="0" w:color="auto"/>
                    <w:bottom w:val="none" w:sz="0" w:space="0" w:color="auto"/>
                    <w:right w:val="none" w:sz="0" w:space="0" w:color="auto"/>
                  </w:divBdr>
                  <w:divsChild>
                    <w:div w:id="1630437301">
                      <w:marLeft w:val="0"/>
                      <w:marRight w:val="0"/>
                      <w:marTop w:val="0"/>
                      <w:marBottom w:val="0"/>
                      <w:divBdr>
                        <w:top w:val="none" w:sz="0" w:space="0" w:color="auto"/>
                        <w:left w:val="none" w:sz="0" w:space="0" w:color="auto"/>
                        <w:bottom w:val="none" w:sz="0" w:space="0" w:color="auto"/>
                        <w:right w:val="none" w:sz="0" w:space="0" w:color="auto"/>
                      </w:divBdr>
                      <w:divsChild>
                        <w:div w:id="905455657">
                          <w:marLeft w:val="60"/>
                          <w:marRight w:val="60"/>
                          <w:marTop w:val="0"/>
                          <w:marBottom w:val="0"/>
                          <w:divBdr>
                            <w:top w:val="none" w:sz="0" w:space="0" w:color="auto"/>
                            <w:left w:val="none" w:sz="0" w:space="0" w:color="auto"/>
                            <w:bottom w:val="none" w:sz="0" w:space="0" w:color="auto"/>
                            <w:right w:val="none" w:sz="0" w:space="0" w:color="auto"/>
                          </w:divBdr>
                        </w:div>
                        <w:div w:id="1624270334">
                          <w:marLeft w:val="0"/>
                          <w:marRight w:val="0"/>
                          <w:marTop w:val="60"/>
                          <w:marBottom w:val="0"/>
                          <w:divBdr>
                            <w:top w:val="none" w:sz="0" w:space="0" w:color="auto"/>
                            <w:left w:val="none" w:sz="0" w:space="0" w:color="auto"/>
                            <w:bottom w:val="none" w:sz="0" w:space="0" w:color="auto"/>
                            <w:right w:val="none" w:sz="0" w:space="0" w:color="auto"/>
                          </w:divBdr>
                          <w:divsChild>
                            <w:div w:id="1023894586">
                              <w:marLeft w:val="0"/>
                              <w:marRight w:val="150"/>
                              <w:marTop w:val="0"/>
                              <w:marBottom w:val="0"/>
                              <w:divBdr>
                                <w:top w:val="single" w:sz="6" w:space="0" w:color="auto"/>
                                <w:left w:val="single" w:sz="6" w:space="5" w:color="auto"/>
                                <w:bottom w:val="single" w:sz="6" w:space="0" w:color="auto"/>
                                <w:right w:val="single" w:sz="6" w:space="5" w:color="auto"/>
                              </w:divBdr>
                            </w:div>
                            <w:div w:id="787553625">
                              <w:marLeft w:val="0"/>
                              <w:marRight w:val="150"/>
                              <w:marTop w:val="0"/>
                              <w:marBottom w:val="0"/>
                              <w:divBdr>
                                <w:top w:val="single" w:sz="6" w:space="0" w:color="auto"/>
                                <w:left w:val="single" w:sz="6" w:space="5" w:color="auto"/>
                                <w:bottom w:val="single" w:sz="6" w:space="0" w:color="auto"/>
                                <w:right w:val="single" w:sz="6" w:space="5" w:color="auto"/>
                              </w:divBdr>
                            </w:div>
                          </w:divsChild>
                        </w:div>
                      </w:divsChild>
                    </w:div>
                  </w:divsChild>
                </w:div>
              </w:divsChild>
            </w:div>
          </w:divsChild>
        </w:div>
      </w:divsChild>
    </w:div>
    <w:div w:id="1843468044">
      <w:bodyDiv w:val="1"/>
      <w:marLeft w:val="0"/>
      <w:marRight w:val="0"/>
      <w:marTop w:val="0"/>
      <w:marBottom w:val="0"/>
      <w:divBdr>
        <w:top w:val="none" w:sz="0" w:space="0" w:color="auto"/>
        <w:left w:val="none" w:sz="0" w:space="0" w:color="auto"/>
        <w:bottom w:val="none" w:sz="0" w:space="0" w:color="auto"/>
        <w:right w:val="none" w:sz="0" w:space="0" w:color="auto"/>
      </w:divBdr>
    </w:div>
    <w:div w:id="1845394253">
      <w:bodyDiv w:val="1"/>
      <w:marLeft w:val="0"/>
      <w:marRight w:val="0"/>
      <w:marTop w:val="0"/>
      <w:marBottom w:val="0"/>
      <w:divBdr>
        <w:top w:val="none" w:sz="0" w:space="0" w:color="auto"/>
        <w:left w:val="none" w:sz="0" w:space="0" w:color="auto"/>
        <w:bottom w:val="none" w:sz="0" w:space="0" w:color="auto"/>
        <w:right w:val="none" w:sz="0" w:space="0" w:color="auto"/>
      </w:divBdr>
    </w:div>
    <w:div w:id="1849366329">
      <w:bodyDiv w:val="1"/>
      <w:marLeft w:val="0"/>
      <w:marRight w:val="0"/>
      <w:marTop w:val="0"/>
      <w:marBottom w:val="0"/>
      <w:divBdr>
        <w:top w:val="none" w:sz="0" w:space="0" w:color="auto"/>
        <w:left w:val="none" w:sz="0" w:space="0" w:color="auto"/>
        <w:bottom w:val="none" w:sz="0" w:space="0" w:color="auto"/>
        <w:right w:val="none" w:sz="0" w:space="0" w:color="auto"/>
      </w:divBdr>
    </w:div>
    <w:div w:id="1863394566">
      <w:bodyDiv w:val="1"/>
      <w:marLeft w:val="0"/>
      <w:marRight w:val="0"/>
      <w:marTop w:val="0"/>
      <w:marBottom w:val="0"/>
      <w:divBdr>
        <w:top w:val="none" w:sz="0" w:space="0" w:color="auto"/>
        <w:left w:val="none" w:sz="0" w:space="0" w:color="auto"/>
        <w:bottom w:val="none" w:sz="0" w:space="0" w:color="auto"/>
        <w:right w:val="none" w:sz="0" w:space="0" w:color="auto"/>
      </w:divBdr>
    </w:div>
    <w:div w:id="1876699642">
      <w:bodyDiv w:val="1"/>
      <w:marLeft w:val="0"/>
      <w:marRight w:val="0"/>
      <w:marTop w:val="0"/>
      <w:marBottom w:val="0"/>
      <w:divBdr>
        <w:top w:val="none" w:sz="0" w:space="0" w:color="auto"/>
        <w:left w:val="none" w:sz="0" w:space="0" w:color="auto"/>
        <w:bottom w:val="none" w:sz="0" w:space="0" w:color="auto"/>
        <w:right w:val="none" w:sz="0" w:space="0" w:color="auto"/>
      </w:divBdr>
    </w:div>
    <w:div w:id="1880556422">
      <w:bodyDiv w:val="1"/>
      <w:marLeft w:val="0"/>
      <w:marRight w:val="0"/>
      <w:marTop w:val="0"/>
      <w:marBottom w:val="0"/>
      <w:divBdr>
        <w:top w:val="none" w:sz="0" w:space="0" w:color="auto"/>
        <w:left w:val="none" w:sz="0" w:space="0" w:color="auto"/>
        <w:bottom w:val="none" w:sz="0" w:space="0" w:color="auto"/>
        <w:right w:val="none" w:sz="0" w:space="0" w:color="auto"/>
      </w:divBdr>
    </w:div>
    <w:div w:id="1884638549">
      <w:bodyDiv w:val="1"/>
      <w:marLeft w:val="0"/>
      <w:marRight w:val="0"/>
      <w:marTop w:val="0"/>
      <w:marBottom w:val="0"/>
      <w:divBdr>
        <w:top w:val="none" w:sz="0" w:space="0" w:color="auto"/>
        <w:left w:val="none" w:sz="0" w:space="0" w:color="auto"/>
        <w:bottom w:val="none" w:sz="0" w:space="0" w:color="auto"/>
        <w:right w:val="none" w:sz="0" w:space="0" w:color="auto"/>
      </w:divBdr>
    </w:div>
    <w:div w:id="1918317874">
      <w:bodyDiv w:val="1"/>
      <w:marLeft w:val="0"/>
      <w:marRight w:val="0"/>
      <w:marTop w:val="0"/>
      <w:marBottom w:val="0"/>
      <w:divBdr>
        <w:top w:val="none" w:sz="0" w:space="0" w:color="auto"/>
        <w:left w:val="none" w:sz="0" w:space="0" w:color="auto"/>
        <w:bottom w:val="none" w:sz="0" w:space="0" w:color="auto"/>
        <w:right w:val="none" w:sz="0" w:space="0" w:color="auto"/>
      </w:divBdr>
    </w:div>
    <w:div w:id="1928035454">
      <w:bodyDiv w:val="1"/>
      <w:marLeft w:val="0"/>
      <w:marRight w:val="0"/>
      <w:marTop w:val="0"/>
      <w:marBottom w:val="0"/>
      <w:divBdr>
        <w:top w:val="none" w:sz="0" w:space="0" w:color="auto"/>
        <w:left w:val="none" w:sz="0" w:space="0" w:color="auto"/>
        <w:bottom w:val="none" w:sz="0" w:space="0" w:color="auto"/>
        <w:right w:val="none" w:sz="0" w:space="0" w:color="auto"/>
      </w:divBdr>
    </w:div>
    <w:div w:id="1928539636">
      <w:bodyDiv w:val="1"/>
      <w:marLeft w:val="0"/>
      <w:marRight w:val="0"/>
      <w:marTop w:val="0"/>
      <w:marBottom w:val="0"/>
      <w:divBdr>
        <w:top w:val="none" w:sz="0" w:space="0" w:color="auto"/>
        <w:left w:val="none" w:sz="0" w:space="0" w:color="auto"/>
        <w:bottom w:val="none" w:sz="0" w:space="0" w:color="auto"/>
        <w:right w:val="none" w:sz="0" w:space="0" w:color="auto"/>
      </w:divBdr>
    </w:div>
    <w:div w:id="1936742440">
      <w:bodyDiv w:val="1"/>
      <w:marLeft w:val="0"/>
      <w:marRight w:val="0"/>
      <w:marTop w:val="0"/>
      <w:marBottom w:val="0"/>
      <w:divBdr>
        <w:top w:val="none" w:sz="0" w:space="0" w:color="auto"/>
        <w:left w:val="none" w:sz="0" w:space="0" w:color="auto"/>
        <w:bottom w:val="none" w:sz="0" w:space="0" w:color="auto"/>
        <w:right w:val="none" w:sz="0" w:space="0" w:color="auto"/>
      </w:divBdr>
    </w:div>
    <w:div w:id="1942225960">
      <w:bodyDiv w:val="1"/>
      <w:marLeft w:val="0"/>
      <w:marRight w:val="0"/>
      <w:marTop w:val="0"/>
      <w:marBottom w:val="0"/>
      <w:divBdr>
        <w:top w:val="none" w:sz="0" w:space="0" w:color="auto"/>
        <w:left w:val="none" w:sz="0" w:space="0" w:color="auto"/>
        <w:bottom w:val="none" w:sz="0" w:space="0" w:color="auto"/>
        <w:right w:val="none" w:sz="0" w:space="0" w:color="auto"/>
      </w:divBdr>
    </w:div>
    <w:div w:id="1971277739">
      <w:bodyDiv w:val="1"/>
      <w:marLeft w:val="0"/>
      <w:marRight w:val="0"/>
      <w:marTop w:val="0"/>
      <w:marBottom w:val="0"/>
      <w:divBdr>
        <w:top w:val="none" w:sz="0" w:space="0" w:color="auto"/>
        <w:left w:val="none" w:sz="0" w:space="0" w:color="auto"/>
        <w:bottom w:val="none" w:sz="0" w:space="0" w:color="auto"/>
        <w:right w:val="none" w:sz="0" w:space="0" w:color="auto"/>
      </w:divBdr>
    </w:div>
    <w:div w:id="1999185468">
      <w:bodyDiv w:val="1"/>
      <w:marLeft w:val="0"/>
      <w:marRight w:val="0"/>
      <w:marTop w:val="0"/>
      <w:marBottom w:val="0"/>
      <w:divBdr>
        <w:top w:val="none" w:sz="0" w:space="0" w:color="auto"/>
        <w:left w:val="none" w:sz="0" w:space="0" w:color="auto"/>
        <w:bottom w:val="none" w:sz="0" w:space="0" w:color="auto"/>
        <w:right w:val="none" w:sz="0" w:space="0" w:color="auto"/>
      </w:divBdr>
    </w:div>
    <w:div w:id="2007702406">
      <w:bodyDiv w:val="1"/>
      <w:marLeft w:val="0"/>
      <w:marRight w:val="0"/>
      <w:marTop w:val="0"/>
      <w:marBottom w:val="0"/>
      <w:divBdr>
        <w:top w:val="none" w:sz="0" w:space="0" w:color="auto"/>
        <w:left w:val="none" w:sz="0" w:space="0" w:color="auto"/>
        <w:bottom w:val="none" w:sz="0" w:space="0" w:color="auto"/>
        <w:right w:val="none" w:sz="0" w:space="0" w:color="auto"/>
      </w:divBdr>
    </w:div>
    <w:div w:id="2039970687">
      <w:bodyDiv w:val="1"/>
      <w:marLeft w:val="0"/>
      <w:marRight w:val="0"/>
      <w:marTop w:val="0"/>
      <w:marBottom w:val="0"/>
      <w:divBdr>
        <w:top w:val="none" w:sz="0" w:space="0" w:color="auto"/>
        <w:left w:val="none" w:sz="0" w:space="0" w:color="auto"/>
        <w:bottom w:val="none" w:sz="0" w:space="0" w:color="auto"/>
        <w:right w:val="none" w:sz="0" w:space="0" w:color="auto"/>
      </w:divBdr>
    </w:div>
    <w:div w:id="2061048982">
      <w:bodyDiv w:val="1"/>
      <w:marLeft w:val="0"/>
      <w:marRight w:val="0"/>
      <w:marTop w:val="0"/>
      <w:marBottom w:val="0"/>
      <w:divBdr>
        <w:top w:val="none" w:sz="0" w:space="0" w:color="auto"/>
        <w:left w:val="none" w:sz="0" w:space="0" w:color="auto"/>
        <w:bottom w:val="none" w:sz="0" w:space="0" w:color="auto"/>
        <w:right w:val="none" w:sz="0" w:space="0" w:color="auto"/>
      </w:divBdr>
    </w:div>
    <w:div w:id="2062705946">
      <w:bodyDiv w:val="1"/>
      <w:marLeft w:val="0"/>
      <w:marRight w:val="0"/>
      <w:marTop w:val="0"/>
      <w:marBottom w:val="0"/>
      <w:divBdr>
        <w:top w:val="none" w:sz="0" w:space="0" w:color="auto"/>
        <w:left w:val="none" w:sz="0" w:space="0" w:color="auto"/>
        <w:bottom w:val="none" w:sz="0" w:space="0" w:color="auto"/>
        <w:right w:val="none" w:sz="0" w:space="0" w:color="auto"/>
      </w:divBdr>
    </w:div>
    <w:div w:id="2088725666">
      <w:bodyDiv w:val="1"/>
      <w:marLeft w:val="0"/>
      <w:marRight w:val="0"/>
      <w:marTop w:val="0"/>
      <w:marBottom w:val="0"/>
      <w:divBdr>
        <w:top w:val="none" w:sz="0" w:space="0" w:color="auto"/>
        <w:left w:val="none" w:sz="0" w:space="0" w:color="auto"/>
        <w:bottom w:val="none" w:sz="0" w:space="0" w:color="auto"/>
        <w:right w:val="none" w:sz="0" w:space="0" w:color="auto"/>
      </w:divBdr>
    </w:div>
    <w:div w:id="2094279467">
      <w:bodyDiv w:val="1"/>
      <w:marLeft w:val="0"/>
      <w:marRight w:val="0"/>
      <w:marTop w:val="0"/>
      <w:marBottom w:val="0"/>
      <w:divBdr>
        <w:top w:val="none" w:sz="0" w:space="0" w:color="auto"/>
        <w:left w:val="none" w:sz="0" w:space="0" w:color="auto"/>
        <w:bottom w:val="none" w:sz="0" w:space="0" w:color="auto"/>
        <w:right w:val="none" w:sz="0" w:space="0" w:color="auto"/>
      </w:divBdr>
    </w:div>
    <w:div w:id="2094935049">
      <w:bodyDiv w:val="1"/>
      <w:marLeft w:val="0"/>
      <w:marRight w:val="0"/>
      <w:marTop w:val="0"/>
      <w:marBottom w:val="0"/>
      <w:divBdr>
        <w:top w:val="none" w:sz="0" w:space="0" w:color="auto"/>
        <w:left w:val="none" w:sz="0" w:space="0" w:color="auto"/>
        <w:bottom w:val="none" w:sz="0" w:space="0" w:color="auto"/>
        <w:right w:val="none" w:sz="0" w:space="0" w:color="auto"/>
      </w:divBdr>
    </w:div>
    <w:div w:id="2096659309">
      <w:bodyDiv w:val="1"/>
      <w:marLeft w:val="0"/>
      <w:marRight w:val="0"/>
      <w:marTop w:val="0"/>
      <w:marBottom w:val="0"/>
      <w:divBdr>
        <w:top w:val="none" w:sz="0" w:space="0" w:color="auto"/>
        <w:left w:val="none" w:sz="0" w:space="0" w:color="auto"/>
        <w:bottom w:val="none" w:sz="0" w:space="0" w:color="auto"/>
        <w:right w:val="none" w:sz="0" w:space="0" w:color="auto"/>
      </w:divBdr>
    </w:div>
    <w:div w:id="2099254676">
      <w:bodyDiv w:val="1"/>
      <w:marLeft w:val="0"/>
      <w:marRight w:val="0"/>
      <w:marTop w:val="0"/>
      <w:marBottom w:val="0"/>
      <w:divBdr>
        <w:top w:val="none" w:sz="0" w:space="0" w:color="auto"/>
        <w:left w:val="none" w:sz="0" w:space="0" w:color="auto"/>
        <w:bottom w:val="none" w:sz="0" w:space="0" w:color="auto"/>
        <w:right w:val="none" w:sz="0" w:space="0" w:color="auto"/>
      </w:divBdr>
    </w:div>
    <w:div w:id="2101369701">
      <w:bodyDiv w:val="1"/>
      <w:marLeft w:val="0"/>
      <w:marRight w:val="0"/>
      <w:marTop w:val="0"/>
      <w:marBottom w:val="0"/>
      <w:divBdr>
        <w:top w:val="none" w:sz="0" w:space="0" w:color="auto"/>
        <w:left w:val="none" w:sz="0" w:space="0" w:color="auto"/>
        <w:bottom w:val="none" w:sz="0" w:space="0" w:color="auto"/>
        <w:right w:val="none" w:sz="0" w:space="0" w:color="auto"/>
      </w:divBdr>
    </w:div>
    <w:div w:id="2107460324">
      <w:bodyDiv w:val="1"/>
      <w:marLeft w:val="0"/>
      <w:marRight w:val="0"/>
      <w:marTop w:val="0"/>
      <w:marBottom w:val="0"/>
      <w:divBdr>
        <w:top w:val="none" w:sz="0" w:space="0" w:color="auto"/>
        <w:left w:val="none" w:sz="0" w:space="0" w:color="auto"/>
        <w:bottom w:val="none" w:sz="0" w:space="0" w:color="auto"/>
        <w:right w:val="none" w:sz="0" w:space="0" w:color="auto"/>
      </w:divBdr>
    </w:div>
    <w:div w:id="2116557200">
      <w:bodyDiv w:val="1"/>
      <w:marLeft w:val="0"/>
      <w:marRight w:val="0"/>
      <w:marTop w:val="0"/>
      <w:marBottom w:val="0"/>
      <w:divBdr>
        <w:top w:val="none" w:sz="0" w:space="0" w:color="auto"/>
        <w:left w:val="none" w:sz="0" w:space="0" w:color="auto"/>
        <w:bottom w:val="none" w:sz="0" w:space="0" w:color="auto"/>
        <w:right w:val="none" w:sz="0" w:space="0" w:color="auto"/>
      </w:divBdr>
    </w:div>
    <w:div w:id="2118406219">
      <w:bodyDiv w:val="1"/>
      <w:marLeft w:val="0"/>
      <w:marRight w:val="0"/>
      <w:marTop w:val="0"/>
      <w:marBottom w:val="0"/>
      <w:divBdr>
        <w:top w:val="none" w:sz="0" w:space="0" w:color="auto"/>
        <w:left w:val="none" w:sz="0" w:space="0" w:color="auto"/>
        <w:bottom w:val="none" w:sz="0" w:space="0" w:color="auto"/>
        <w:right w:val="none" w:sz="0" w:space="0" w:color="auto"/>
      </w:divBdr>
      <w:divsChild>
        <w:div w:id="2138602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991514">
      <w:bodyDiv w:val="1"/>
      <w:marLeft w:val="0"/>
      <w:marRight w:val="0"/>
      <w:marTop w:val="0"/>
      <w:marBottom w:val="0"/>
      <w:divBdr>
        <w:top w:val="none" w:sz="0" w:space="0" w:color="auto"/>
        <w:left w:val="none" w:sz="0" w:space="0" w:color="auto"/>
        <w:bottom w:val="none" w:sz="0" w:space="0" w:color="auto"/>
        <w:right w:val="none" w:sz="0" w:space="0" w:color="auto"/>
      </w:divBdr>
      <w:divsChild>
        <w:div w:id="13388999">
          <w:marLeft w:val="0"/>
          <w:marRight w:val="0"/>
          <w:marTop w:val="0"/>
          <w:marBottom w:val="0"/>
          <w:divBdr>
            <w:top w:val="none" w:sz="0" w:space="0" w:color="auto"/>
            <w:left w:val="none" w:sz="0" w:space="0" w:color="auto"/>
            <w:bottom w:val="none" w:sz="0" w:space="0" w:color="auto"/>
            <w:right w:val="none" w:sz="0" w:space="0" w:color="auto"/>
          </w:divBdr>
          <w:divsChild>
            <w:div w:id="21200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00386">
      <w:bodyDiv w:val="1"/>
      <w:marLeft w:val="0"/>
      <w:marRight w:val="0"/>
      <w:marTop w:val="0"/>
      <w:marBottom w:val="0"/>
      <w:divBdr>
        <w:top w:val="none" w:sz="0" w:space="0" w:color="auto"/>
        <w:left w:val="none" w:sz="0" w:space="0" w:color="auto"/>
        <w:bottom w:val="none" w:sz="0" w:space="0" w:color="auto"/>
        <w:right w:val="none" w:sz="0" w:space="0" w:color="auto"/>
      </w:divBdr>
    </w:div>
    <w:div w:id="2140873763">
      <w:bodyDiv w:val="1"/>
      <w:marLeft w:val="0"/>
      <w:marRight w:val="0"/>
      <w:marTop w:val="0"/>
      <w:marBottom w:val="0"/>
      <w:divBdr>
        <w:top w:val="none" w:sz="0" w:space="0" w:color="auto"/>
        <w:left w:val="none" w:sz="0" w:space="0" w:color="auto"/>
        <w:bottom w:val="none" w:sz="0" w:space="0" w:color="auto"/>
        <w:right w:val="none" w:sz="0" w:space="0" w:color="auto"/>
      </w:divBdr>
    </w:div>
    <w:div w:id="2146699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11573-019-00927-5" TargetMode="External"/><Relationship Id="rId18" Type="http://schemas.openxmlformats.org/officeDocument/2006/relationships/hyperlink" Target="https://doi.org/10.1016/j.cose.2022.102589" TargetMode="External"/><Relationship Id="rId26" Type="http://schemas.openxmlformats.org/officeDocument/2006/relationships/hyperlink" Target="https://doi.org/10.1016/j.jsis.2020.101621" TargetMode="External"/><Relationship Id="rId3" Type="http://schemas.openxmlformats.org/officeDocument/2006/relationships/styles" Target="styles.xml"/><Relationship Id="rId21" Type="http://schemas.openxmlformats.org/officeDocument/2006/relationships/hyperlink" Target="https://doi.org/10.13106/jafeb.2021.vol8.no3.0123" TargetMode="External"/><Relationship Id="rId7" Type="http://schemas.openxmlformats.org/officeDocument/2006/relationships/footnotes" Target="footnotes.xml"/><Relationship Id="rId12" Type="http://schemas.openxmlformats.org/officeDocument/2006/relationships/hyperlink" Target="https://arxiv.org/abs/2007.12681" TargetMode="External"/><Relationship Id="rId17" Type="http://schemas.openxmlformats.org/officeDocument/2006/relationships/hyperlink" Target="https://doi.org/10.26740/jaj.v16n2.p284-290" TargetMode="External"/><Relationship Id="rId25" Type="http://schemas.openxmlformats.org/officeDocument/2006/relationships/hyperlink" Target="https://doi.org/10.30595/medek.v24i1.25623" TargetMode="External"/><Relationship Id="rId2" Type="http://schemas.openxmlformats.org/officeDocument/2006/relationships/numbering" Target="numbering.xml"/><Relationship Id="rId16" Type="http://schemas.openxmlformats.org/officeDocument/2006/relationships/hyperlink" Target="https://doi.org/10.1016/j.elerap.2023.101223" TargetMode="External"/><Relationship Id="rId20" Type="http://schemas.openxmlformats.org/officeDocument/2006/relationships/hyperlink" Target="https://doi.org/10.21831/nominal.v14i1.8194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08/JFRC-09-2022-0156" TargetMode="External"/><Relationship Id="rId24" Type="http://schemas.openxmlformats.org/officeDocument/2006/relationships/hyperlink" Target="https://www.researchgate.net/publication/390657263"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108/CG-06-2020-0245" TargetMode="External"/><Relationship Id="rId23" Type="http://schemas.openxmlformats.org/officeDocument/2006/relationships/hyperlink" Target="https://doi.org/10.1016/j.pacfin.2023.101895" TargetMode="External"/><Relationship Id="rId28" Type="http://schemas.openxmlformats.org/officeDocument/2006/relationships/hyperlink" Target="https://doi.org/10.1016/j.im.2021.103471" TargetMode="External"/><Relationship Id="rId10" Type="http://schemas.openxmlformats.org/officeDocument/2006/relationships/hyperlink" Target="https://doi.org/10.1108/JIABR-05-2020-0132" TargetMode="External"/><Relationship Id="rId19" Type="http://schemas.openxmlformats.org/officeDocument/2006/relationships/hyperlink" Target="https://doi.org/10.1080/23322039.2023.2189345"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yukron.szy@bsi.ac.id" TargetMode="External"/><Relationship Id="rId14" Type="http://schemas.openxmlformats.org/officeDocument/2006/relationships/hyperlink" Target="https://doi.org/10.55927/fjmr.v3i11.12077" TargetMode="External"/><Relationship Id="rId22" Type="http://schemas.openxmlformats.org/officeDocument/2006/relationships/hyperlink" Target="https://doi.org/10.1016/j.heliyon.2022.e09876" TargetMode="External"/><Relationship Id="rId27" Type="http://schemas.openxmlformats.org/officeDocument/2006/relationships/hyperlink" Target="https://doi.org/10.3390/su14127231"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jurnal.umt.ac.id/index.php/jceb/index" TargetMode="External"/><Relationship Id="rId1" Type="http://schemas.openxmlformats.org/officeDocument/2006/relationships/hyperlink" Target="https://jurnal.umt.ac.id/index.php/jce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7729C-C6EE-4010-8513-28026BBB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13538</Words>
  <Characters>77169</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Springate S-Score Model To Predict Financial  Distress, The Last Stage to Corporate Bankruptcy: A Case Studi Of PT. Sepatu Bata,Tbk By Syukron Sazly ¹, Harun Al Rasyid  ², Agus Tri Indah K ³</vt:lpstr>
    </vt:vector>
  </TitlesOfParts>
  <Company/>
  <LinksUpToDate>false</LinksUpToDate>
  <CharactersWithSpaces>90526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Springate S-Score Model To Predict Financial  Distress, The Last Stage to Corporate Bankruptcy: A Case Studi Of PT. Sepatu Bata,Tbk By Syukron Sazly ¹, Harun Al Rasyid  ², Agus Tri Indah K ³</dc:title>
  <dc:creator>ACER NB</dc:creator>
  <cp:lastModifiedBy>asus</cp:lastModifiedBy>
  <cp:revision>2</cp:revision>
  <dcterms:created xsi:type="dcterms:W3CDTF">2026-04-28T08:34:00Z</dcterms:created>
  <dcterms:modified xsi:type="dcterms:W3CDTF">2026-04-28T08:34:00Z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2024-05-08T00:00:00Z</vt:filetime>
  </property>
  <property fmtid="{D5CDD505-2E9C-101B-9397-08002B2CF9AE}" pid="3" name="Creator">
    <vt:lpwstr>Microsoft® Word 2021</vt:lpwstr>
  </property>
  <property fmtid="{D5CDD505-2E9C-101B-9397-08002B2CF9AE}" pid="4" name="LastSaved">
    <vt:filetime>2024-05-12T00:00:00Z</vt:filetime>
  </property>
  <property fmtid="{D5CDD505-2E9C-101B-9397-08002B2CF9AE}" pid="5" name="Mendeley Document_1">
    <vt:lpwstr>True</vt:lpwstr>
  </property>
  <property fmtid="{D5CDD505-2E9C-101B-9397-08002B2CF9AE}" pid="6" name="Mendeley Unique User Id_1">
    <vt:lpwstr>2e516990-245a-3fc8-ae5c-68bf543b40d4</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11th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ies>
</file>