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7133D" w14:textId="77777777" w:rsidR="003328B1" w:rsidRDefault="003328B1"/>
    <w:p w14:paraId="789C388F" w14:textId="32F3F4BA" w:rsidR="003328B1" w:rsidRPr="00DB0EC5" w:rsidRDefault="00DB0EC5" w:rsidP="003328B1">
      <w:pPr>
        <w:spacing w:after="0" w:line="240" w:lineRule="auto"/>
        <w:jc w:val="center"/>
        <w:rPr>
          <w:rFonts w:ascii="Book Antiqua" w:eastAsia="Times New Roman" w:hAnsi="Book Antiqua" w:cs="Arial"/>
          <w:b/>
          <w:bCs/>
          <w:sz w:val="28"/>
          <w:szCs w:val="28"/>
        </w:rPr>
      </w:pPr>
      <w:r>
        <w:rPr>
          <w:rFonts w:ascii="Book Antiqua" w:eastAsia="Times New Roman" w:hAnsi="Book Antiqua" w:cs="Arial"/>
          <w:b/>
          <w:bCs/>
          <w:sz w:val="28"/>
          <w:szCs w:val="28"/>
        </w:rPr>
        <w:t xml:space="preserve">Mapping Determinant Factor and Minimizing </w:t>
      </w:r>
      <w:proofErr w:type="gramStart"/>
      <w:r>
        <w:rPr>
          <w:rFonts w:ascii="Book Antiqua" w:eastAsia="Times New Roman" w:hAnsi="Book Antiqua" w:cs="Arial"/>
          <w:b/>
          <w:bCs/>
          <w:sz w:val="28"/>
          <w:szCs w:val="28"/>
        </w:rPr>
        <w:t xml:space="preserve">The </w:t>
      </w:r>
      <w:proofErr w:type="spellStart"/>
      <w:r>
        <w:rPr>
          <w:rFonts w:ascii="Book Antiqua" w:eastAsia="Times New Roman" w:hAnsi="Book Antiqua" w:cs="Arial"/>
          <w:b/>
          <w:bCs/>
          <w:sz w:val="28"/>
          <w:szCs w:val="28"/>
        </w:rPr>
        <w:t>Emegence</w:t>
      </w:r>
      <w:proofErr w:type="spellEnd"/>
      <w:r>
        <w:rPr>
          <w:rFonts w:ascii="Book Antiqua" w:eastAsia="Times New Roman" w:hAnsi="Book Antiqua" w:cs="Arial"/>
          <w:b/>
          <w:bCs/>
          <w:sz w:val="28"/>
          <w:szCs w:val="28"/>
        </w:rPr>
        <w:t xml:space="preserve"> Off a Single Candidate In</w:t>
      </w:r>
      <w:proofErr w:type="gramEnd"/>
      <w:r>
        <w:rPr>
          <w:rFonts w:ascii="Book Antiqua" w:eastAsia="Times New Roman" w:hAnsi="Book Antiqua" w:cs="Arial"/>
          <w:b/>
          <w:bCs/>
          <w:sz w:val="28"/>
          <w:szCs w:val="28"/>
        </w:rPr>
        <w:t xml:space="preserve"> </w:t>
      </w:r>
      <w:proofErr w:type="spellStart"/>
      <w:r>
        <w:rPr>
          <w:rFonts w:ascii="Book Antiqua" w:eastAsia="Times New Roman" w:hAnsi="Book Antiqua" w:cs="Arial"/>
          <w:b/>
          <w:bCs/>
          <w:sz w:val="28"/>
          <w:szCs w:val="28"/>
        </w:rPr>
        <w:t>RegionalElections</w:t>
      </w:r>
      <w:proofErr w:type="spellEnd"/>
      <w:r>
        <w:rPr>
          <w:rFonts w:ascii="Book Antiqua" w:eastAsia="Times New Roman" w:hAnsi="Book Antiqua" w:cs="Arial"/>
          <w:b/>
          <w:bCs/>
          <w:sz w:val="28"/>
          <w:szCs w:val="28"/>
        </w:rPr>
        <w:t xml:space="preserve">: A Case In </w:t>
      </w:r>
      <w:proofErr w:type="spellStart"/>
      <w:r>
        <w:rPr>
          <w:rFonts w:ascii="Book Antiqua" w:eastAsia="Times New Roman" w:hAnsi="Book Antiqua" w:cs="Arial"/>
          <w:b/>
          <w:bCs/>
          <w:sz w:val="28"/>
          <w:szCs w:val="28"/>
        </w:rPr>
        <w:t>buton</w:t>
      </w:r>
      <w:proofErr w:type="spellEnd"/>
    </w:p>
    <w:p w14:paraId="2B042C4A" w14:textId="5A23D7BE" w:rsidR="003328B1" w:rsidRDefault="003328B1" w:rsidP="00400652">
      <w:pPr>
        <w:spacing w:after="0" w:line="240" w:lineRule="auto"/>
        <w:rPr>
          <w:rFonts w:ascii="Book Antiqua" w:eastAsia="Times New Roman" w:hAnsi="Book Antiqua" w:cs="Arial"/>
          <w:b/>
          <w:bCs/>
          <w:sz w:val="20"/>
          <w:szCs w:val="28"/>
          <w:lang w:val="id-ID"/>
        </w:rPr>
      </w:pPr>
    </w:p>
    <w:p w14:paraId="23DCF0FE" w14:textId="6E16165D" w:rsidR="003328B1" w:rsidRDefault="003328B1" w:rsidP="00400652">
      <w:pPr>
        <w:spacing w:after="0" w:line="240" w:lineRule="auto"/>
        <w:rPr>
          <w:rFonts w:ascii="Book Antiqua" w:eastAsia="Times New Roman" w:hAnsi="Book Antiqua" w:cs="Arial"/>
          <w:b/>
          <w:bCs/>
          <w:i/>
          <w:iCs/>
          <w:sz w:val="24"/>
          <w:szCs w:val="24"/>
          <w:lang w:val="id-ID"/>
        </w:rPr>
      </w:pPr>
    </w:p>
    <w:p w14:paraId="741EDA62" w14:textId="226E9BD1" w:rsidR="003328B1" w:rsidRPr="00D62202" w:rsidRDefault="00DB0EC5" w:rsidP="00916449">
      <w:pPr>
        <w:spacing w:after="0" w:line="240" w:lineRule="auto"/>
        <w:jc w:val="center"/>
        <w:rPr>
          <w:rFonts w:ascii="Book Antiqua" w:hAnsi="Book Antiqua"/>
          <w:b/>
        </w:rPr>
      </w:pPr>
      <w:proofErr w:type="spellStart"/>
      <w:r w:rsidRPr="00D62202">
        <w:rPr>
          <w:rFonts w:ascii="Book Antiqua" w:hAnsi="Book Antiqua"/>
          <w:b/>
        </w:rPr>
        <w:t>Nur</w:t>
      </w:r>
      <w:proofErr w:type="spellEnd"/>
      <w:r w:rsidRPr="00D62202">
        <w:rPr>
          <w:rFonts w:ascii="Book Antiqua" w:hAnsi="Book Antiqua"/>
          <w:b/>
        </w:rPr>
        <w:t xml:space="preserve"> </w:t>
      </w:r>
      <w:proofErr w:type="spellStart"/>
      <w:r w:rsidRPr="00D62202">
        <w:rPr>
          <w:rFonts w:ascii="Book Antiqua" w:hAnsi="Book Antiqua"/>
          <w:b/>
        </w:rPr>
        <w:t>Inzan</w:t>
      </w:r>
      <w:r w:rsidR="00D62202" w:rsidRPr="00D62202">
        <w:rPr>
          <w:rFonts w:ascii="Book Antiqua" w:hAnsi="Book Antiqua"/>
          <w:b/>
        </w:rPr>
        <w:t>a</w:t>
      </w:r>
      <w:proofErr w:type="spellEnd"/>
      <w:r w:rsidR="003328B1" w:rsidRPr="00D62202">
        <w:rPr>
          <w:rFonts w:ascii="Book Antiqua" w:hAnsi="Book Antiqua"/>
          <w:b/>
          <w:vertAlign w:val="superscript"/>
        </w:rPr>
        <w:t>*</w:t>
      </w:r>
      <w:r w:rsidR="003328B1" w:rsidRPr="00D62202">
        <w:rPr>
          <w:rFonts w:ascii="Book Antiqua" w:hAnsi="Book Antiqua"/>
          <w:b/>
        </w:rPr>
        <w:t xml:space="preserve">, </w:t>
      </w:r>
      <w:proofErr w:type="spellStart"/>
      <w:r w:rsidRPr="00D62202">
        <w:rPr>
          <w:rFonts w:ascii="Book Antiqua" w:hAnsi="Book Antiqua"/>
          <w:b/>
        </w:rPr>
        <w:t>Junaid</w:t>
      </w:r>
      <w:proofErr w:type="spellEnd"/>
      <w:r w:rsidRPr="00D62202">
        <w:rPr>
          <w:rFonts w:ascii="Book Antiqua" w:hAnsi="Book Antiqua"/>
          <w:b/>
        </w:rPr>
        <w:t xml:space="preserve"> </w:t>
      </w:r>
      <w:proofErr w:type="spellStart"/>
      <w:proofErr w:type="gramStart"/>
      <w:r w:rsidRPr="00D62202">
        <w:rPr>
          <w:rFonts w:ascii="Book Antiqua" w:hAnsi="Book Antiqua"/>
          <w:b/>
        </w:rPr>
        <w:t>Gazalin</w:t>
      </w:r>
      <w:proofErr w:type="spellEnd"/>
      <w:r w:rsidRPr="00D62202">
        <w:rPr>
          <w:rFonts w:ascii="Book Antiqua" w:hAnsi="Book Antiqua"/>
          <w:b/>
          <w:vertAlign w:val="superscript"/>
        </w:rPr>
        <w:t xml:space="preserve"> </w:t>
      </w:r>
      <w:r w:rsidRPr="00D62202">
        <w:rPr>
          <w:rFonts w:ascii="Book Antiqua" w:hAnsi="Book Antiqua"/>
          <w:b/>
        </w:rPr>
        <w:t>,</w:t>
      </w:r>
      <w:proofErr w:type="gramEnd"/>
      <w:r w:rsidRPr="00D62202">
        <w:rPr>
          <w:rFonts w:ascii="Book Antiqua" w:hAnsi="Book Antiqua"/>
          <w:b/>
        </w:rPr>
        <w:t xml:space="preserve"> La </w:t>
      </w:r>
      <w:proofErr w:type="spellStart"/>
      <w:r w:rsidRPr="00D62202">
        <w:rPr>
          <w:rFonts w:ascii="Book Antiqua" w:hAnsi="Book Antiqua"/>
          <w:b/>
        </w:rPr>
        <w:t>Asiri</w:t>
      </w:r>
      <w:proofErr w:type="spellEnd"/>
      <w:r w:rsidRPr="00D62202">
        <w:rPr>
          <w:rFonts w:ascii="Book Antiqua" w:hAnsi="Book Antiqua"/>
          <w:b/>
        </w:rPr>
        <w:t xml:space="preserve">, </w:t>
      </w:r>
      <w:proofErr w:type="spellStart"/>
      <w:r w:rsidRPr="00D62202">
        <w:rPr>
          <w:rFonts w:ascii="Book Antiqua" w:hAnsi="Book Antiqua"/>
          <w:b/>
        </w:rPr>
        <w:t>Sry</w:t>
      </w:r>
      <w:proofErr w:type="spellEnd"/>
      <w:r w:rsidRPr="00D62202">
        <w:rPr>
          <w:rFonts w:ascii="Book Antiqua" w:hAnsi="Book Antiqua"/>
          <w:b/>
        </w:rPr>
        <w:t xml:space="preserve"> </w:t>
      </w:r>
      <w:proofErr w:type="spellStart"/>
      <w:r w:rsidRPr="00D62202">
        <w:rPr>
          <w:rFonts w:ascii="Book Antiqua" w:hAnsi="Book Antiqua"/>
          <w:b/>
        </w:rPr>
        <w:t>Mayunita</w:t>
      </w:r>
      <w:proofErr w:type="spellEnd"/>
      <w:r w:rsidRPr="00D62202">
        <w:rPr>
          <w:rFonts w:ascii="Book Antiqua" w:hAnsi="Book Antiqua"/>
          <w:b/>
        </w:rPr>
        <w:t>,</w:t>
      </w:r>
      <w:r w:rsidR="003328B1" w:rsidRPr="00D62202">
        <w:rPr>
          <w:rFonts w:ascii="Book Antiqua" w:hAnsi="Book Antiqua"/>
          <w:b/>
        </w:rPr>
        <w:t xml:space="preserve"> </w:t>
      </w:r>
      <w:proofErr w:type="spellStart"/>
      <w:r w:rsidRPr="00D62202">
        <w:rPr>
          <w:rFonts w:ascii="Book Antiqua" w:hAnsi="Book Antiqua"/>
          <w:b/>
        </w:rPr>
        <w:t>Nuriat</w:t>
      </w:r>
      <w:proofErr w:type="spellEnd"/>
    </w:p>
    <w:p w14:paraId="085C6CD5" w14:textId="77777777" w:rsidR="00D62202" w:rsidRDefault="00D62202" w:rsidP="00916449">
      <w:pPr>
        <w:spacing w:after="0" w:line="240" w:lineRule="auto"/>
        <w:jc w:val="center"/>
        <w:rPr>
          <w:rFonts w:ascii="Book Antiqua" w:hAnsi="Book Antiqua"/>
        </w:rPr>
      </w:pPr>
    </w:p>
    <w:p w14:paraId="7763B98A" w14:textId="32104E6A" w:rsidR="00916449" w:rsidRPr="00CB5A92" w:rsidRDefault="00FB2CFC" w:rsidP="00916449">
      <w:pPr>
        <w:spacing w:after="0" w:line="240" w:lineRule="auto"/>
        <w:jc w:val="center"/>
        <w:rPr>
          <w:rFonts w:ascii="Book Antiqua" w:eastAsia="Calibri" w:hAnsi="Book Antiqua" w:cs="Times New Roman"/>
          <w:sz w:val="18"/>
          <w:szCs w:val="18"/>
        </w:rPr>
      </w:pPr>
      <w:proofErr w:type="spellStart"/>
      <w:r>
        <w:rPr>
          <w:rFonts w:ascii="Book Antiqua" w:eastAsia="Calibri" w:hAnsi="Book Antiqua" w:cs="Times New Roman"/>
          <w:sz w:val="18"/>
          <w:szCs w:val="18"/>
        </w:rPr>
        <w:t>Nur</w:t>
      </w:r>
      <w:proofErr w:type="spellEnd"/>
      <w:r>
        <w:rPr>
          <w:rFonts w:ascii="Book Antiqua" w:eastAsia="Calibri" w:hAnsi="Book Antiqua" w:cs="Times New Roman"/>
          <w:sz w:val="18"/>
          <w:szCs w:val="18"/>
        </w:rPr>
        <w:t xml:space="preserve"> </w:t>
      </w:r>
      <w:proofErr w:type="spellStart"/>
      <w:r>
        <w:rPr>
          <w:rFonts w:ascii="Book Antiqua" w:eastAsia="Calibri" w:hAnsi="Book Antiqua" w:cs="Times New Roman"/>
          <w:sz w:val="18"/>
          <w:szCs w:val="18"/>
        </w:rPr>
        <w:t>inzana</w:t>
      </w:r>
      <w:proofErr w:type="spellEnd"/>
      <w:r w:rsidR="00916449" w:rsidRPr="006F0F22">
        <w:rPr>
          <w:rFonts w:ascii="Book Antiqua" w:eastAsia="Calibri" w:hAnsi="Book Antiqua" w:cs="Arial"/>
          <w:sz w:val="18"/>
          <w:szCs w:val="18"/>
          <w:lang w:val="id-ID"/>
        </w:rPr>
        <w:t xml:space="preserve">, </w:t>
      </w:r>
      <w:r w:rsidR="00CB5A92">
        <w:rPr>
          <w:rFonts w:ascii="Book Antiqua" w:eastAsia="Calibri" w:hAnsi="Book Antiqua" w:cs="Arial"/>
          <w:sz w:val="18"/>
          <w:szCs w:val="18"/>
        </w:rPr>
        <w:t xml:space="preserve">Public </w:t>
      </w:r>
      <w:proofErr w:type="spellStart"/>
      <w:r w:rsidR="00CB5A92">
        <w:rPr>
          <w:rFonts w:ascii="Book Antiqua" w:eastAsia="Calibri" w:hAnsi="Book Antiqua" w:cs="Arial"/>
          <w:sz w:val="18"/>
          <w:szCs w:val="18"/>
        </w:rPr>
        <w:t>Administrasion</w:t>
      </w:r>
      <w:proofErr w:type="spellEnd"/>
      <w:r w:rsidR="00916449" w:rsidRPr="006F0F22">
        <w:rPr>
          <w:rFonts w:ascii="Book Antiqua" w:eastAsia="Calibri" w:hAnsi="Book Antiqua" w:cs="Arial"/>
          <w:sz w:val="18"/>
          <w:szCs w:val="18"/>
          <w:lang w:val="id-ID"/>
        </w:rPr>
        <w:t xml:space="preserve"> </w:t>
      </w:r>
      <w:r w:rsidR="00916449" w:rsidRPr="006F0F22">
        <w:rPr>
          <w:rFonts w:ascii="Book Antiqua" w:eastAsia="Calibri" w:hAnsi="Book Antiqua" w:cs="Times New Roman"/>
          <w:sz w:val="18"/>
          <w:szCs w:val="18"/>
          <w:lang w:val="id-ID"/>
        </w:rPr>
        <w:sym w:font="Symbol" w:char="F0AC"/>
      </w:r>
      <w:proofErr w:type="spellStart"/>
      <w:r w:rsidR="00CB5A92">
        <w:rPr>
          <w:rFonts w:ascii="Book Antiqua" w:eastAsia="Calibri" w:hAnsi="Book Antiqua" w:cs="Times New Roman"/>
          <w:sz w:val="18"/>
          <w:szCs w:val="18"/>
        </w:rPr>
        <w:t>Universitas</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Muhammadiyah</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Buton</w:t>
      </w:r>
      <w:proofErr w:type="spellEnd"/>
    </w:p>
    <w:p w14:paraId="47D1CE81" w14:textId="5C0D8F02" w:rsidR="00916449" w:rsidRPr="00CB5A92" w:rsidRDefault="00FB2CFC" w:rsidP="00916449">
      <w:pPr>
        <w:spacing w:after="0" w:line="240" w:lineRule="auto"/>
        <w:jc w:val="center"/>
        <w:rPr>
          <w:rFonts w:ascii="Book Antiqua" w:eastAsia="Calibri" w:hAnsi="Book Antiqua" w:cs="Times New Roman"/>
          <w:sz w:val="18"/>
          <w:szCs w:val="18"/>
        </w:rPr>
      </w:pPr>
      <w:proofErr w:type="spellStart"/>
      <w:r>
        <w:rPr>
          <w:rFonts w:ascii="Book Antiqua" w:eastAsia="Calibri" w:hAnsi="Book Antiqua" w:cs="Times New Roman"/>
          <w:sz w:val="18"/>
          <w:szCs w:val="18"/>
        </w:rPr>
        <w:t>Junaid</w:t>
      </w:r>
      <w:proofErr w:type="spellEnd"/>
      <w:r>
        <w:rPr>
          <w:rFonts w:ascii="Book Antiqua" w:eastAsia="Calibri" w:hAnsi="Book Antiqua" w:cs="Times New Roman"/>
          <w:sz w:val="18"/>
          <w:szCs w:val="18"/>
        </w:rPr>
        <w:t xml:space="preserve"> </w:t>
      </w:r>
      <w:proofErr w:type="spellStart"/>
      <w:r>
        <w:rPr>
          <w:rFonts w:ascii="Book Antiqua" w:eastAsia="Calibri" w:hAnsi="Book Antiqua" w:cs="Times New Roman"/>
          <w:sz w:val="18"/>
          <w:szCs w:val="18"/>
        </w:rPr>
        <w:t>Gazalin</w:t>
      </w:r>
      <w:proofErr w:type="spellEnd"/>
      <w:r>
        <w:rPr>
          <w:rFonts w:ascii="Book Antiqua" w:eastAsia="Calibri" w:hAnsi="Book Antiqua" w:cs="Times New Roman"/>
          <w:sz w:val="18"/>
          <w:szCs w:val="18"/>
        </w:rPr>
        <w:t>,</w:t>
      </w:r>
      <w:r w:rsidR="00CB5A92">
        <w:rPr>
          <w:rFonts w:ascii="Book Antiqua" w:eastAsia="Calibri" w:hAnsi="Book Antiqua" w:cs="Arial"/>
          <w:sz w:val="18"/>
          <w:szCs w:val="18"/>
        </w:rPr>
        <w:t xml:space="preserve"> Public </w:t>
      </w:r>
      <w:proofErr w:type="spellStart"/>
      <w:r w:rsidR="00CB5A92">
        <w:rPr>
          <w:rFonts w:ascii="Book Antiqua" w:eastAsia="Calibri" w:hAnsi="Book Antiqua" w:cs="Arial"/>
          <w:sz w:val="18"/>
          <w:szCs w:val="18"/>
        </w:rPr>
        <w:t>Administrasion</w:t>
      </w:r>
      <w:proofErr w:type="spellEnd"/>
      <w:proofErr w:type="gramStart"/>
      <w:r w:rsidR="00CB5A92">
        <w:rPr>
          <w:rFonts w:ascii="Book Antiqua" w:eastAsia="Calibri" w:hAnsi="Book Antiqua" w:cs="Arial"/>
          <w:sz w:val="18"/>
          <w:szCs w:val="18"/>
          <w:lang w:val="id-ID"/>
        </w:rPr>
        <w:t xml:space="preserve">, </w:t>
      </w:r>
      <w:r w:rsidR="00916449" w:rsidRPr="006F0F22">
        <w:rPr>
          <w:rFonts w:ascii="Book Antiqua" w:eastAsia="Calibri" w:hAnsi="Book Antiqua" w:cs="Arial"/>
          <w:sz w:val="18"/>
          <w:szCs w:val="18"/>
          <w:lang w:val="id-ID"/>
        </w:rPr>
        <w:t xml:space="preserve"> </w:t>
      </w:r>
      <w:proofErr w:type="gramEnd"/>
      <w:r w:rsidR="00916449" w:rsidRPr="006F0F22">
        <w:rPr>
          <w:rFonts w:ascii="Book Antiqua" w:eastAsia="Calibri" w:hAnsi="Book Antiqua" w:cs="Times New Roman"/>
          <w:sz w:val="18"/>
          <w:szCs w:val="18"/>
          <w:lang w:val="id-ID"/>
        </w:rPr>
        <w:sym w:font="Symbol" w:char="F0AC"/>
      </w:r>
      <w:proofErr w:type="spellStart"/>
      <w:r w:rsidR="00CB5A92">
        <w:rPr>
          <w:rFonts w:ascii="Book Antiqua" w:eastAsia="Calibri" w:hAnsi="Book Antiqua" w:cs="Times New Roman"/>
          <w:sz w:val="18"/>
          <w:szCs w:val="18"/>
        </w:rPr>
        <w:t>Universitas</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Muhammadiya</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Buton</w:t>
      </w:r>
      <w:proofErr w:type="spellEnd"/>
    </w:p>
    <w:p w14:paraId="56EC0FF1" w14:textId="69860300" w:rsidR="00916449" w:rsidRPr="00CB5A92" w:rsidRDefault="00916449" w:rsidP="00916449">
      <w:pPr>
        <w:spacing w:after="0" w:line="240" w:lineRule="auto"/>
        <w:jc w:val="center"/>
        <w:rPr>
          <w:rFonts w:ascii="Book Antiqua" w:eastAsia="Calibri" w:hAnsi="Book Antiqua" w:cs="Times New Roman"/>
          <w:sz w:val="18"/>
          <w:szCs w:val="18"/>
        </w:rPr>
      </w:pPr>
      <w:bookmarkStart w:id="0" w:name="_GoBack"/>
      <w:bookmarkEnd w:id="0"/>
      <w:r w:rsidRPr="006F0F22">
        <w:rPr>
          <w:rFonts w:ascii="Book Antiqua" w:eastAsia="Calibri" w:hAnsi="Book Antiqua" w:cs="Arial"/>
          <w:sz w:val="18"/>
          <w:szCs w:val="18"/>
          <w:lang w:val="id-ID"/>
        </w:rPr>
        <w:t xml:space="preserve"> </w:t>
      </w:r>
      <w:r w:rsidR="00CB5A92">
        <w:rPr>
          <w:rFonts w:ascii="Book Antiqua" w:eastAsia="Calibri" w:hAnsi="Book Antiqua" w:cs="Arial"/>
          <w:sz w:val="18"/>
          <w:szCs w:val="18"/>
        </w:rPr>
        <w:t xml:space="preserve">La </w:t>
      </w:r>
      <w:proofErr w:type="spellStart"/>
      <w:r w:rsidR="00CB5A92">
        <w:rPr>
          <w:rFonts w:ascii="Book Antiqua" w:eastAsia="Calibri" w:hAnsi="Book Antiqua" w:cs="Arial"/>
          <w:sz w:val="18"/>
          <w:szCs w:val="18"/>
        </w:rPr>
        <w:t>Asir</w:t>
      </w:r>
      <w:r w:rsidR="00BE06D0">
        <w:rPr>
          <w:rFonts w:ascii="Book Antiqua" w:eastAsia="Calibri" w:hAnsi="Book Antiqua" w:cs="Arial"/>
          <w:sz w:val="18"/>
          <w:szCs w:val="18"/>
        </w:rPr>
        <w:t>i</w:t>
      </w:r>
      <w:proofErr w:type="spellEnd"/>
      <w:r w:rsidR="00CB5A92">
        <w:rPr>
          <w:rFonts w:ascii="Book Antiqua" w:eastAsia="Calibri" w:hAnsi="Book Antiqua" w:cs="Arial"/>
          <w:sz w:val="18"/>
          <w:szCs w:val="18"/>
        </w:rPr>
        <w:t xml:space="preserve">,.Public </w:t>
      </w:r>
      <w:proofErr w:type="spellStart"/>
      <w:r w:rsidR="00CB5A92">
        <w:rPr>
          <w:rFonts w:ascii="Book Antiqua" w:eastAsia="Calibri" w:hAnsi="Book Antiqua" w:cs="Arial"/>
          <w:sz w:val="18"/>
          <w:szCs w:val="18"/>
        </w:rPr>
        <w:t>Administrasion</w:t>
      </w:r>
      <w:proofErr w:type="spellEnd"/>
      <w:r w:rsidRPr="006F0F22">
        <w:rPr>
          <w:rFonts w:ascii="Book Antiqua" w:eastAsia="Calibri" w:hAnsi="Book Antiqua" w:cs="Arial"/>
          <w:sz w:val="18"/>
          <w:szCs w:val="18"/>
          <w:lang w:val="id-ID"/>
        </w:rPr>
        <w:t xml:space="preserve"> </w:t>
      </w:r>
      <w:r w:rsidRPr="006F0F22">
        <w:rPr>
          <w:rFonts w:ascii="Book Antiqua" w:eastAsia="Calibri" w:hAnsi="Book Antiqua" w:cs="Times New Roman"/>
          <w:sz w:val="18"/>
          <w:szCs w:val="18"/>
          <w:lang w:val="id-ID"/>
        </w:rPr>
        <w:sym w:font="Symbol" w:char="F0AC"/>
      </w:r>
      <w:proofErr w:type="spellStart"/>
      <w:r w:rsidR="00CB5A92">
        <w:rPr>
          <w:rFonts w:ascii="Book Antiqua" w:eastAsia="Calibri" w:hAnsi="Book Antiqua" w:cs="Times New Roman"/>
          <w:sz w:val="18"/>
          <w:szCs w:val="18"/>
        </w:rPr>
        <w:t>Universitas</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Muhammdiyah</w:t>
      </w:r>
      <w:proofErr w:type="spellEnd"/>
      <w:r w:rsidR="00CB5A92">
        <w:rPr>
          <w:rFonts w:ascii="Book Antiqua" w:eastAsia="Calibri" w:hAnsi="Book Antiqua" w:cs="Times New Roman"/>
          <w:sz w:val="18"/>
          <w:szCs w:val="18"/>
        </w:rPr>
        <w:t xml:space="preserve"> </w:t>
      </w:r>
      <w:proofErr w:type="spellStart"/>
      <w:r w:rsidR="00CB5A92">
        <w:rPr>
          <w:rFonts w:ascii="Book Antiqua" w:eastAsia="Calibri" w:hAnsi="Book Antiqua" w:cs="Times New Roman"/>
          <w:sz w:val="18"/>
          <w:szCs w:val="18"/>
        </w:rPr>
        <w:t>Buton</w:t>
      </w:r>
      <w:proofErr w:type="spellEnd"/>
    </w:p>
    <w:p w14:paraId="4B63710A" w14:textId="10BBE4B5" w:rsidR="00CB5A92" w:rsidRPr="00CB5A92" w:rsidRDefault="00CB5A92" w:rsidP="00CB5A92">
      <w:pPr>
        <w:spacing w:after="0" w:line="240" w:lineRule="auto"/>
        <w:jc w:val="center"/>
        <w:rPr>
          <w:rFonts w:ascii="Book Antiqua" w:eastAsia="Calibri" w:hAnsi="Book Antiqua" w:cs="Times New Roman"/>
          <w:sz w:val="18"/>
          <w:szCs w:val="18"/>
        </w:rPr>
      </w:pPr>
      <w:proofErr w:type="spellStart"/>
      <w:r>
        <w:rPr>
          <w:rFonts w:ascii="Book Antiqua" w:eastAsia="Calibri" w:hAnsi="Book Antiqua" w:cs="Arial"/>
          <w:sz w:val="18"/>
          <w:szCs w:val="18"/>
        </w:rPr>
        <w:t>Sry</w:t>
      </w:r>
      <w:proofErr w:type="spellEnd"/>
      <w:r>
        <w:rPr>
          <w:rFonts w:ascii="Book Antiqua" w:eastAsia="Calibri" w:hAnsi="Book Antiqua" w:cs="Arial"/>
          <w:sz w:val="18"/>
          <w:szCs w:val="18"/>
        </w:rPr>
        <w:t xml:space="preserve"> </w:t>
      </w:r>
      <w:proofErr w:type="spellStart"/>
      <w:r>
        <w:rPr>
          <w:rFonts w:ascii="Book Antiqua" w:eastAsia="Calibri" w:hAnsi="Book Antiqua" w:cs="Arial"/>
          <w:sz w:val="18"/>
          <w:szCs w:val="18"/>
        </w:rPr>
        <w:t>Mayunita</w:t>
      </w:r>
      <w:proofErr w:type="gramStart"/>
      <w:r>
        <w:rPr>
          <w:rFonts w:ascii="Book Antiqua" w:eastAsia="Calibri" w:hAnsi="Book Antiqua" w:cs="Arial"/>
          <w:sz w:val="18"/>
          <w:szCs w:val="18"/>
        </w:rPr>
        <w:t>,Public</w:t>
      </w:r>
      <w:proofErr w:type="spellEnd"/>
      <w:proofErr w:type="gramEnd"/>
      <w:r>
        <w:rPr>
          <w:rFonts w:ascii="Book Antiqua" w:eastAsia="Calibri" w:hAnsi="Book Antiqua" w:cs="Arial"/>
          <w:sz w:val="18"/>
          <w:szCs w:val="18"/>
        </w:rPr>
        <w:t xml:space="preserve"> </w:t>
      </w:r>
      <w:proofErr w:type="spellStart"/>
      <w:r>
        <w:rPr>
          <w:rFonts w:ascii="Book Antiqua" w:eastAsia="Calibri" w:hAnsi="Book Antiqua" w:cs="Arial"/>
          <w:sz w:val="18"/>
          <w:szCs w:val="18"/>
        </w:rPr>
        <w:t>Administrasion</w:t>
      </w:r>
      <w:proofErr w:type="spellEnd"/>
      <w:r>
        <w:rPr>
          <w:rFonts w:ascii="Book Antiqua" w:eastAsia="Calibri" w:hAnsi="Book Antiqua" w:cs="Arial"/>
          <w:sz w:val="18"/>
          <w:szCs w:val="18"/>
        </w:rPr>
        <w:t xml:space="preserve"> </w:t>
      </w:r>
      <w:r w:rsidRPr="006F0F22">
        <w:rPr>
          <w:rFonts w:ascii="Book Antiqua" w:eastAsia="Calibri" w:hAnsi="Book Antiqua" w:cs="Arial"/>
          <w:sz w:val="18"/>
          <w:szCs w:val="18"/>
          <w:lang w:val="id-ID"/>
        </w:rPr>
        <w:t xml:space="preserve"> </w:t>
      </w:r>
      <w:r w:rsidRPr="006F0F22">
        <w:rPr>
          <w:rFonts w:ascii="Book Antiqua" w:eastAsia="Calibri" w:hAnsi="Book Antiqua" w:cs="Times New Roman"/>
          <w:sz w:val="18"/>
          <w:szCs w:val="18"/>
          <w:lang w:val="id-ID"/>
        </w:rPr>
        <w:sym w:font="Symbol" w:char="F0AC"/>
      </w:r>
      <w:proofErr w:type="spellStart"/>
      <w:r>
        <w:rPr>
          <w:rFonts w:ascii="Book Antiqua" w:eastAsia="Calibri" w:hAnsi="Book Antiqua" w:cs="Times New Roman"/>
          <w:sz w:val="18"/>
          <w:szCs w:val="18"/>
        </w:rPr>
        <w:t>Universitas</w:t>
      </w:r>
      <w:proofErr w:type="spellEnd"/>
      <w:r>
        <w:rPr>
          <w:rFonts w:ascii="Book Antiqua" w:eastAsia="Calibri" w:hAnsi="Book Antiqua" w:cs="Times New Roman"/>
          <w:sz w:val="18"/>
          <w:szCs w:val="18"/>
        </w:rPr>
        <w:t xml:space="preserve"> </w:t>
      </w:r>
      <w:proofErr w:type="spellStart"/>
      <w:r>
        <w:rPr>
          <w:rFonts w:ascii="Book Antiqua" w:eastAsia="Calibri" w:hAnsi="Book Antiqua" w:cs="Times New Roman"/>
          <w:sz w:val="18"/>
          <w:szCs w:val="18"/>
        </w:rPr>
        <w:t>Muhammadiyah</w:t>
      </w:r>
      <w:proofErr w:type="spellEnd"/>
      <w:r>
        <w:rPr>
          <w:rFonts w:ascii="Book Antiqua" w:eastAsia="Calibri" w:hAnsi="Book Antiqua" w:cs="Times New Roman"/>
          <w:sz w:val="18"/>
          <w:szCs w:val="18"/>
        </w:rPr>
        <w:t xml:space="preserve"> </w:t>
      </w:r>
      <w:proofErr w:type="spellStart"/>
      <w:r>
        <w:rPr>
          <w:rFonts w:ascii="Book Antiqua" w:eastAsia="Calibri" w:hAnsi="Book Antiqua" w:cs="Times New Roman"/>
          <w:sz w:val="18"/>
          <w:szCs w:val="18"/>
        </w:rPr>
        <w:t>Buton</w:t>
      </w:r>
      <w:proofErr w:type="spellEnd"/>
    </w:p>
    <w:p w14:paraId="07CFD678" w14:textId="77777777" w:rsidR="00CB5A92" w:rsidRPr="00CB5A92" w:rsidRDefault="00CB5A92" w:rsidP="00916449">
      <w:pPr>
        <w:spacing w:after="0" w:line="240" w:lineRule="auto"/>
        <w:jc w:val="center"/>
        <w:rPr>
          <w:rFonts w:ascii="Book Antiqua" w:eastAsia="Calibri" w:hAnsi="Book Antiqua" w:cs="Times New Roman"/>
          <w:sz w:val="18"/>
          <w:szCs w:val="18"/>
        </w:rPr>
      </w:pPr>
    </w:p>
    <w:p w14:paraId="2842DA50" w14:textId="0AE54AA7" w:rsidR="003328B1" w:rsidRDefault="00916449" w:rsidP="00916449">
      <w:pPr>
        <w:jc w:val="center"/>
        <w:rPr>
          <w:rFonts w:ascii="Book Antiqua" w:eastAsia="Calibri" w:hAnsi="Book Antiqua" w:cs="Arial"/>
          <w:sz w:val="18"/>
          <w:szCs w:val="18"/>
        </w:rPr>
      </w:pPr>
      <w:r w:rsidRPr="006F0F22">
        <w:rPr>
          <w:rFonts w:ascii="Book Antiqua" w:eastAsia="Calibri" w:hAnsi="Book Antiqua" w:cs="Arial"/>
          <w:sz w:val="18"/>
          <w:szCs w:val="18"/>
          <w:lang w:val="id-ID"/>
        </w:rPr>
        <w:t>Email</w:t>
      </w:r>
      <w:r w:rsidRPr="006F0F22">
        <w:rPr>
          <w:rFonts w:ascii="Book Antiqua" w:eastAsia="Calibri" w:hAnsi="Book Antiqua" w:cs="Arial"/>
          <w:sz w:val="18"/>
          <w:szCs w:val="18"/>
        </w:rPr>
        <w:t xml:space="preserve"> </w:t>
      </w:r>
      <w:proofErr w:type="spellStart"/>
      <w:r w:rsidRPr="006F0F22">
        <w:rPr>
          <w:rFonts w:ascii="Book Antiqua" w:eastAsia="Calibri" w:hAnsi="Book Antiqua" w:cs="Arial"/>
          <w:sz w:val="18"/>
          <w:szCs w:val="18"/>
        </w:rPr>
        <w:t>correcpondence</w:t>
      </w:r>
      <w:proofErr w:type="spellEnd"/>
      <w:r w:rsidRPr="006F0F22">
        <w:rPr>
          <w:rFonts w:ascii="Book Antiqua" w:eastAsia="Calibri" w:hAnsi="Book Antiqua" w:cs="Arial"/>
          <w:sz w:val="18"/>
          <w:szCs w:val="18"/>
          <w:lang w:val="id-ID"/>
        </w:rPr>
        <w:t xml:space="preserve">: </w:t>
      </w:r>
      <w:r w:rsidR="00CB5A92">
        <w:rPr>
          <w:rFonts w:ascii="Book Antiqua" w:eastAsia="Calibri" w:hAnsi="Book Antiqua" w:cs="Arial"/>
          <w:sz w:val="18"/>
          <w:szCs w:val="18"/>
        </w:rPr>
        <w:fldChar w:fldCharType="begin"/>
      </w:r>
      <w:r w:rsidR="00CB5A92">
        <w:rPr>
          <w:rFonts w:ascii="Book Antiqua" w:eastAsia="Calibri" w:hAnsi="Book Antiqua" w:cs="Arial"/>
          <w:sz w:val="18"/>
          <w:szCs w:val="18"/>
        </w:rPr>
        <w:instrText xml:space="preserve"> HYPERLINK "mailto:nurinzanaumbuton@gmail.com" </w:instrText>
      </w:r>
      <w:r w:rsidR="00CB5A92">
        <w:rPr>
          <w:rFonts w:ascii="Book Antiqua" w:eastAsia="Calibri" w:hAnsi="Book Antiqua" w:cs="Arial"/>
          <w:sz w:val="18"/>
          <w:szCs w:val="18"/>
        </w:rPr>
        <w:fldChar w:fldCharType="separate"/>
      </w:r>
      <w:r w:rsidR="00CB5A92" w:rsidRPr="00DC5C00">
        <w:rPr>
          <w:rStyle w:val="Hyperlink"/>
          <w:rFonts w:ascii="Book Antiqua" w:eastAsia="Calibri" w:hAnsi="Book Antiqua" w:cs="Arial"/>
          <w:sz w:val="18"/>
          <w:szCs w:val="18"/>
        </w:rPr>
        <w:t>nurinzanaumbuton@gmail.com</w:t>
      </w:r>
      <w:r w:rsidR="00CB5A92">
        <w:rPr>
          <w:rFonts w:ascii="Book Antiqua" w:eastAsia="Calibri" w:hAnsi="Book Antiqua" w:cs="Arial"/>
          <w:sz w:val="18"/>
          <w:szCs w:val="18"/>
        </w:rPr>
        <w:fldChar w:fldCharType="end"/>
      </w:r>
    </w:p>
    <w:p w14:paraId="74AE6D56" w14:textId="0031D7F0" w:rsidR="00916449" w:rsidRDefault="00916449" w:rsidP="00916449">
      <w:pPr>
        <w:jc w:val="center"/>
        <w:rPr>
          <w:rFonts w:ascii="Book Antiqua" w:eastAsia="Calibri" w:hAnsi="Book Antiqua" w:cs="Arial"/>
          <w:lang w:val="id-ID"/>
        </w:rPr>
      </w:pPr>
    </w:p>
    <w:p w14:paraId="2DD64E9C" w14:textId="77777777" w:rsidR="00916449" w:rsidRPr="00916449" w:rsidRDefault="00916449" w:rsidP="00916449">
      <w:pPr>
        <w:spacing w:after="0" w:line="240" w:lineRule="auto"/>
        <w:jc w:val="center"/>
        <w:rPr>
          <w:rFonts w:ascii="Book Antiqua" w:eastAsia="Calibri" w:hAnsi="Book Antiqua" w:cs="Arial"/>
          <w:b/>
          <w:bCs/>
          <w:sz w:val="20"/>
          <w:szCs w:val="20"/>
          <w:lang w:val="id-ID"/>
        </w:rPr>
      </w:pPr>
      <w:r w:rsidRPr="00916449">
        <w:rPr>
          <w:rFonts w:ascii="Book Antiqua" w:eastAsia="Calibri" w:hAnsi="Book Antiqua" w:cs="Arial"/>
          <w:b/>
          <w:bCs/>
          <w:sz w:val="20"/>
          <w:szCs w:val="20"/>
          <w:lang w:val="id-ID"/>
        </w:rPr>
        <w:t>Abstract</w:t>
      </w:r>
    </w:p>
    <w:p w14:paraId="3EF56A0A" w14:textId="77777777" w:rsidR="00557D7F" w:rsidRPr="00557D7F" w:rsidRDefault="00557D7F" w:rsidP="00557D7F">
      <w:pPr>
        <w:jc w:val="center"/>
        <w:rPr>
          <w:rFonts w:ascii="Book Antiqua" w:eastAsia="Calibri" w:hAnsi="Book Antiqua" w:cs="Arial"/>
          <w:lang w:val="id-ID"/>
        </w:rPr>
      </w:pPr>
      <w:r w:rsidRPr="00557D7F">
        <w:rPr>
          <w:rFonts w:ascii="Book Antiqua" w:hAnsi="Book Antiqua"/>
          <w:color w:val="000000" w:themeColor="text1"/>
          <w:sz w:val="20"/>
          <w:szCs w:val="20"/>
          <w:lang w:val="id-ID"/>
        </w:rPr>
        <w:t xml:space="preserve">This </w:t>
      </w:r>
      <w:r w:rsidRPr="00557D7F">
        <w:rPr>
          <w:rFonts w:ascii="Book Antiqua" w:hAnsi="Book Antiqua"/>
          <w:color w:val="000000" w:themeColor="text1"/>
          <w:sz w:val="20"/>
          <w:szCs w:val="20"/>
        </w:rPr>
        <w:t xml:space="preserve">Research aims To  </w:t>
      </w:r>
      <w:proofErr w:type="spellStart"/>
      <w:r w:rsidRPr="00557D7F">
        <w:rPr>
          <w:rFonts w:ascii="Book Antiqua" w:hAnsi="Book Antiqua"/>
          <w:color w:val="000000" w:themeColor="text1"/>
          <w:sz w:val="20"/>
          <w:szCs w:val="20"/>
        </w:rPr>
        <w:t>Analyse</w:t>
      </w:r>
      <w:proofErr w:type="spellEnd"/>
      <w:r w:rsidRPr="00557D7F">
        <w:rPr>
          <w:rFonts w:ascii="Book Antiqua" w:hAnsi="Book Antiqua"/>
          <w:color w:val="000000" w:themeColor="text1"/>
          <w:sz w:val="20"/>
          <w:szCs w:val="20"/>
        </w:rPr>
        <w:t xml:space="preserve"> The Factor That encourage the emergence of a single candidate in the </w:t>
      </w:r>
      <w:proofErr w:type="spellStart"/>
      <w:r w:rsidRPr="00557D7F">
        <w:rPr>
          <w:rFonts w:ascii="Book Antiqua" w:hAnsi="Book Antiqua"/>
          <w:color w:val="000000" w:themeColor="text1"/>
          <w:sz w:val="20"/>
          <w:szCs w:val="20"/>
        </w:rPr>
        <w:t>buton</w:t>
      </w:r>
      <w:proofErr w:type="spellEnd"/>
      <w:r w:rsidRPr="00557D7F">
        <w:rPr>
          <w:rFonts w:ascii="Book Antiqua" w:hAnsi="Book Antiqua"/>
          <w:color w:val="000000" w:themeColor="text1"/>
          <w:sz w:val="20"/>
          <w:szCs w:val="20"/>
        </w:rPr>
        <w:t xml:space="preserve"> </w:t>
      </w:r>
      <w:proofErr w:type="spellStart"/>
      <w:r w:rsidRPr="00557D7F">
        <w:rPr>
          <w:rFonts w:ascii="Book Antiqua" w:hAnsi="Book Antiqua"/>
          <w:color w:val="000000" w:themeColor="text1"/>
          <w:sz w:val="20"/>
          <w:szCs w:val="20"/>
        </w:rPr>
        <w:t>pilkada</w:t>
      </w:r>
      <w:proofErr w:type="spellEnd"/>
      <w:r w:rsidRPr="00557D7F">
        <w:rPr>
          <w:rFonts w:ascii="Book Antiqua" w:hAnsi="Book Antiqua"/>
          <w:color w:val="000000" w:themeColor="text1"/>
          <w:sz w:val="20"/>
          <w:szCs w:val="20"/>
        </w:rPr>
        <w:t xml:space="preserve"> and to Suggest strategic steps to minimize the potential  for a similar  phenomenon in the </w:t>
      </w:r>
      <w:proofErr w:type="spellStart"/>
      <w:r w:rsidRPr="00557D7F">
        <w:rPr>
          <w:rFonts w:ascii="Book Antiqua" w:hAnsi="Book Antiqua"/>
          <w:color w:val="000000" w:themeColor="text1"/>
          <w:sz w:val="20"/>
          <w:szCs w:val="20"/>
        </w:rPr>
        <w:t>buton</w:t>
      </w:r>
      <w:proofErr w:type="spellEnd"/>
      <w:r w:rsidRPr="00557D7F">
        <w:rPr>
          <w:rFonts w:ascii="Book Antiqua" w:hAnsi="Book Antiqua"/>
          <w:color w:val="000000" w:themeColor="text1"/>
          <w:sz w:val="20"/>
          <w:szCs w:val="20"/>
        </w:rPr>
        <w:t xml:space="preserve"> </w:t>
      </w:r>
      <w:proofErr w:type="spellStart"/>
      <w:r w:rsidRPr="00557D7F">
        <w:rPr>
          <w:rFonts w:ascii="Book Antiqua" w:hAnsi="Book Antiqua"/>
          <w:color w:val="000000" w:themeColor="text1"/>
          <w:sz w:val="20"/>
          <w:szCs w:val="20"/>
        </w:rPr>
        <w:t>pilkada</w:t>
      </w:r>
      <w:proofErr w:type="spellEnd"/>
      <w:r w:rsidRPr="00557D7F">
        <w:rPr>
          <w:rFonts w:ascii="Book Antiqua" w:hAnsi="Book Antiqua"/>
          <w:color w:val="000000" w:themeColor="text1"/>
          <w:sz w:val="20"/>
          <w:szCs w:val="20"/>
        </w:rPr>
        <w:t xml:space="preserve"> in 2024. The Research </w:t>
      </w:r>
      <w:proofErr w:type="spellStart"/>
      <w:r w:rsidRPr="00557D7F">
        <w:rPr>
          <w:rFonts w:ascii="Book Antiqua" w:hAnsi="Book Antiqua"/>
          <w:color w:val="000000" w:themeColor="text1"/>
          <w:sz w:val="20"/>
          <w:szCs w:val="20"/>
        </w:rPr>
        <w:t>Metod</w:t>
      </w:r>
      <w:proofErr w:type="spellEnd"/>
      <w:r w:rsidRPr="00557D7F">
        <w:rPr>
          <w:rFonts w:ascii="Book Antiqua" w:hAnsi="Book Antiqua"/>
          <w:color w:val="000000" w:themeColor="text1"/>
          <w:sz w:val="20"/>
          <w:szCs w:val="20"/>
        </w:rPr>
        <w:t xml:space="preserve"> involves </w:t>
      </w:r>
      <w:proofErr w:type="spellStart"/>
      <w:r w:rsidRPr="00557D7F">
        <w:rPr>
          <w:rFonts w:ascii="Book Antiqua" w:hAnsi="Book Antiqua"/>
          <w:color w:val="000000" w:themeColor="text1"/>
          <w:sz w:val="20"/>
          <w:szCs w:val="20"/>
        </w:rPr>
        <w:t>qualitatife</w:t>
      </w:r>
      <w:proofErr w:type="spellEnd"/>
      <w:r w:rsidRPr="00557D7F">
        <w:rPr>
          <w:rFonts w:ascii="Book Antiqua" w:hAnsi="Book Antiqua"/>
          <w:color w:val="000000" w:themeColor="text1"/>
          <w:sz w:val="20"/>
          <w:szCs w:val="20"/>
        </w:rPr>
        <w:t xml:space="preserve"> data analysis. Data Sources include interviews, </w:t>
      </w:r>
      <w:proofErr w:type="spellStart"/>
      <w:r w:rsidRPr="00557D7F">
        <w:rPr>
          <w:rFonts w:ascii="Book Antiqua" w:hAnsi="Book Antiqua"/>
          <w:color w:val="000000" w:themeColor="text1"/>
          <w:sz w:val="20"/>
          <w:szCs w:val="20"/>
        </w:rPr>
        <w:t>documentation</w:t>
      </w:r>
      <w:proofErr w:type="gramStart"/>
      <w:r w:rsidRPr="00557D7F">
        <w:rPr>
          <w:rFonts w:ascii="Book Antiqua" w:hAnsi="Book Antiqua"/>
          <w:color w:val="000000" w:themeColor="text1"/>
          <w:sz w:val="20"/>
          <w:szCs w:val="20"/>
        </w:rPr>
        <w:t>,and</w:t>
      </w:r>
      <w:proofErr w:type="spellEnd"/>
      <w:proofErr w:type="gramEnd"/>
      <w:r w:rsidRPr="00557D7F">
        <w:rPr>
          <w:rFonts w:ascii="Book Antiqua" w:hAnsi="Book Antiqua"/>
          <w:color w:val="000000" w:themeColor="text1"/>
          <w:sz w:val="20"/>
          <w:szCs w:val="20"/>
        </w:rPr>
        <w:t xml:space="preserve"> Literature studies.  The analysis tool used is </w:t>
      </w:r>
      <w:proofErr w:type="spellStart"/>
      <w:r w:rsidRPr="00557D7F">
        <w:rPr>
          <w:rFonts w:ascii="Book Antiqua" w:hAnsi="Book Antiqua"/>
          <w:color w:val="000000" w:themeColor="text1"/>
          <w:sz w:val="20"/>
          <w:szCs w:val="20"/>
        </w:rPr>
        <w:t>Nvivo</w:t>
      </w:r>
      <w:proofErr w:type="spellEnd"/>
      <w:r w:rsidRPr="00557D7F">
        <w:rPr>
          <w:rFonts w:ascii="Book Antiqua" w:hAnsi="Book Antiqua"/>
          <w:color w:val="000000" w:themeColor="text1"/>
          <w:sz w:val="20"/>
          <w:szCs w:val="20"/>
        </w:rPr>
        <w:t xml:space="preserve"> 12 Plus. This Research </w:t>
      </w:r>
      <w:proofErr w:type="gramStart"/>
      <w:r w:rsidRPr="00557D7F">
        <w:rPr>
          <w:rFonts w:ascii="Book Antiqua" w:hAnsi="Book Antiqua"/>
          <w:color w:val="000000" w:themeColor="text1"/>
          <w:sz w:val="20"/>
          <w:szCs w:val="20"/>
        </w:rPr>
        <w:t>reveals  that</w:t>
      </w:r>
      <w:proofErr w:type="gramEnd"/>
      <w:r w:rsidRPr="00557D7F">
        <w:rPr>
          <w:rFonts w:ascii="Book Antiqua" w:hAnsi="Book Antiqua"/>
          <w:color w:val="000000" w:themeColor="text1"/>
          <w:sz w:val="20"/>
          <w:szCs w:val="20"/>
        </w:rPr>
        <w:t xml:space="preserve"> dominant factor such as high </w:t>
      </w:r>
      <w:proofErr w:type="spellStart"/>
      <w:r w:rsidRPr="00557D7F">
        <w:rPr>
          <w:rFonts w:ascii="Book Antiqua" w:hAnsi="Book Antiqua"/>
          <w:color w:val="000000" w:themeColor="text1"/>
          <w:sz w:val="20"/>
          <w:szCs w:val="20"/>
        </w:rPr>
        <w:t>polical</w:t>
      </w:r>
      <w:proofErr w:type="spellEnd"/>
      <w:r w:rsidRPr="00557D7F">
        <w:rPr>
          <w:rFonts w:ascii="Book Antiqua" w:hAnsi="Book Antiqua"/>
          <w:color w:val="000000" w:themeColor="text1"/>
          <w:sz w:val="20"/>
          <w:szCs w:val="20"/>
        </w:rPr>
        <w:t xml:space="preserve"> costs, failures in the Political party cadre </w:t>
      </w:r>
      <w:proofErr w:type="spellStart"/>
      <w:r w:rsidRPr="00557D7F">
        <w:rPr>
          <w:rFonts w:ascii="Book Antiqua" w:hAnsi="Book Antiqua"/>
          <w:color w:val="000000" w:themeColor="text1"/>
          <w:sz w:val="20"/>
          <w:szCs w:val="20"/>
        </w:rPr>
        <w:t>sistem,pragmatism</w:t>
      </w:r>
      <w:proofErr w:type="spellEnd"/>
      <w:r w:rsidRPr="00557D7F">
        <w:rPr>
          <w:rFonts w:ascii="Book Antiqua" w:hAnsi="Book Antiqua"/>
          <w:color w:val="000000" w:themeColor="text1"/>
          <w:sz w:val="20"/>
          <w:szCs w:val="20"/>
        </w:rPr>
        <w:t xml:space="preserve">  of candidacy requirements play a central role in the emergence of a single  candidate.  The implications of this research indicate the need for improvements in political cost monitoring mechanism, </w:t>
      </w:r>
      <w:proofErr w:type="gramStart"/>
      <w:r w:rsidRPr="00557D7F">
        <w:rPr>
          <w:rFonts w:ascii="Book Antiqua" w:hAnsi="Book Antiqua"/>
          <w:color w:val="000000" w:themeColor="text1"/>
          <w:sz w:val="20"/>
          <w:szCs w:val="20"/>
        </w:rPr>
        <w:t>improving  the</w:t>
      </w:r>
      <w:proofErr w:type="gramEnd"/>
      <w:r w:rsidRPr="00557D7F">
        <w:rPr>
          <w:rFonts w:ascii="Book Antiqua" w:hAnsi="Book Antiqua"/>
          <w:color w:val="000000" w:themeColor="text1"/>
          <w:sz w:val="20"/>
          <w:szCs w:val="20"/>
        </w:rPr>
        <w:t xml:space="preserve"> quality of the political party cadre system, revising nomination  </w:t>
      </w:r>
      <w:proofErr w:type="spellStart"/>
      <w:r w:rsidRPr="00557D7F">
        <w:rPr>
          <w:rFonts w:ascii="Book Antiqua" w:hAnsi="Book Antiqua"/>
          <w:color w:val="000000" w:themeColor="text1"/>
          <w:sz w:val="20"/>
          <w:szCs w:val="20"/>
        </w:rPr>
        <w:t>reqirements</w:t>
      </w:r>
      <w:proofErr w:type="spellEnd"/>
      <w:r w:rsidRPr="00557D7F">
        <w:rPr>
          <w:rFonts w:ascii="Book Antiqua" w:hAnsi="Book Antiqua"/>
          <w:color w:val="000000" w:themeColor="text1"/>
          <w:sz w:val="20"/>
          <w:szCs w:val="20"/>
        </w:rPr>
        <w:t xml:space="preserve"> for individual candidates, and increasing awareness of the importance of forming coalitions based on healthy and representative political principles</w:t>
      </w:r>
    </w:p>
    <w:p w14:paraId="1146572D" w14:textId="77777777" w:rsidR="00916449" w:rsidRPr="00916449" w:rsidRDefault="00916449" w:rsidP="00916449">
      <w:pPr>
        <w:spacing w:after="0" w:line="240" w:lineRule="auto"/>
        <w:jc w:val="both"/>
        <w:rPr>
          <w:rFonts w:ascii="Book Antiqua" w:eastAsia="Calibri" w:hAnsi="Book Antiqua" w:cs="Arial"/>
          <w:b/>
          <w:bCs/>
          <w:sz w:val="20"/>
          <w:szCs w:val="20"/>
          <w:lang w:val="id-ID"/>
        </w:rPr>
      </w:pPr>
    </w:p>
    <w:p w14:paraId="4A250CE4" w14:textId="40F4EB1B" w:rsidR="00916449" w:rsidRDefault="00916449" w:rsidP="00916449">
      <w:pPr>
        <w:jc w:val="both"/>
        <w:rPr>
          <w:rFonts w:ascii="Book Antiqua" w:eastAsia="Calibri" w:hAnsi="Book Antiqua" w:cs="Arial"/>
          <w:sz w:val="20"/>
          <w:szCs w:val="20"/>
          <w:lang w:val="id-ID"/>
        </w:rPr>
      </w:pPr>
      <w:r w:rsidRPr="00916449">
        <w:rPr>
          <w:rFonts w:ascii="Book Antiqua" w:eastAsia="Calibri" w:hAnsi="Book Antiqua" w:cs="Arial"/>
          <w:b/>
          <w:bCs/>
          <w:sz w:val="20"/>
          <w:szCs w:val="20"/>
          <w:lang w:val="id-ID"/>
        </w:rPr>
        <w:t>Keywords</w:t>
      </w:r>
      <w:r w:rsidRPr="00916449">
        <w:rPr>
          <w:rFonts w:ascii="Book Antiqua" w:eastAsia="Calibri" w:hAnsi="Book Antiqua" w:cs="Arial"/>
          <w:sz w:val="20"/>
          <w:szCs w:val="20"/>
          <w:lang w:val="id-ID"/>
        </w:rPr>
        <w:t xml:space="preserve">: </w:t>
      </w:r>
      <w:r w:rsidR="00557D7F">
        <w:rPr>
          <w:rFonts w:ascii="Candara" w:hAnsi="Candara"/>
          <w:color w:val="000000" w:themeColor="text1"/>
          <w:sz w:val="20"/>
          <w:szCs w:val="20"/>
        </w:rPr>
        <w:t xml:space="preserve">Single Candidate; empty box; </w:t>
      </w:r>
      <w:proofErr w:type="spellStart"/>
      <w:r w:rsidR="00557D7F">
        <w:rPr>
          <w:rFonts w:ascii="Candara" w:hAnsi="Candara"/>
          <w:color w:val="000000" w:themeColor="text1"/>
          <w:sz w:val="20"/>
          <w:szCs w:val="20"/>
        </w:rPr>
        <w:t>election;Political</w:t>
      </w:r>
      <w:proofErr w:type="spellEnd"/>
      <w:r w:rsidR="00557D7F">
        <w:rPr>
          <w:rFonts w:ascii="Candara" w:hAnsi="Candara"/>
          <w:color w:val="000000" w:themeColor="text1"/>
          <w:sz w:val="20"/>
          <w:szCs w:val="20"/>
        </w:rPr>
        <w:t xml:space="preserve"> Pragmatism</w:t>
      </w:r>
    </w:p>
    <w:p w14:paraId="7ADC50C1" w14:textId="383A69E6" w:rsidR="00916449" w:rsidRPr="00916449" w:rsidRDefault="00916449" w:rsidP="00916449">
      <w:pPr>
        <w:spacing w:after="0" w:line="240" w:lineRule="auto"/>
        <w:jc w:val="center"/>
        <w:rPr>
          <w:rFonts w:ascii="Book Antiqua" w:eastAsia="Calibri" w:hAnsi="Book Antiqua" w:cs="Arial"/>
          <w:b/>
          <w:bCs/>
          <w:sz w:val="20"/>
          <w:szCs w:val="20"/>
        </w:rPr>
      </w:pPr>
      <w:proofErr w:type="spellStart"/>
      <w:r w:rsidRPr="00916449">
        <w:rPr>
          <w:rFonts w:ascii="Book Antiqua" w:eastAsia="Calibri" w:hAnsi="Book Antiqua" w:cs="Arial"/>
          <w:b/>
          <w:bCs/>
          <w:sz w:val="20"/>
          <w:szCs w:val="20"/>
        </w:rPr>
        <w:t>Abstrak</w:t>
      </w:r>
      <w:proofErr w:type="spellEnd"/>
    </w:p>
    <w:p w14:paraId="5C9392BC" w14:textId="28529785" w:rsidR="00916449" w:rsidRDefault="00557D7F" w:rsidP="00916449">
      <w:pPr>
        <w:spacing w:after="0" w:line="240" w:lineRule="auto"/>
        <w:jc w:val="both"/>
        <w:rPr>
          <w:rFonts w:ascii="Book Antiqua" w:hAnsi="Book Antiqua"/>
          <w:bCs/>
          <w:color w:val="000000" w:themeColor="text1"/>
          <w:sz w:val="20"/>
          <w:szCs w:val="20"/>
        </w:rPr>
      </w:pPr>
      <w:proofErr w:type="spellStart"/>
      <w:proofErr w:type="gramStart"/>
      <w:r w:rsidRPr="00557D7F">
        <w:rPr>
          <w:rFonts w:ascii="Book Antiqua" w:hAnsi="Book Antiqua"/>
          <w:bCs/>
          <w:color w:val="000000" w:themeColor="text1"/>
          <w:sz w:val="20"/>
          <w:szCs w:val="20"/>
        </w:rPr>
        <w:t>Penlitian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ini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bertujuan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untuk</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menganilisis</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Faktor</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Faktor</w:t>
      </w:r>
      <w:proofErr w:type="spellEnd"/>
      <w:r w:rsidRPr="00557D7F">
        <w:rPr>
          <w:rFonts w:ascii="Book Antiqua" w:hAnsi="Book Antiqua"/>
          <w:bCs/>
          <w:color w:val="000000" w:themeColor="text1"/>
          <w:sz w:val="20"/>
          <w:szCs w:val="20"/>
        </w:rPr>
        <w:t xml:space="preserve"> yang </w:t>
      </w:r>
      <w:proofErr w:type="spellStart"/>
      <w:r w:rsidRPr="00557D7F">
        <w:rPr>
          <w:rFonts w:ascii="Book Antiqua" w:hAnsi="Book Antiqua"/>
          <w:bCs/>
          <w:color w:val="000000" w:themeColor="text1"/>
          <w:sz w:val="20"/>
          <w:szCs w:val="20"/>
        </w:rPr>
        <w:t>mendorong</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munculya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calon</w:t>
      </w:r>
      <w:proofErr w:type="spellEnd"/>
      <w:r w:rsidRPr="00557D7F">
        <w:rPr>
          <w:rFonts w:ascii="Book Antiqua" w:hAnsi="Book Antiqua"/>
          <w:bCs/>
          <w:color w:val="000000" w:themeColor="text1"/>
          <w:sz w:val="20"/>
          <w:szCs w:val="20"/>
        </w:rPr>
        <w:t xml:space="preserve"> Tunggal </w:t>
      </w:r>
      <w:proofErr w:type="spellStart"/>
      <w:r w:rsidRPr="00557D7F">
        <w:rPr>
          <w:rFonts w:ascii="Book Antiqua" w:hAnsi="Book Antiqua"/>
          <w:bCs/>
          <w:color w:val="000000" w:themeColor="text1"/>
          <w:sz w:val="20"/>
          <w:szCs w:val="20"/>
        </w:rPr>
        <w:t>pada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pilkada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buton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menyarankan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langkah-langkah</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strategis</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untuk</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memamnalisir</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potrensi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terjadinya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fenomena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serupa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pada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pilkada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buton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tahun</w:t>
      </w:r>
      <w:proofErr w:type="spellEnd"/>
      <w:r w:rsidRPr="00557D7F">
        <w:rPr>
          <w:rFonts w:ascii="Book Antiqua" w:hAnsi="Book Antiqua"/>
          <w:bCs/>
          <w:color w:val="000000" w:themeColor="text1"/>
          <w:sz w:val="20"/>
          <w:szCs w:val="20"/>
        </w:rPr>
        <w:t xml:space="preserve"> 2024.</w:t>
      </w:r>
      <w:proofErr w:type="gramEnd"/>
      <w:r w:rsidRPr="00557D7F">
        <w:rPr>
          <w:rFonts w:ascii="Book Antiqua" w:hAnsi="Book Antiqua"/>
          <w:bCs/>
          <w:color w:val="000000" w:themeColor="text1"/>
          <w:sz w:val="20"/>
          <w:szCs w:val="20"/>
        </w:rPr>
        <w:t xml:space="preserve"> </w:t>
      </w:r>
      <w:proofErr w:type="spellStart"/>
      <w:proofErr w:type="gramStart"/>
      <w:r w:rsidRPr="00557D7F">
        <w:rPr>
          <w:rFonts w:ascii="Book Antiqua" w:hAnsi="Book Antiqua"/>
          <w:bCs/>
          <w:color w:val="000000" w:themeColor="text1"/>
          <w:sz w:val="20"/>
          <w:szCs w:val="20"/>
        </w:rPr>
        <w:t>Metode</w:t>
      </w:r>
      <w:proofErr w:type="spellEnd"/>
      <w:r w:rsidRPr="00557D7F">
        <w:rPr>
          <w:rFonts w:ascii="Book Antiqua" w:hAnsi="Book Antiqua"/>
          <w:bCs/>
          <w:color w:val="000000" w:themeColor="text1"/>
          <w:sz w:val="20"/>
          <w:szCs w:val="20"/>
        </w:rPr>
        <w:t xml:space="preserve"> yang di </w:t>
      </w:r>
      <w:proofErr w:type="spellStart"/>
      <w:r w:rsidRPr="00557D7F">
        <w:rPr>
          <w:rFonts w:ascii="Book Antiqua" w:hAnsi="Book Antiqua"/>
          <w:bCs/>
          <w:color w:val="000000" w:themeColor="text1"/>
          <w:sz w:val="20"/>
          <w:szCs w:val="20"/>
        </w:rPr>
        <w:t>gunakan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adalah</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metode</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kulaitatif</w:t>
      </w:r>
      <w:proofErr w:type="spellEnd"/>
      <w:r w:rsidRPr="00557D7F">
        <w:rPr>
          <w:rFonts w:ascii="Book Antiqua" w:hAnsi="Book Antiqua"/>
          <w:bCs/>
          <w:color w:val="000000" w:themeColor="text1"/>
          <w:sz w:val="20"/>
          <w:szCs w:val="20"/>
        </w:rPr>
        <w:t>.</w:t>
      </w:r>
      <w:proofErr w:type="gramEnd"/>
      <w:r w:rsidRPr="00557D7F">
        <w:rPr>
          <w:rFonts w:ascii="Book Antiqua" w:hAnsi="Book Antiqua"/>
          <w:bCs/>
          <w:color w:val="000000" w:themeColor="text1"/>
          <w:sz w:val="20"/>
          <w:szCs w:val="20"/>
        </w:rPr>
        <w:t xml:space="preserve"> </w:t>
      </w:r>
      <w:proofErr w:type="spellStart"/>
      <w:proofErr w:type="gramStart"/>
      <w:r w:rsidRPr="00557D7F">
        <w:rPr>
          <w:rFonts w:ascii="Book Antiqua" w:hAnsi="Book Antiqua"/>
          <w:bCs/>
          <w:color w:val="000000" w:themeColor="text1"/>
          <w:sz w:val="20"/>
          <w:szCs w:val="20"/>
        </w:rPr>
        <w:t>Sumber</w:t>
      </w:r>
      <w:proofErr w:type="spellEnd"/>
      <w:r w:rsidRPr="00557D7F">
        <w:rPr>
          <w:rFonts w:ascii="Book Antiqua" w:hAnsi="Book Antiqua"/>
          <w:bCs/>
          <w:color w:val="000000" w:themeColor="text1"/>
          <w:sz w:val="20"/>
          <w:szCs w:val="20"/>
        </w:rPr>
        <w:t xml:space="preserve"> data </w:t>
      </w:r>
      <w:proofErr w:type="spellStart"/>
      <w:r w:rsidRPr="00557D7F">
        <w:rPr>
          <w:rFonts w:ascii="Book Antiqua" w:hAnsi="Book Antiqua"/>
          <w:bCs/>
          <w:color w:val="000000" w:themeColor="text1"/>
          <w:sz w:val="20"/>
          <w:szCs w:val="20"/>
        </w:rPr>
        <w:t>meliputi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wawancara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dokumentasi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studi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pustaka</w:t>
      </w:r>
      <w:proofErr w:type="spellEnd"/>
      <w:r w:rsidRPr="00557D7F">
        <w:rPr>
          <w:rFonts w:ascii="Book Antiqua" w:hAnsi="Book Antiqua"/>
          <w:bCs/>
          <w:color w:val="000000" w:themeColor="text1"/>
          <w:sz w:val="20"/>
          <w:szCs w:val="20"/>
        </w:rPr>
        <w:t>.</w:t>
      </w:r>
      <w:proofErr w:type="gram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Alat</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analisis</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ang</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diginakan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adalah</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Nvivo</w:t>
      </w:r>
      <w:proofErr w:type="spellEnd"/>
      <w:r w:rsidRPr="00557D7F">
        <w:rPr>
          <w:rFonts w:ascii="Book Antiqua" w:hAnsi="Book Antiqua"/>
          <w:bCs/>
          <w:color w:val="000000" w:themeColor="text1"/>
          <w:sz w:val="20"/>
          <w:szCs w:val="20"/>
        </w:rPr>
        <w:t xml:space="preserve"> 12 plus. </w:t>
      </w:r>
      <w:proofErr w:type="spellStart"/>
      <w:r w:rsidRPr="00557D7F">
        <w:rPr>
          <w:rFonts w:ascii="Book Antiqua" w:hAnsi="Book Antiqua"/>
          <w:bCs/>
          <w:color w:val="000000" w:themeColor="text1"/>
          <w:sz w:val="20"/>
          <w:szCs w:val="20"/>
        </w:rPr>
        <w:t>Penelitian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ini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mengungkapkan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bahwa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faktor</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dominan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seperti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tingginya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biaya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politik</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kegagalan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sistem</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kaderisasi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politik</w:t>
      </w:r>
      <w:proofErr w:type="spellEnd"/>
      <w:r w:rsidRPr="00557D7F">
        <w:rPr>
          <w:rFonts w:ascii="Book Antiqua" w:hAnsi="Book Antiqua"/>
          <w:bCs/>
          <w:color w:val="000000" w:themeColor="text1"/>
          <w:sz w:val="20"/>
          <w:szCs w:val="20"/>
        </w:rPr>
        <w:t xml:space="preserve">, pragmatism </w:t>
      </w:r>
      <w:proofErr w:type="spellStart"/>
      <w:proofErr w:type="gramStart"/>
      <w:r w:rsidRPr="00557D7F">
        <w:rPr>
          <w:rFonts w:ascii="Book Antiqua" w:hAnsi="Book Antiqua"/>
          <w:bCs/>
          <w:color w:val="000000" w:themeColor="text1"/>
          <w:sz w:val="20"/>
          <w:szCs w:val="20"/>
        </w:rPr>
        <w:t>persyaratan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pencalonan</w:t>
      </w:r>
      <w:proofErr w:type="spellEnd"/>
      <w:proofErr w:type="gram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memegang</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peranan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sentral</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dalam</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munculnnya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calon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tunggal</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Implikasi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penelitian</w:t>
      </w:r>
      <w:proofErr w:type="spellEnd"/>
      <w:r w:rsidRPr="00557D7F">
        <w:rPr>
          <w:rFonts w:ascii="Book Antiqua" w:hAnsi="Book Antiqua"/>
          <w:bCs/>
          <w:color w:val="000000" w:themeColor="text1"/>
          <w:sz w:val="20"/>
          <w:szCs w:val="20"/>
        </w:rPr>
        <w:t xml:space="preserve"> </w:t>
      </w:r>
      <w:proofErr w:type="spellStart"/>
      <w:proofErr w:type="gramStart"/>
      <w:r w:rsidRPr="00557D7F">
        <w:rPr>
          <w:rFonts w:ascii="Book Antiqua" w:hAnsi="Book Antiqua"/>
          <w:bCs/>
          <w:color w:val="000000" w:themeColor="text1"/>
          <w:sz w:val="20"/>
          <w:szCs w:val="20"/>
        </w:rPr>
        <w:t>ini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menunjukan</w:t>
      </w:r>
      <w:proofErr w:type="spellEnd"/>
      <w:proofErr w:type="gram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perlunya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perbaikan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meknisme</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pengawasan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biaya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politik</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peningkatan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kualitas</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Sistem</w:t>
      </w:r>
      <w:proofErr w:type="spellEnd"/>
      <w:r w:rsidRPr="00557D7F">
        <w:rPr>
          <w:rFonts w:ascii="Book Antiqua" w:hAnsi="Book Antiqua"/>
          <w:bCs/>
          <w:color w:val="000000" w:themeColor="text1"/>
          <w:sz w:val="20"/>
          <w:szCs w:val="20"/>
        </w:rPr>
        <w:t xml:space="preserve">  Kader </w:t>
      </w:r>
      <w:proofErr w:type="spellStart"/>
      <w:r w:rsidRPr="00557D7F">
        <w:rPr>
          <w:rFonts w:ascii="Book Antiqua" w:hAnsi="Book Antiqua"/>
          <w:bCs/>
          <w:color w:val="000000" w:themeColor="text1"/>
          <w:sz w:val="20"/>
          <w:szCs w:val="20"/>
        </w:rPr>
        <w:t>Partai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Politik</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revisi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persaratan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calon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Perseorangan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peningkatan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kesadaran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akan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pentngnya</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pembentukan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koalisi</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berdasarkan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prinsip</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politik</w:t>
      </w:r>
      <w:proofErr w:type="spellEnd"/>
      <w:r w:rsidRPr="00557D7F">
        <w:rPr>
          <w:rFonts w:ascii="Book Antiqua" w:hAnsi="Book Antiqua"/>
          <w:bCs/>
          <w:color w:val="000000" w:themeColor="text1"/>
          <w:sz w:val="20"/>
          <w:szCs w:val="20"/>
        </w:rPr>
        <w:t xml:space="preserve"> yang </w:t>
      </w:r>
      <w:proofErr w:type="spellStart"/>
      <w:r w:rsidRPr="00557D7F">
        <w:rPr>
          <w:rFonts w:ascii="Book Antiqua" w:hAnsi="Book Antiqua"/>
          <w:bCs/>
          <w:color w:val="000000" w:themeColor="text1"/>
          <w:sz w:val="20"/>
          <w:szCs w:val="20"/>
        </w:rPr>
        <w:t>sehat</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dan</w:t>
      </w:r>
      <w:proofErr w:type="spellEnd"/>
      <w:r w:rsidRPr="00557D7F">
        <w:rPr>
          <w:rFonts w:ascii="Book Antiqua" w:hAnsi="Book Antiqua"/>
          <w:bCs/>
          <w:color w:val="000000" w:themeColor="text1"/>
          <w:sz w:val="20"/>
          <w:szCs w:val="20"/>
        </w:rPr>
        <w:t xml:space="preserve"> </w:t>
      </w:r>
      <w:proofErr w:type="spellStart"/>
      <w:r w:rsidRPr="00557D7F">
        <w:rPr>
          <w:rFonts w:ascii="Book Antiqua" w:hAnsi="Book Antiqua"/>
          <w:bCs/>
          <w:color w:val="000000" w:themeColor="text1"/>
          <w:sz w:val="20"/>
          <w:szCs w:val="20"/>
        </w:rPr>
        <w:t>repsentatif</w:t>
      </w:r>
      <w:proofErr w:type="spellEnd"/>
    </w:p>
    <w:p w14:paraId="0D39A0AD" w14:textId="77777777" w:rsidR="00557D7F" w:rsidRPr="00557D7F" w:rsidRDefault="00557D7F" w:rsidP="00916449">
      <w:pPr>
        <w:spacing w:after="0" w:line="240" w:lineRule="auto"/>
        <w:jc w:val="both"/>
        <w:rPr>
          <w:rFonts w:ascii="Book Antiqua" w:eastAsia="Calibri" w:hAnsi="Book Antiqua" w:cs="Arial"/>
          <w:sz w:val="20"/>
          <w:szCs w:val="20"/>
          <w:lang w:val="id-ID"/>
        </w:rPr>
      </w:pPr>
    </w:p>
    <w:p w14:paraId="1335BF5F" w14:textId="67E471C2" w:rsidR="00916449" w:rsidRPr="00916449" w:rsidRDefault="00916449" w:rsidP="00916449">
      <w:pPr>
        <w:spacing w:after="0" w:line="240" w:lineRule="auto"/>
        <w:jc w:val="both"/>
        <w:rPr>
          <w:rFonts w:ascii="Book Antiqua" w:eastAsia="Calibri" w:hAnsi="Book Antiqua" w:cs="Arial"/>
          <w:sz w:val="20"/>
          <w:szCs w:val="20"/>
          <w:lang w:val="id-ID"/>
        </w:rPr>
      </w:pPr>
      <w:r w:rsidRPr="00916449">
        <w:rPr>
          <w:rFonts w:ascii="Book Antiqua" w:eastAsia="Calibri" w:hAnsi="Book Antiqua" w:cs="Arial"/>
          <w:b/>
          <w:bCs/>
          <w:sz w:val="20"/>
          <w:szCs w:val="20"/>
          <w:lang w:val="id-ID"/>
        </w:rPr>
        <w:t>Kata Kunci</w:t>
      </w:r>
      <w:r w:rsidRPr="00916449">
        <w:rPr>
          <w:rFonts w:ascii="Book Antiqua" w:eastAsia="Calibri" w:hAnsi="Book Antiqua" w:cs="Arial"/>
          <w:sz w:val="20"/>
          <w:szCs w:val="20"/>
          <w:lang w:val="id-ID"/>
        </w:rPr>
        <w:t xml:space="preserve">: </w:t>
      </w:r>
      <w:proofErr w:type="spellStart"/>
      <w:r w:rsidR="00557D7F" w:rsidRPr="00557D7F">
        <w:rPr>
          <w:rFonts w:ascii="Book Antiqua" w:hAnsi="Book Antiqua"/>
          <w:color w:val="000000" w:themeColor="text1"/>
          <w:sz w:val="20"/>
        </w:rPr>
        <w:t>Kandidat</w:t>
      </w:r>
      <w:proofErr w:type="spellEnd"/>
      <w:r w:rsidR="00557D7F" w:rsidRPr="00557D7F">
        <w:rPr>
          <w:rFonts w:ascii="Book Antiqua" w:hAnsi="Book Antiqua"/>
          <w:color w:val="000000" w:themeColor="text1"/>
          <w:sz w:val="20"/>
        </w:rPr>
        <w:t xml:space="preserve"> </w:t>
      </w:r>
      <w:proofErr w:type="spellStart"/>
      <w:r w:rsidR="00557D7F" w:rsidRPr="00557D7F">
        <w:rPr>
          <w:rFonts w:ascii="Book Antiqua" w:hAnsi="Book Antiqua"/>
          <w:color w:val="000000" w:themeColor="text1"/>
          <w:sz w:val="20"/>
        </w:rPr>
        <w:t>Tunggal;kotak</w:t>
      </w:r>
      <w:proofErr w:type="spellEnd"/>
      <w:r w:rsidR="00557D7F" w:rsidRPr="00557D7F">
        <w:rPr>
          <w:rFonts w:ascii="Book Antiqua" w:hAnsi="Book Antiqua"/>
          <w:color w:val="000000" w:themeColor="text1"/>
          <w:sz w:val="20"/>
        </w:rPr>
        <w:t xml:space="preserve"> </w:t>
      </w:r>
      <w:proofErr w:type="spellStart"/>
      <w:r w:rsidR="00557D7F" w:rsidRPr="00557D7F">
        <w:rPr>
          <w:rFonts w:ascii="Book Antiqua" w:hAnsi="Book Antiqua"/>
          <w:color w:val="000000" w:themeColor="text1"/>
          <w:sz w:val="20"/>
        </w:rPr>
        <w:t>kosong;pemilu;pragmatism</w:t>
      </w:r>
      <w:proofErr w:type="spellEnd"/>
      <w:r w:rsidR="00557D7F" w:rsidRPr="00557D7F">
        <w:rPr>
          <w:rFonts w:ascii="Book Antiqua" w:hAnsi="Book Antiqua"/>
          <w:color w:val="000000" w:themeColor="text1"/>
          <w:sz w:val="20"/>
        </w:rPr>
        <w:t xml:space="preserve"> </w:t>
      </w:r>
      <w:proofErr w:type="spellStart"/>
      <w:r w:rsidR="00557D7F" w:rsidRPr="00557D7F">
        <w:rPr>
          <w:rFonts w:ascii="Book Antiqua" w:hAnsi="Book Antiqua"/>
          <w:color w:val="000000" w:themeColor="text1"/>
          <w:sz w:val="20"/>
        </w:rPr>
        <w:t>politik</w:t>
      </w:r>
      <w:proofErr w:type="spellEnd"/>
    </w:p>
    <w:p w14:paraId="7F9E8A70" w14:textId="33FD660F" w:rsidR="00916449" w:rsidRDefault="00916449" w:rsidP="00916449">
      <w:pPr>
        <w:jc w:val="center"/>
        <w:rPr>
          <w:rFonts w:ascii="Book Antiqua" w:eastAsia="Calibri" w:hAnsi="Book Antiqua" w:cs="Arial"/>
          <w:lang w:val="id-ID"/>
        </w:rPr>
      </w:pPr>
    </w:p>
    <w:p w14:paraId="1B412E8F" w14:textId="2158C205" w:rsidR="00916449" w:rsidRDefault="00916449" w:rsidP="00916449">
      <w:pPr>
        <w:spacing w:after="0" w:line="276" w:lineRule="auto"/>
        <w:jc w:val="both"/>
        <w:rPr>
          <w:rFonts w:ascii="Book Antiqua" w:eastAsia="Calibri" w:hAnsi="Book Antiqua" w:cs="Times New Roman"/>
          <w:lang w:val="id-ID"/>
        </w:rPr>
      </w:pPr>
      <w:r w:rsidRPr="006F0F22">
        <w:rPr>
          <w:rFonts w:ascii="Book Antiqua" w:eastAsia="Calibri" w:hAnsi="Book Antiqua" w:cs="Times New Roman"/>
          <w:b/>
          <w:lang w:val="id-ID"/>
        </w:rPr>
        <w:lastRenderedPageBreak/>
        <w:t>INTRODUCTION</w:t>
      </w:r>
      <w:r w:rsidRPr="006F0F22">
        <w:rPr>
          <w:rFonts w:ascii="Book Antiqua" w:eastAsia="Calibri" w:hAnsi="Book Antiqua" w:cs="Times New Roman"/>
          <w:lang w:val="id-ID"/>
        </w:rPr>
        <w:t xml:space="preserve"> (</w:t>
      </w:r>
      <w:r w:rsidRPr="006F0F22">
        <w:rPr>
          <w:rFonts w:ascii="Book Antiqua" w:eastAsia="Calibri" w:hAnsi="Book Antiqua" w:cs="Times New Roman"/>
          <w:i/>
          <w:iCs/>
          <w:lang w:val="id-ID"/>
        </w:rPr>
        <w:t>Heading 1</w:t>
      </w:r>
      <w:r w:rsidRPr="006F0F22">
        <w:rPr>
          <w:rFonts w:ascii="Book Antiqua" w:eastAsia="Calibri" w:hAnsi="Book Antiqua" w:cs="Times New Roman"/>
          <w:lang w:val="id-ID"/>
        </w:rPr>
        <w:t>)</w:t>
      </w:r>
    </w:p>
    <w:p w14:paraId="2A227084" w14:textId="0038A4B9" w:rsidR="00916449" w:rsidRPr="00557D7F" w:rsidRDefault="00557D7F" w:rsidP="00916449">
      <w:pPr>
        <w:spacing w:after="0" w:line="276" w:lineRule="auto"/>
        <w:ind w:firstLine="851"/>
        <w:jc w:val="both"/>
        <w:rPr>
          <w:rFonts w:ascii="Book Antiqua" w:hAnsi="Book Antiqua"/>
        </w:rPr>
      </w:pPr>
      <w:r w:rsidRPr="00557D7F">
        <w:rPr>
          <w:rFonts w:ascii="Book Antiqua" w:hAnsi="Book Antiqua"/>
          <w:lang w:val="en-AU"/>
        </w:rPr>
        <w:t xml:space="preserve">Increasingly heated political contestations often produce surprising situations, especially in the context of regional head elections in Indonesia </w:t>
      </w:r>
      <w:r w:rsidRPr="00557D7F">
        <w:rPr>
          <w:rFonts w:ascii="Book Antiqua" w:hAnsi="Book Antiqua"/>
          <w:lang w:val="en-AU"/>
        </w:rPr>
        <w:fldChar w:fldCharType="begin" w:fldLock="1"/>
      </w:r>
      <w:r w:rsidRPr="00557D7F">
        <w:rPr>
          <w:rFonts w:ascii="Book Antiqua" w:hAnsi="Book Antiqua"/>
          <w:lang w:val="en-AU"/>
        </w:rPr>
        <w:instrText>ADDIN CSL_CITATION {"citationItems":[{"id":"ITEM-1","itemData":{"ISSN":"1805482X","abstract":"One of the provinces that contributes to the emergence of women leadership in Indonesia is Banten. Until recently, there are four municipal regions which are chair-headed by female mayors out of the eight regions in Banten Province including Lebak regency. Particularly, Lebak has already conducted a direct local election in June to elect its regional head (regent). Nevertheless, it has a unique and interesting case for further study, namely the re-candidation of the incumbent head as the only 'single' contestant in the election. As a result, the past female head was successfully re-elected to lead the region for the next five years. What are of significant factors that have successfully contributed to the victory of this female candidate? Of what considerations do people finally put their decisions on this female candidate, whether they chose her because of her quality and characteristics of leadership, or any other factors take play to their decisions such as it is only 'single' candidate available? Thus, the study sets describe the factors that are contributing to the victory of her as a single candidate in the elections in Lebak district 2018. This research was conducted through field research by using interviews with related parties in the district of Lebak Banten.","author":[{"dropping-particle":"","family":"Nurlia","given":"Elly","non-dropping-particle":"","parse-names":false,"suffix":""},{"dropping-particle":"","family":"Suwaryo","given":"Utang","non-dropping-particle":"","parse-names":false,"suffix":""},{"dropping-particle":"","family":"Sumadinata","given":"R. Widya Setabudi","non-dropping-particle":"","parse-names":false,"suffix":""},{"dropping-particle":"","family":"Prasetiyani","given":"Netty","non-dropping-particle":"","parse-names":false,"suffix":""}],"container-title":"Central European Journal of International and Security Studies","id":"ITEM-1","issue":"4","issued":{"date-parts":[["2019"]]},"page":"489-498","title":"Woman leader victory as the single candidate in the elections in district of Lebak Banten Indonesia in 2018","type":"article-journal","volume":"13"},"uris":["http://www.mendeley.com/documents/?uuid=a2a17d7b-dbec-4daf-9d70-59a9c8657c6e"]},{"id":"ITEM-2","itemData":{"DOI":"10.1080/00074918.2019.1690412","ISSN":"14727234","abstract":"Indonesia’s 2019 elections confirmed both the country’s status as a competitive electoral democracy and the trend of decreasing democratic quality. In this article, we investigate this seemingly paradoxical pattern by highlighting four political arenas directly associated with the elections. First, the incumbent government’s failure to secure a larger margin of victory for President Jokowi highlights the continued competitiveness of the electoral system, despite attempts to use state agencies for the president’s re-election campaign. Second, although efforts to mobilise state resources for Jokowi were largely unsuccessful, they added to an already significant illiberal shift. Third, the elections further accelerated the weakening of political parties, with the personalisation of legislative polls achieving new heights. Finally, the election campaign and results led to a level of religious polarisation in voting behaviour that was last seen in the 1950s. In analysing these themes, we argue that while the co-existence of Indonesia’s competitive elections with illiberal trends appears contradictory, the two are in fact interrelated.","author":[{"dropping-particle":"","family":"Aspinall","given":"Edward","non-dropping-particle":"","parse-names":false,"suffix":""},{"dropping-particle":"","family":"Mietzner","given":"Marcus","non-dropping-particle":"","parse-names":false,"suffix":""}],"container-title":"Bulletin of Indonesian Economic Studies","id":"ITEM-2","issue":"3","issued":{"date-parts":[["2019"]]},"page":"295-317","title":"Indonesia’s Democratic Paradox: Competitive Elections amidst Rising Illiberalism","type":"article-journal","volume":"55"},"uris":["http://www.mendeley.com/documents/?uuid=d67fdf33-7ee7-4c27-aa12-120985fb814e"]},{"id":"ITEM-3","itemData":{"DOI":"10.31763/ijcs.v4i2.512","author":[{"dropping-particle":"","family":"Baharuddin","given":"Tawakkal","non-dropping-particle":"","parse-names":false,"suffix":""},{"dropping-particle":"","family":"Qodir","given":"Zuly","non-dropping-particle":"","parse-names":false,"suffix":""},{"dropping-particle":"","family":"Jubba","given":"Hasse","non-dropping-particle":"","parse-names":false,"suffix":""},{"dropping-particle":"","family":"Nurmandi","given":"Achmad","non-dropping-particle":"","parse-names":false,"suffix":""}],"container-title":"International Journal of Communication and Society","id":"ITEM-3","issue":"2","issued":{"date-parts":[["2022"]]},"page":"204-213","title":"Prediction of Indonesian presidential candidates in 2024 using sentiment analysis and text search on Twitter","type":"article-journal","volume":"4"},"uris":["http://www.mendeley.com/documents/?uuid=48e61724-0010-472a-8aa3-7e59d4e64419"]}],"mendeley":{"formattedCitation":"(Aspinall &amp; Mietzner, 2019; Baharuddin et al., 2022; Nurlia et al., 2019)","plainTextFormattedCitation":"(Aspinall &amp; Mietzner, 2019; Baharuddin et al., 2022; Nurlia et al., 2019)","previouslyFormattedCitation":"(Aspinall &amp; Mietzner, 2019; Baharuddin et al., 2022; Nurlia et al., 2019)"},"properties":{"noteIndex":0},"schema":"https://github.com/citation-style-language/schema/raw/master/csl-citation.json"}</w:instrText>
      </w:r>
      <w:r w:rsidRPr="00557D7F">
        <w:rPr>
          <w:rFonts w:ascii="Book Antiqua" w:hAnsi="Book Antiqua"/>
          <w:lang w:val="en-AU"/>
        </w:rPr>
        <w:fldChar w:fldCharType="separate"/>
      </w:r>
      <w:r w:rsidRPr="00557D7F">
        <w:rPr>
          <w:rFonts w:ascii="Book Antiqua" w:hAnsi="Book Antiqua"/>
          <w:noProof/>
          <w:lang w:val="en-AU"/>
        </w:rPr>
        <w:t>(Aspinall &amp; Mietzner, 2019; Baharuddin et al., 2022; Nurlia et al., 2019)</w:t>
      </w:r>
      <w:r w:rsidRPr="00557D7F">
        <w:rPr>
          <w:rFonts w:ascii="Book Antiqua" w:hAnsi="Book Antiqua"/>
        </w:rPr>
        <w:fldChar w:fldCharType="end"/>
      </w:r>
      <w:r w:rsidRPr="00557D7F">
        <w:rPr>
          <w:rFonts w:ascii="Book Antiqua" w:hAnsi="Book Antiqua"/>
          <w:lang w:val="en-AU"/>
        </w:rPr>
        <w:t>. In some cases, complex political dynamics and tactical strategies from various parties sometimes give rise to a rare</w:t>
      </w:r>
      <w:r w:rsidR="00916449" w:rsidRPr="00557D7F">
        <w:rPr>
          <w:rFonts w:ascii="Book Antiqua" w:hAnsi="Book Antiqua"/>
        </w:rPr>
        <w:t>.</w:t>
      </w:r>
    </w:p>
    <w:p w14:paraId="64DCF646" w14:textId="77777777" w:rsidR="00557D7F" w:rsidRDefault="00557D7F" w:rsidP="00557D7F">
      <w:pPr>
        <w:pStyle w:val="BodyText"/>
        <w:ind w:firstLine="567"/>
        <w:rPr>
          <w:rFonts w:ascii="Candara" w:hAnsi="Candara"/>
          <w:sz w:val="24"/>
          <w:szCs w:val="24"/>
          <w:lang w:val="en-AU"/>
        </w:rPr>
      </w:pPr>
      <w:r w:rsidRPr="00557D7F">
        <w:rPr>
          <w:rFonts w:ascii="Book Antiqua" w:hAnsi="Book Antiqua"/>
          <w:sz w:val="22"/>
          <w:szCs w:val="22"/>
          <w:lang w:val="en-AU"/>
        </w:rPr>
        <w:t xml:space="preserve">phenomenon, namely a single candidate who is the only option for the community in choosing regional leaders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Tecnociencia","id":"ITEM-1","issue":"2","issued":{"date-parts":[["2021"]]},"page":"48-71","title":"Democracy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201","type":"article-journal","volume":"11"},"uris":["http://www.mendeley.com/documents/?uuid=2dd24246-b897-4775-8cfe-13e490017fca"]},{"id":"ITEM-2","itemData":{"DOI":"10.15294/ipsr.v6i2.31439","ISSN":"2477-8060","abstract":"This paper describes the development of local-level democracy in implementing the 2020 Regional Head Simultaneously related to a single candidate and dynastic politics. In this research, we found that the phenomenon of single candidates and political dynasties, which shows the climate of democracy at the local level, is increasingly unhealthy. Indonesia is experiencing democratic backsliding. Political dynasties and single candidates have, of course, hurt democracy. Regional Head is no longer an effective means of participation and competition as a condition for the running of democracy. Regional Head also did not produce elite circulation. On the other hand, the oligarchy is a node on a political dynasty and local bossism. The theoretical perspectives used in the research to explain single candidates and political dynasties are democracy, election, oligarchy, and local bossism.","author":[{"dropping-particle":"","family":"Romli","given":"Lili","non-dropping-particle":"","parse-names":false,"suffix":""},{"dropping-particle":"","family":"Efriza","given":"Efriza","non-dropping-particle":"","parse-names":false,"suffix":""}],"container-title":"Politik Indonesia: Indonesian Political Science Review","id":"ITEM-2","issue":"3","issued":{"date-parts":[["2021"]]},"page":"265-288","title":"Single candidate and the dynamics of 2020 Indonesian Simultaneous Election: A perspective on internal contestation","type":"article-journal","volume":"6"},"uris":["http://www.mendeley.com/documents/?uuid=6d6c4290-91da-410e-9699-381e608b5e2f"]}],"mendeley":{"formattedCitation":"(Purwaningsih &amp; Widodo, 2021; Romli &amp; Efriza, 2021)","plainTextFormattedCitation":"(Purwaningsih &amp; Widodo, 2021; Romli &amp; Efriza, 2021)","previouslyFormattedCitation":"(Purwaningsih &amp; Widodo, 2021; Romli &amp; Efriza, 2021)"},"properties":{"noteIndex":0},"schema":"https://github.com/citation-style-language/schema/raw/master/csl-citation.json"}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(Purwaningsih &amp; Widodo, 2021; Romli &amp; Efriza, 2021)</w:t>
      </w:r>
      <w:r w:rsidRPr="00557D7F">
        <w:rPr>
          <w:rFonts w:ascii="Book Antiqua" w:hAnsi="Book Antiqua"/>
          <w:sz w:val="22"/>
          <w:szCs w:val="22"/>
        </w:rPr>
        <w:fldChar w:fldCharType="end"/>
      </w:r>
      <w:r w:rsidRPr="00557D7F">
        <w:rPr>
          <w:rFonts w:ascii="Book Antiqua" w:hAnsi="Book Antiqua"/>
          <w:sz w:val="22"/>
          <w:szCs w:val="22"/>
          <w:lang w:val="en-AU"/>
        </w:rPr>
        <w:t xml:space="preserve">. This phenomenon not only raises questions about the diversity and vitality of democracy but also highlights the challenges in creating a fair and balanced space for various political interests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{"citationItems":[{"id":"ITEM-1","itemData":{"DOI":"10.20473/mkp.v33i32020.286-298","ISSN":"2086-7050","abstract":"This study explores and discusses the phenomenon of a single candidate in the local leaders’ election or Pemilihan Kepala Daerah (Pilkada) in Deli Serdang Regency, North Sumatra Province, in 2018. The study is motivated by the phenomenon of a single candidate in the local leaders’ election. In Deli Serdang, the local leaders’ election should have a multi-candidate pattern, either independent or 3-4 political party candidates. This study has focused on the mechanism of the emergence of a single candidate. According to Dahl, the theoretical approach is the candidacy mechanism, and according to Norris, the significance of the right to vote. The study was conducted qualitatively with an ongoing explorative, independent, and case-oriented study approach. The data collected through in-depth interviews with nine key informants consisting of the Political Party Branch Management Board or Dewan Pimpinan Cabang (DPC), the General Elections Commission or Komisi Pemilihan Umum (KPU), the Election Supervisory Committee or Panitia Pengawas Pemilihan (Panwaslih), independent, failed, and incumbent candidates. The sixteen secondary informants consisted of eight voting behaviors and eight non-voting behaviors randomly selected and interviewed to determine their perception of a single candidate. The study found that a single candidate is the logical consequence of ambiguity in an internal political party candidacy. The study’s novelty is the exclusion of incumbent ruling candidates incentivizing a political party monopoly to ensure victory in contestation. The study concluded that the dysfunction of the candidacy and exclusion in power has implications for a single candidate in the local leaders’ election. Contestation with a single candidate’s presence is an uncontested election, and it is contrary to the theoretical paradigm referred to in this study.","author":[{"dropping-particle":"","family":"Damanik","given":"Erond L.","non-dropping-particle":"","parse-names":false,"suffix":""}],"container-title":"Masyarakat, Kebudayaan dan Politik","id":"ITEM-1","issue":"3","issued":{"date-parts":[["2020"]]},"page":"286","title":"The desire of power: Candidate ambiguity and incumbent monopoly in local leaders’ election","type":"article-journal","volume":"33"},"uris":["http://www.mendeley.com/documents/?uuid=bb6030a3-ba07-4cfd-b98f-5d79177f05b8"]},{"id":"ITEM-2","itemData":{"DOI":"10.15294/ipsr.v7i3.40403","ISSN":"2477-8060","abstract":"This research aims to describe the democratic anomaly in the election of a single candidate in the city of Semarang and the deception background factors of the victory of the incumbent in the election of a single candidate in Semarang City in 2020. This study uses a qualitative descriptive design. The research location is in Semarang City. The research focus includes incumbent capabilities in the regional head elections in 2020. The sampling techniques used are purposive sampling and snowball sampling. Research informants encompass the success team of candidate pairs and the people of Semarang City. Research data was collected through interviews, Focus Group Discussion (FGD), and documentation study. Data validity was tested using data triangulation and analyzed using interactive qualitative analysis techniques. The study results show that many groups have predicted the existence of a single candidate in the 2020 Semarang City Election. Considering the incumbent's achievements while serving as mayor of Semarang, a single candidate as a democratic anomaly is accepted as a natural thing. Some factors determine the incumbent’s victory—first, political capital. The incumbent's ability to bring the City of Semarang to win various awards creates a sense of satisfaction from the public and political parties for his leadership performance while in office. Second, ocial capital. Incumbents are very popular in Semarang City, so they have high electability. Third, the economic capital. Incumbents benefit more financially, especially when it comes to the issue of campaign costs, to gain support for their victory.","author":[{"dropping-particle":"","family":"Susanti","given":"Martien Herna","non-dropping-particle":"","parse-names":false,"suffix":""},{"dropping-particle":"","family":"Setiajid","given":"Setiajid","non-dropping-particle":"","parse-names":false,"suffix":""}],"container-title":"Politik Indonesia: Indonesian Political Science Review","id":"ITEM-2","issue":"3","issued":{"date-parts":[["2022"]]},"page":"314-330","title":"The Democratic Anomaly in 2020 Regional Head Elections (PILKADA) with a Single Candidate in Semarang City","type":"article-journal","volume":"7"},"uris":["http://www.mendeley.com/documents/?uuid=633dd0d0-4efb-4ce7-81c2-3e9f4eb49159"]},{"id":"ITEM-3","itemData":{"abstract":"This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Tecnociencia","id":"ITEM-3","issue":"2","issued":{"date-parts":[["2021"]]},"page":"48-71","title":"Democracy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201","type":"article-journal","volume":"11"},"uris":["http://www.mendeley.com/documents/?uuid=2dd24246-b897-4775-8cfe-13e490017fca"]}],"mendeley":{"formattedCitation":"(Damanik, 2020; Purwaningsih &amp; Widodo, 2021; Susanti &amp; Setiajid, 2022)","plainTextFormattedCitation":"(Damanik, 2020; Purwaningsih &amp; Widodo, 2021; Susanti &amp; Setiajid, 2022)","previouslyFormattedCitation":"(Damanik, 2020; Purwaningsih &amp; Widodo, 2021; Susanti &amp; Setiajid, 2022)"},"properties":{"noteIndex":0},"schema":"https://github.com/citation-style-language/schema/raw/master/csl-citation.json"}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(Damanik, 2020; Purwaningsih &amp; Widodo, 2021; Susanti &amp; Setiajid, 2022)</w:t>
      </w:r>
      <w:r w:rsidRPr="00557D7F">
        <w:rPr>
          <w:rFonts w:ascii="Book Antiqua" w:hAnsi="Book Antiqua"/>
          <w:sz w:val="22"/>
          <w:szCs w:val="22"/>
        </w:rPr>
        <w:fldChar w:fldCharType="end"/>
      </w:r>
      <w:r>
        <w:rPr>
          <w:rFonts w:ascii="Candara" w:hAnsi="Candara"/>
          <w:sz w:val="24"/>
          <w:szCs w:val="24"/>
          <w:lang w:val="en-AU"/>
        </w:rPr>
        <w:t>.</w:t>
      </w:r>
    </w:p>
    <w:p w14:paraId="340BE688" w14:textId="77777777" w:rsidR="00557D7F" w:rsidRDefault="00557D7F" w:rsidP="00557D7F">
      <w:pPr>
        <w:pStyle w:val="BodyText"/>
        <w:ind w:firstLine="567"/>
        <w:rPr>
          <w:rFonts w:ascii="Book Antiqua" w:hAnsi="Book Antiqua"/>
          <w:color w:val="000000" w:themeColor="text1"/>
          <w:sz w:val="22"/>
          <w:szCs w:val="22"/>
          <w:lang w:val="en-AU"/>
        </w:rPr>
      </w:pPr>
      <w:r w:rsidRPr="00557D7F">
        <w:rPr>
          <w:rFonts w:ascii="Book Antiqua" w:hAnsi="Book Antiqua"/>
          <w:sz w:val="22"/>
          <w:szCs w:val="22"/>
          <w:lang w:val="en-AU"/>
        </w:rPr>
        <w:t xml:space="preserve">The rare phenomenon of the emergence of a single candidate in regional head elections in Indonesia is a serious concern for researchers and political practitioners. This underscores the complex political dynamics and tactical strategies of various parties and illustrates the important challenges in ensuring the diversity and vitality of a healthy democracy. Discussions regarding the implications of the emergence of a single candidate have highlighted the urgent need for efforts to provide a fair and balanced space for various political interests to encourage active and inclusive participation of the community in local </w:t>
      </w:r>
      <w:r w:rsidRPr="00557D7F">
        <w:rPr>
          <w:rFonts w:ascii="Book Antiqua" w:hAnsi="Book Antiqua"/>
          <w:color w:val="000000" w:themeColor="text1"/>
          <w:sz w:val="22"/>
          <w:szCs w:val="22"/>
          <w:lang w:val="en-AU"/>
        </w:rPr>
        <w:t xml:space="preserve">political processes. Political participation is part of democracy, especially in elections, so the practice of political pragmatism should be ignored and minimized </w:t>
      </w:r>
      <w:r w:rsidRPr="00557D7F">
        <w:rPr>
          <w:rFonts w:ascii="Book Antiqua" w:hAnsi="Book Antiqua"/>
          <w:color w:val="000000" w:themeColor="text1"/>
          <w:sz w:val="22"/>
          <w:szCs w:val="22"/>
          <w:lang w:val="en-AU"/>
        </w:rPr>
        <w:fldChar w:fldCharType="begin" w:fldLock="1"/>
      </w:r>
      <w:r w:rsidRPr="00557D7F">
        <w:rPr>
          <w:rFonts w:ascii="Book Antiqua" w:hAnsi="Book Antiqua"/>
          <w:color w:val="000000" w:themeColor="text1"/>
          <w:sz w:val="22"/>
          <w:szCs w:val="22"/>
          <w:lang w:val="en-AU"/>
        </w:rPr>
        <w:instrText>ADDIN CSL_CITATION {"citationItems":[{"id":"ITEM-1","itemData":{"DOI":"10.18196/jgpp.v10i1.16613","ISSN":"2355-8695","abstract":"This study tries to examine the findings of the election supervisory body (Bawaslu) regarding 32,556 anomaly voters ahead of the 2019 general election in Riau. This trend occurs because of the unsynchronization of data from the Regional General Election Commission (KPUD), the Central Statistics Agency (BPS) and the Population and Civil Registration Office (Disdukcapil) of Riau Province. Findings in the form of poor accuracy in determining the voter list by the KPUD of Riau Province have caused dynamics and polemics in the community. By using the concepts of Election theory and Democracy and Community Political Rights with a single case qualitative approach, this study finds that the potential for people whose data is not recorded by the Disdukcapil will not only lose their right to vote in elections but can also lead to potential violations of Human Rights. Therefore, this study tries to provide an early warning about the potential negative consequences of inaccurate voter data.","author":[{"dropping-particle":"","family":"Yandra","given":"Alexsander","non-dropping-particle":"","parse-names":false,"suffix":""},{"dropping-particle":"","family":"Faridhi","given":"Adrian","non-dropping-particle":"","parse-names":false,"suffix":""},{"dropping-particle":"","family":"Andrizal","given":"Andrizal","non-dropping-particle":"","parse-names":false,"suffix":""},{"dropping-particle":"","family":"Suyito","given":"Suyito","non-dropping-particle":"","parse-names":false,"suffix":""}],"container-title":"Journal of Governance and Public Policy","id":"ITEM-1","issue":"1","issued":{"date-parts":[["2023"]]},"page":"PRESS","title":"The Dynamics of Anomaly Voters: Responding to Bawaslu Findings in the 2019 Election in Riau","type":"article-journal","volume":"10"},"uris":["http://www.mendeley.com/documents/?uuid=873e6235-0b8f-47ef-8613-27227bd48404"]},{"id":"ITEM-2","itemData":{"DOI":"10.18196/jgpp.v10i1.15576","ISBN":"0822411016","ISSN":"2355-8695","abstract":"General election is a form of democratic system implementation. This democratic system is carried out to the lowest level in the government system, namely in the general election of village heads. However, in practice, the village head election process is still not optimal due to various forms of fraud. One of which is the practice of money politics. Money politics aims to influence the voters' votes so that they are influenced to choose a candidate who provides them with assistance in the form of money or goods and services. The case of money politics is getting stronger in the run-up to the election, and the targets of money politics are not only voters who have held elections before but also beginner voters. This study aimed to determine the practice of money politics in the election of village heads and its effect on the level of participation of novice voters. The research method used is descriptive quantitative. Data were collected through questionnaires and interviews. The research used data interpretation assisted with statistical applications, SPSS, to analyze the data. The results showed that the money politics practices that occurred in the election of the Village Head in Gampong Gunong Meulinteung were in the form of money that is 64 people (76%), goods that is 46 people (57%), and services that is 47 people (58%). The correlation test results show a value of 0.276, where the influence of money politics on novice voters in the Gampong Gunong Meulinteung Village Head Election in 2019 is 7.6%. It means that it has little effect on novice voters. The rest, amounting to 92.4% of novice voters, chose the Village Head candidate based on other factors such as age, education, and the candidate’s personality. Therefore, all forms of money politics should be eliminated in the general election so that the implementation of democracy in Indonesia can run well. In addition, it is also necessary to provide political education for novice voters, and it is hoped that the village government will form a task force that acts to eradicate cases of election fraud.","author":[{"dropping-particle":"","family":"Hasan","given":"Effendi","non-dropping-particle":"","parse-names":false,"suffix":""},{"dropping-particle":"","family":"Aminah","given":"Aminah","non-dropping-particle":"","parse-names":false,"suffix":""},{"dropping-particle":"","family":"Haji Hamil","given":"Haji Jamaie","non-dropping-particle":"","parse-names":false,"suffix":""},{"dropping-particle":"","family":"Mukhrijal","given":"Mukhrijal","non-dropping-particle":"","parse-names":false,"suffix":""}],"container-title":"Journal of Governance and Public Policy","id":"ITEM-2","issue":"1","issued":{"date-parts":[["2023"]]},"page":"PRESS","title":"The Practice of Money Politics in Village Head Elections and Its Effect on The Participation Level of Beginner Voters","type":"article-journal","volume":"10"},"uris":["http://www.mendeley.com/documents/?uuid=30678f81-06c0-4565-a9d8-d67b32b9d5f7"]}],"mendeley":{"formattedCitation":"(Hasan et al., 2023; Yandra et al., 2023)","plainTextFormattedCitation":"(Hasan et al., 2023; Yandra et al., 2023)"},"properties":{"noteIndex":0},"schema":"https://github.com/citation-style-language/schema/raw/master/csl-citation.json"}</w:instrText>
      </w:r>
      <w:r w:rsidRPr="00557D7F">
        <w:rPr>
          <w:rFonts w:ascii="Book Antiqua" w:hAnsi="Book Antiqua"/>
          <w:color w:val="000000" w:themeColor="text1"/>
          <w:sz w:val="22"/>
          <w:szCs w:val="22"/>
          <w:lang w:val="en-AU"/>
        </w:rPr>
        <w:fldChar w:fldCharType="separate"/>
      </w:r>
      <w:r w:rsidRPr="00557D7F">
        <w:rPr>
          <w:rFonts w:ascii="Book Antiqua" w:hAnsi="Book Antiqua"/>
          <w:noProof/>
          <w:color w:val="000000" w:themeColor="text1"/>
          <w:sz w:val="22"/>
          <w:szCs w:val="22"/>
          <w:lang w:val="en-AU"/>
        </w:rPr>
        <w:t>(Hasan et al., 2023; Yandra et al., 2023)</w:t>
      </w:r>
      <w:r w:rsidRPr="00557D7F">
        <w:rPr>
          <w:rFonts w:ascii="Book Antiqua" w:hAnsi="Book Antiqua"/>
          <w:color w:val="000000" w:themeColor="text1"/>
          <w:sz w:val="22"/>
          <w:szCs w:val="22"/>
          <w:lang w:val="en-AU"/>
        </w:rPr>
        <w:fldChar w:fldCharType="end"/>
      </w:r>
    </w:p>
    <w:p w14:paraId="6CB864F5" w14:textId="48D24A99" w:rsidR="00557D7F" w:rsidRDefault="00557D7F" w:rsidP="00557D7F">
      <w:pPr>
        <w:pStyle w:val="BodyText"/>
        <w:ind w:firstLine="567"/>
        <w:rPr>
          <w:rFonts w:ascii="Book Antiqua" w:hAnsi="Book Antiqua"/>
          <w:sz w:val="22"/>
          <w:szCs w:val="22"/>
          <w:lang w:val="en-AU"/>
        </w:rPr>
      </w:pPr>
      <w:r w:rsidRPr="00557D7F">
        <w:rPr>
          <w:rFonts w:ascii="Book Antiqua" w:hAnsi="Book Antiqua"/>
          <w:sz w:val="22"/>
          <w:szCs w:val="22"/>
          <w:lang w:val="en-AU"/>
        </w:rPr>
        <w:t xml:space="preserve">Local political processes such as regional elections are also carried out in many regions of Indonesia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10.1201/9781003360483-36","ISBN":"9781032419381","author":[{"dropping-particle":"","family":"Luth","given":"","non-dropping-particle":"","parse-names":false,"suffix":""},{"dropping-particle":"","family":"Maswati","given":"Rani","non-dropping-particle":"","parse-names":false,"suffix":""},{"dropping-particle":"","family":"Baharuddin","given":"Tawakkal","non-dropping-particle":"","parse-names":false,"suffix":""}],"container-title":"Environmental Issues and Social Inclusion in a Sustainable Era","id":"ITEM-1","issued":{"date-parts":[["2023"]]},"page":"317-322","publisher":"Routledge","title":"Online political trust in Anies Baswedan as a candidate for the President of Indonesia 2024","type":"chapter"},"uris":["http://www.mendeley.com/documents/?uuid=e1318518-a616-4810-b75a-707c1fa4158d"]},{"id":"ITEM-2","itemData":{"DOI":"10.18848/2327-0071/CGP/v18i01/77-96","author":[{"dropping-particle":"","family":"Baharuddin","given":"Tawakkal","non-dropping-particle":"","parse-names":false,"suffix":""},{"dropping-particle":"","family":"Sairin","given":"Sjafri","non-dropping-particle":"","parse-names":false,"suffix":""},{"dropping-particle":"","family":"Qodir","given":"Zuly","non-dropping-particle":"","parse-names":false,"suffix":""},{"dropping-particle":"","family":"Jubba","given":"Hasse","non-dropping-particle":"","parse-names":false,"suffix":""}],"container-title":"The International Journal of Interdisciplinary Civic and Political Studies","id":"ITEM-2","issue":"1","issued":{"date-parts":[["2023"]]},"page":"77-96","title":"Form of Capital in Elections: Candidate Victory over Political Economy Domination","type":"article-journal","volume":"18"},"uris":["http://www.mendeley.com/documents/?uuid=b55a2dea-a818-475d-baa6-3175fb0d718b"]},{"id":"ITEM-3","itemData":{"DOI":"10.18196/jgpp.4176","ISSN":"23558695","author":[{"dropping-particle":"","family":"Baharuddin","given":"Tawakkal","non-dropping-particle":"","parse-names":false,"suffix":""},{"dropping-particle":"","family":"Purwaningsih","given":"Titin","non-dropping-particle":"","parse-names":false,"suffix":""}],"container-title":"Journal of Governance and Public Policy","id":"ITEM-3","issue":"1","issued":{"date-parts":[["2017"]]},"page":"205-237","title":"Modalitas Calon Bupati Dalam Pemilihan Umum Kepala Daerah Tahun 2015","type":"article-journal","volume":"4"},"uris":["http://www.mendeley.com/documents/?uuid=cb4f9616-e28d-4dd3-9db7-5685b78b0f3c"]}],"mendeley":{"formattedCitation":"(Baharuddin et al., 2023; Baharuddin &amp; Purwaningsih, 2017; Luth et al., 2023)","plainTextFormattedCitation":"(Baharuddin et al., 2023; Baharuddin &amp; Purwaningsih, 2017; Luth et al., 2023)","previouslyFormattedCitation":"(Baharuddin et al., 2023; Baharuddin &amp; Purwaningsih, 2017; Luth et al., 2023)"},"properties":{"noteIndex":0},"schema":"https://github.com/citation-style-language/schema/raw/master/csl-citation.json"}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(Baharuddin et al., 2023; Baharuddin &amp; Purwaningsih, 2017; Luth et al., 2023)</w:t>
      </w:r>
      <w:r w:rsidRPr="00557D7F">
        <w:rPr>
          <w:rFonts w:ascii="Book Antiqua" w:hAnsi="Book Antiqua"/>
          <w:sz w:val="22"/>
          <w:szCs w:val="22"/>
          <w:lang w:val="en-US"/>
        </w:rPr>
        <w:fldChar w:fldCharType="end"/>
      </w:r>
      <w:r w:rsidRPr="00557D7F">
        <w:rPr>
          <w:rFonts w:ascii="Book Antiqua" w:hAnsi="Book Antiqua"/>
          <w:sz w:val="22"/>
          <w:szCs w:val="22"/>
          <w:lang w:val="en-AU"/>
        </w:rPr>
        <w:t xml:space="preserve">, especially in </w:t>
      </w:r>
      <w:proofErr w:type="spellStart"/>
      <w:r w:rsidRPr="00557D7F">
        <w:rPr>
          <w:rFonts w:ascii="Book Antiqua" w:hAnsi="Book Antiqua"/>
          <w:sz w:val="22"/>
          <w:szCs w:val="22"/>
          <w:lang w:val="en-AU"/>
        </w:rPr>
        <w:t>Buton</w:t>
      </w:r>
      <w:proofErr w:type="spellEnd"/>
      <w:r w:rsidRPr="00557D7F">
        <w:rPr>
          <w:rFonts w:ascii="Book Antiqua" w:hAnsi="Book Antiqua"/>
          <w:sz w:val="22"/>
          <w:szCs w:val="22"/>
          <w:lang w:val="en-AU"/>
        </w:rPr>
        <w:t xml:space="preserve">, Southeast Sulawesi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{"citationItems":[{"id":"ITEM-1","itemData":{"abstract":"… Pragmatisme politik tumbuh karena partai politik cenderung memahami karakteristik pemilih di Indonesia yang tergolong pemilih praktis, pilihan ditentukan berdasarkan tokoh atau figur …","author":[{"dropping-particle":"","family":"Endah Yuli","given":"Ekowati","non-dropping-particle":"","parse-names":false,"suffix":""}],"container-title":"Jurnal Transformative","id":"ITEM-1","issue":"1","issued":{"date-parts":[["2019"]]},"page":"16-37","title":"Pragmatisme Politik: Antara Koalisi, Pencalonan, dan Calon Tunggal Dalam Pilkada","type":"article-journal","volume":"5"},"uris":["http://www.mendeley.com/documents/?uuid=b97b8647-2520-4126-8511-f38b36f11bf2"]}],"mendeley":{"formattedCitation":"(Endah Yuli, 2019)","plainTextFormattedCitation":"(Endah Yuli, 2019)","previouslyFormattedCitation":"(Endah Yuli, 2019)"},"properties":{"noteIndex":0},"schema":"https://github.com/citation-style-language/schema/raw/master/csl-citation.json"}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(Endah Yuli, 2019)</w:t>
      </w:r>
      <w:r w:rsidRPr="00557D7F">
        <w:rPr>
          <w:rFonts w:ascii="Book Antiqua" w:hAnsi="Book Antiqua"/>
          <w:sz w:val="22"/>
          <w:szCs w:val="22"/>
          <w:lang w:val="en-US"/>
        </w:rPr>
        <w:fldChar w:fldCharType="end"/>
      </w:r>
      <w:r w:rsidRPr="00557D7F">
        <w:rPr>
          <w:rFonts w:ascii="Book Antiqua" w:hAnsi="Book Antiqua"/>
          <w:sz w:val="22"/>
          <w:szCs w:val="22"/>
          <w:lang w:val="en-AU"/>
        </w:rPr>
        <w:t xml:space="preserve">. In the regional elections in 2017, a single candidate was also produced, namely </w:t>
      </w:r>
      <w:proofErr w:type="spellStart"/>
      <w:r w:rsidRPr="00557D7F">
        <w:rPr>
          <w:rFonts w:ascii="Book Antiqua" w:hAnsi="Book Antiqua"/>
          <w:sz w:val="22"/>
          <w:szCs w:val="22"/>
          <w:lang w:val="en-AU"/>
        </w:rPr>
        <w:t>Sams</w:t>
      </w:r>
      <w:r w:rsidR="00BE06D0">
        <w:rPr>
          <w:rFonts w:ascii="Book Antiqua" w:hAnsi="Book Antiqua"/>
          <w:sz w:val="22"/>
          <w:szCs w:val="22"/>
          <w:lang w:val="en-AU"/>
        </w:rPr>
        <w:t>u</w:t>
      </w:r>
      <w:proofErr w:type="spellEnd"/>
      <w:r w:rsidR="00BE06D0">
        <w:rPr>
          <w:rFonts w:ascii="Book Antiqua" w:hAnsi="Book Antiqua"/>
          <w:sz w:val="22"/>
          <w:szCs w:val="22"/>
          <w:lang w:val="en-AU"/>
        </w:rPr>
        <w:t xml:space="preserve"> Umar Abdul </w:t>
      </w:r>
      <w:proofErr w:type="spellStart"/>
      <w:r w:rsidR="00BE06D0">
        <w:rPr>
          <w:rFonts w:ascii="Book Antiqua" w:hAnsi="Book Antiqua"/>
          <w:sz w:val="22"/>
          <w:szCs w:val="22"/>
          <w:lang w:val="en-AU"/>
        </w:rPr>
        <w:t>Samiun</w:t>
      </w:r>
      <w:proofErr w:type="spellEnd"/>
      <w:r w:rsidR="00BE06D0">
        <w:rPr>
          <w:rFonts w:ascii="Book Antiqua" w:hAnsi="Book Antiqua"/>
          <w:sz w:val="22"/>
          <w:szCs w:val="22"/>
          <w:lang w:val="en-AU"/>
        </w:rPr>
        <w:t xml:space="preserve"> and La </w:t>
      </w:r>
      <w:proofErr w:type="spellStart"/>
      <w:r w:rsidR="00BE06D0">
        <w:rPr>
          <w:rFonts w:ascii="Book Antiqua" w:hAnsi="Book Antiqua"/>
          <w:sz w:val="22"/>
          <w:szCs w:val="22"/>
          <w:lang w:val="en-AU"/>
        </w:rPr>
        <w:t>Bakry</w:t>
      </w:r>
      <w:proofErr w:type="spellEnd"/>
      <w:r w:rsidRPr="00557D7F">
        <w:rPr>
          <w:rFonts w:ascii="Book Antiqua" w:hAnsi="Book Antiqua"/>
          <w:sz w:val="22"/>
          <w:szCs w:val="22"/>
          <w:lang w:val="en-AU"/>
        </w:rPr>
        <w:t xml:space="preserve">, against an empty box. This candidate received 27,512 votes (55.08%), while the empty box received 22,438 votes (44.92%)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{"citationItems":[{"id":"ITEM-1","itemData":{"author":[{"dropping-particle":"","family":"Rahman","given":"Rofi Aulia","non-dropping-particle":"","parse-names":false,"suffix":""},{"dropping-particle":"","family":"Satriawan","given":"Iwan","non-dropping-particle":"","parse-names":false,"suffix":""},{"dropping-particle":"","family":"Diaz","given":"Riwani Marchethy","non-dropping-particle":"","parse-names":false,"suffix":""}],"container-title":"Jurnal Konstitusi","id":"ITEM-1","issue":"1","issued":{"date-parts":[["2022"]]},"page":"47-72","title":"Calon Tunggal Pilkada: Krisis Kepemimpinan dan Ancaman Bagi Demokrasi [Single Candidate Pilkada: Leadership Crisis and Threat to Democracy]","type":"article-journal","volume":"19"},"uris":["http://www.mendeley.com/documents/?uuid=cc15de47-cdab-42c8-af0c-3987a9410872"]},{"id":"ITEM-2","itemData":{"author":[{"dropping-particle":"","family":"Irawan","given":"Dhani","non-dropping-particle":"","parse-names":false,"suffix":""}],"container-title":"detikNews","id":"ITEM-2","issued":{"date-parts":[["2017","2","16"]]},"publisher-place":"Jakarta","title":"Ditahan KPK, Samsu Umar Menang Lawan Kotak Kosong di Pilbup Buton","type":"article-newspaper"},"uris":["http://www.mendeley.com/documents/?uuid=9830abb0-1c97-469f-926f-7747ad262e20"]}],"mendeley":{"formattedCitation":"(Irawan, 2017; Rahman et al., 2022)","plainTextFormattedCitation":"(Irawan, 2017; Rahman et al., 2022)","previouslyFormattedCitation":"(Irawan, 2017; Rahman et al., 2022)"},"properties":{"noteIndex":0},"schema":"https://github.com/citation-style-language/schema/raw/master/csl-citation.json"}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(Irawan, 2017; Rahman et al., 2022)</w:t>
      </w:r>
      <w:r w:rsidRPr="00557D7F">
        <w:rPr>
          <w:rFonts w:ascii="Book Antiqua" w:hAnsi="Book Antiqua"/>
          <w:sz w:val="22"/>
          <w:szCs w:val="22"/>
          <w:lang w:val="en-US"/>
        </w:rPr>
        <w:fldChar w:fldCharType="end"/>
      </w:r>
      <w:r w:rsidRPr="00557D7F">
        <w:rPr>
          <w:rFonts w:ascii="Book Antiqua" w:hAnsi="Book Antiqua"/>
          <w:sz w:val="22"/>
          <w:szCs w:val="22"/>
          <w:lang w:val="en-AU"/>
        </w:rPr>
        <w:t xml:space="preserve">. The number of empty boxes was the highest of the 9 districts/cities in Indonesia, which also held regional elections with one pair of regional head candidates simultaneously in 2017. The difference in votes between the empty boxes and a single candidate pair was only around 5,065 votes (10.14%). This shows that 22,447 mandatory voters in the </w:t>
      </w:r>
      <w:proofErr w:type="spellStart"/>
      <w:r w:rsidRPr="00557D7F">
        <w:rPr>
          <w:rFonts w:ascii="Book Antiqua" w:hAnsi="Book Antiqua"/>
          <w:sz w:val="22"/>
          <w:szCs w:val="22"/>
          <w:lang w:val="en-AU"/>
        </w:rPr>
        <w:t>Buton</w:t>
      </w:r>
      <w:proofErr w:type="spellEnd"/>
      <w:r w:rsidRPr="00557D7F">
        <w:rPr>
          <w:rFonts w:ascii="Book Antiqua" w:hAnsi="Book Antiqua"/>
          <w:sz w:val="22"/>
          <w:szCs w:val="22"/>
          <w:lang w:val="en-AU"/>
        </w:rPr>
        <w:t xml:space="preserve"> district prefer an empty box rather than choosing a single candidate pair</w:t>
      </w:r>
      <w:r>
        <w:rPr>
          <w:rFonts w:ascii="Book Antiqua" w:hAnsi="Book Antiqua"/>
          <w:sz w:val="22"/>
          <w:szCs w:val="22"/>
          <w:lang w:val="en-AU"/>
        </w:rPr>
        <w:t>.</w:t>
      </w:r>
    </w:p>
    <w:p w14:paraId="5AA70031" w14:textId="77777777" w:rsidR="00557D7F" w:rsidRDefault="00557D7F" w:rsidP="00557D7F">
      <w:pPr>
        <w:pStyle w:val="BodyText"/>
        <w:ind w:firstLine="567"/>
        <w:rPr>
          <w:rFonts w:ascii="Book Antiqua" w:hAnsi="Book Antiqua"/>
          <w:lang w:val="en-AU"/>
        </w:rPr>
      </w:pPr>
      <w:r w:rsidRPr="00557D7F">
        <w:rPr>
          <w:rFonts w:ascii="Book Antiqua" w:hAnsi="Book Antiqua"/>
          <w:sz w:val="22"/>
          <w:szCs w:val="22"/>
          <w:lang w:val="en-AU"/>
        </w:rPr>
        <w:t xml:space="preserve">From data on regional election votes in </w:t>
      </w:r>
      <w:proofErr w:type="spellStart"/>
      <w:r w:rsidRPr="00557D7F">
        <w:rPr>
          <w:rFonts w:ascii="Book Antiqua" w:hAnsi="Book Antiqua"/>
          <w:sz w:val="22"/>
          <w:szCs w:val="22"/>
          <w:lang w:val="en-AU"/>
        </w:rPr>
        <w:t>Buton</w:t>
      </w:r>
      <w:proofErr w:type="spellEnd"/>
      <w:r w:rsidRPr="00557D7F">
        <w:rPr>
          <w:rFonts w:ascii="Book Antiqua" w:hAnsi="Book Antiqua"/>
          <w:sz w:val="22"/>
          <w:szCs w:val="22"/>
          <w:lang w:val="en-AU"/>
        </w:rPr>
        <w:t xml:space="preserve"> Regency, Southeast Sulawesi, some people are dissatisfied with the single candidate presented. A high vote share for the empty box indicates that the public feels the existing single candidate needs to represent them better, so they prefer not to support that single candidate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Tecnociencia","id":"ITEM-1","issue":"2","issued":{"date-parts":[["2021"]]},"page":"48-71","title":"Democracy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id":"ITEM-2","itemData":{"DOI":"10.33019/society.v8i2.203","author":[{"dropping-particle":"","family":"Harianto","given":"","non-dropping-particle":"","parse-names":false,"suffix":""},{"dropping-particle":"","family":"Darmawan","given":"Wawan Budi","non-dropping-particle":"","parse-names":false,"suffix":""},{"dropping-particle":"","family":"Muradi","given":"","non-dropping-particle":"","parse-names":false,"suffix":""}],"container-title":"Society","id":"ITEM-2","issue":"2","issued":{"date-parts":[["2020"]]},"page":"546-556","title":"The Winning of Empty Box in the 2018 Makassar Regional Head Election","type":"article-journal","volume":"8"},"uris":["http://www.mendeley.com/documents/?uuid=421f99db-27c3-42f5-a219-a5073ca58973"]}],"mendeley":{"formattedCitation":"(Harianto et al., 2020; Purwaningsih &amp; Widodo, 2021)","plainTextFormattedCitation":"(Harianto et al., 2020; Purwaningsih &amp; Widodo, 2021)","previouslyFormattedCitation":"(Harianto et al., 2020; Purwaningsih &amp; Widodo, 2021)"},"properties":{"noteIndex":0},"schema":"https://github.com/citation-style-language/schema/raw/master/csl-citation.json"}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(Harianto et al., 2020; Purwaningsih &amp; Widodo, 2021)</w:t>
      </w:r>
      <w:r w:rsidRPr="00557D7F">
        <w:rPr>
          <w:rFonts w:ascii="Book Antiqua" w:hAnsi="Book Antiqua"/>
          <w:sz w:val="22"/>
          <w:szCs w:val="22"/>
        </w:rPr>
        <w:fldChar w:fldCharType="end"/>
      </w:r>
      <w:r w:rsidRPr="00557D7F">
        <w:rPr>
          <w:rFonts w:ascii="Book Antiqua" w:hAnsi="Book Antiqua"/>
          <w:sz w:val="22"/>
          <w:szCs w:val="22"/>
          <w:lang w:val="en-AU"/>
        </w:rPr>
        <w:t xml:space="preserve">. The small difference between the number of votes for single candidates and empty boxes also confirms that many voters would rather not vote than support the only available option. This is an important warning for stakeholders to listen more carefully to the aspirations of the community and ensure that the candidates put forward are truly able to represent the interests and aspirations of the community at large. Thus, the need to improve the candidate selection process and provide greater space for community participation in determining their political choices in the future is crucial in maintaining the integrity </w:t>
      </w:r>
      <w:r w:rsidRPr="00557D7F">
        <w:rPr>
          <w:rFonts w:ascii="Book Antiqua" w:hAnsi="Book Antiqua"/>
          <w:sz w:val="22"/>
          <w:szCs w:val="22"/>
          <w:lang w:val="en-AU"/>
        </w:rPr>
        <w:lastRenderedPageBreak/>
        <w:t xml:space="preserve">of democracy and encouraging more active participation from the community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{"citationItems":[{"id":"ITEM-1","itemData":{"DOI":"10.1080/21565503.2018.1557056","ISSN":"2156-5503","abstract":"A notable gender gap in candidate selection still exists in Canada. While the five major political parties all used a similar decentralized candidate selection process in the 2015 Canadian federal election, the proportion of women candidates varied significantly by party. Placing the authority for selection with constituency-level party organizations limits the ability of parties to impose top-down gender parity policies and also, in principle, makes the process sensitive to demographic and political differences among constituencies. However, the results of mixed-methods analyses show limited influence of traditional local political and demographic variables, but a strong effect of party. The findings also show significant spatial clustering, suggesting that factors such as local social networks may help explain the variation in the nomination of women candidates. We conclude by discussing how party cultures and social networks might reflect supply and demand obstacles for potential women candidates, and how these factors might present challenges to achieving gender parity among federal candidates in Canada. [ABSTRACT FROM AUTHOR]","author":[{"dropping-particle":"","family":"Medeiros","given":"Mike","non-dropping-particle":"","parse-names":false,"suffix":""},{"dropping-particle":"","family":"Forest","given":"Benjamin","non-dropping-particle":"","parse-names":false,"suffix":""},{"dropping-particle":"","family":"Erl","given":"Chris","non-dropping-particle":"","parse-names":false,"suffix":""}],"container-title":"Politics, Groups, and Identities","id":"ITEM-1","issue":"2","issued":{"date-parts":[["2019"]]},"page":"389-400","title":"Where women stand: parliamentary candidate selection in Canada","type":"article-journal","volume":"7"},"uris":["http://www.mendeley.com/documents/?uuid=ce3b5f56-b25d-412f-8c12-483a80703218"]},{"id":"ITEM-2","itemData":{"DOI":"10.1016/j.hrmr.2018.05.003","ISSN":"10534822","abstract":"Political ideology is a central belief that drives individuals' behavior not just in the voting booth but also in other aspects of life. As political divisiveness in society has increased, the ramifications of this shift may permeate organizations ultimately affecting how individuals interact with one another. Through the lens of social cognition and person-organization fit, this paper considers the effect of political ideology of job applicants in selection decisions by discussing 1) the definition of political ideology and subsequent stereotyping, 2) the increasing divisiveness rooted in political ideology, 3) the implication in selection decisions influenced by political ideology, and 4) the consequences for firm level diversity. Further, a model is provided to illustrate the relationship of political ideology to various phases of the selection process. Propositions to foster further study of these phenomena are provided within.","author":[{"dropping-particle":"","family":"Johnson","given":"Andrew F.","non-dropping-particle":"","parse-names":false,"suffix":""},{"dropping-particle":"","family":"Roberto","given":"Katherine J.","non-dropping-particle":"","parse-names":false,"suffix":""}],"container-title":"Human Resource Management Review","id":"ITEM-2","issue":"1","issued":{"date-parts":[["2019"]]},"page":"14-27","publisher":"Elsevier","title":"Elections and selection: The role of political ideology in selection decisions","type":"article-journal","volume":"29"},"uris":["http://www.mendeley.com/documents/?uuid=4433e719-187d-465c-92c4-51f61226d064"]},{"id":"ITEM-3","itemData":{"abstract":"This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Tecnociencia","id":"ITEM-3","issue":"2","issued":{"date-parts":[["2021"]]},"page":"48-71","title":"Democracy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201","type":"article-journal","volume":"11"},"uris":["http://www.mendeley.com/documents/?uuid=2dd24246-b897-4775-8cfe-13e490017fca"]}],"mendeley":{"formattedCitation":"(Johnson &amp; Roberto, 2019; Medeiros et al., 2019; Purwaningsih &amp; Widodo, 2021)","plainTextFormattedCitation":"(Johnson &amp; Roberto, 2019; Medeiros et al., 2019; Purwaningsih &amp; Widodo, 2021)","previouslyFormattedCitation":"(Johnson &amp; Roberto, 2019; Medeiros et al., 2019; Purwaningsih &amp; Widodo, 2021)"},"properties":{"noteIndex":0},"schema":"https://github.com/citation-style-language/schema/raw/master/csl-citation.json"}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(Johnson &amp; Roberto, 2019; Medeiros et al., 2019; Purwaningsih &amp; Widodo, 2021)</w:t>
      </w:r>
      <w:r w:rsidRPr="00557D7F">
        <w:rPr>
          <w:rFonts w:ascii="Book Antiqua" w:hAnsi="Book Antiqua"/>
          <w:sz w:val="22"/>
          <w:szCs w:val="22"/>
        </w:rPr>
        <w:fldChar w:fldCharType="end"/>
      </w:r>
      <w:r w:rsidRPr="00557D7F">
        <w:rPr>
          <w:rFonts w:ascii="Book Antiqua" w:hAnsi="Book Antiqua"/>
          <w:lang w:val="en-AU"/>
        </w:rPr>
        <w:t>.</w:t>
      </w:r>
    </w:p>
    <w:p w14:paraId="046B783A" w14:textId="05D9F1F2" w:rsidR="00557D7F" w:rsidRDefault="00557D7F" w:rsidP="00557D7F">
      <w:pPr>
        <w:pStyle w:val="BodyText"/>
        <w:ind w:firstLine="567"/>
        <w:rPr>
          <w:rFonts w:ascii="Book Antiqua" w:hAnsi="Book Antiqua"/>
          <w:sz w:val="22"/>
          <w:szCs w:val="22"/>
          <w:lang w:val="en-AU"/>
        </w:rPr>
      </w:pPr>
      <w:r w:rsidRPr="00557D7F">
        <w:rPr>
          <w:rFonts w:ascii="Book Antiqua" w:hAnsi="Book Antiqua"/>
          <w:sz w:val="22"/>
          <w:szCs w:val="22"/>
          <w:lang w:val="en-AU"/>
        </w:rPr>
        <w:t xml:space="preserve">The negative impact of the emergence of a single candidate in regional head elections in Indonesia could be very detrimental to the democratic process and the sustainability of the political system. This phenomenon can reduce space for healthy public debate and limit the choices and alternatives that should be available to society. Apart from that, this can also dampen the spirit of community political participation and reduce trust in the integrity of the democratic process. Furthermore, the presence of a single candidate also has the potential to create the impression of a monopoly of power, which can result in reduced government accountability and transparency, strengthen the possibility of corruption, and reduce the innovation and policy dynamics expected from diverse leadership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{"citationItems":[{"id":"ITEM-1","itemData":{"DOI":"10.1177/20578911211062485","ISSN":"2057892X","abstract":"This article analyzes the phenomenon of single candidates in Indonesia's 2020 local elections, where the number increased compared to the previous local elections. Although initially local elections with single candidates were not intended, by a ruling of the Constitutional Court a local election must still be carried out even if there is only a single pair of candidates. The number of single candidates has increased, as it becomes an easier and cheaper way to ensure victory, particularly for incumbents. This condition is strengthened by the culture of political parties that tend to provide support to candidates who possess a greater chance of winning in order to take control of the government and form political cartels. Although presently it has not been indicated that single candidates are a form of oligarchic rule and political dynasty, it may become an easy way to obtain political power.","author":[{"dropping-particle":"","family":"Safa’at","given":"Muchamad Ali","non-dropping-particle":"","parse-names":false,"suffix":""}],"container-title":"Asian Journal of Comparative Politics","id":"ITEM-1","issue":"4","issued":{"date-parts":[["2022"]]},"page":"1163-1176","title":"Single candidates: Ensuring a path to victory in local elections","type":"article-journal","volume":"7"},"uris":["http://www.mendeley.com/documents/?uuid=e416e747-a99f-44ff-9bf0-206d09cb25d4"]},{"id":"ITEM-2","itemData":{"DOI":"10.21787/jbp.12.2020.153-165","ISSN":"20854323","abstract":"Political pragmatics has become its dynamic in Local Elections. The existence of incumbent power and uneven coalition formation of parties in the election can directly reduce or eliminate the opportunity for other political parties to participate in the election. In addition to these problems, so far, candidates' nomination by political parties turns out to pay more attention to the incumbent electability or popularity of the candidates to be carried by them and without assuming to party ideology. This certainly makes the power imbalance so that candidates from political parties or coalitions of other political parties are reluctant to compete. Political parties hold a coalition to carry out the candidates for various reasons. This research article will explain political parties' pragmatics in forming a coalition and carrying a pair of candidates that gave rise to a single candidate's phenomenon. The research article begins with collecting data through a literature study and is supported by the General Elections Commission's data. To answer this phenomenon, the writer analyzes the documentation as long as the Local Elections is held simultaneously. The concept of political pragmatism is expected to explain these phenomena. This paper concludes that the pragmatic methods used by political parties in determining coalitions and candidates in the Regional Head Election are because the purpose of political parties to participate in the contestation is only a victory to gain power.","author":[{"dropping-particle":"","family":"Rosanti","given":"Ratna","non-dropping-particle":"","parse-names":false,"suffix":""}],"container-title":"Jurnal Bina Praja","id":"ITEM-2","issue":"2","issued":{"date-parts":[["2020"]]},"page":"153-165","title":"Political Pragmatics in Indonesia: Candidates, the Coalition of Political Parties and Single Candidate for Local Elections","type":"article-journal","volume":"12"},"uris":["http://www.mendeley.com/documents/?uuid=e1a0e2ad-385e-42d4-9c48-40fb8c04c1f3"]}],"mendeley":{"formattedCitation":"(Rosanti, 2020; Safa’at, 2022)","plainTextFormattedCitation":"(Rosanti, 2020; Safa’at, 2022)","previouslyFormattedCitation":"(Rosanti, 2020; Safa’at, 2022)"},"properties":{"noteIndex":0},"schema":"https://github.com/citation-style-language/schema/raw/master/csl-citation.json"}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(Rosanti, 2020; Safa’at, 2022)</w:t>
      </w:r>
      <w:r w:rsidRPr="00557D7F">
        <w:rPr>
          <w:rFonts w:ascii="Book Antiqua" w:hAnsi="Book Antiqua"/>
          <w:sz w:val="22"/>
          <w:szCs w:val="22"/>
          <w:lang w:val="en-US"/>
        </w:rPr>
        <w:fldChar w:fldCharType="end"/>
      </w:r>
      <w:r w:rsidRPr="00557D7F">
        <w:rPr>
          <w:rFonts w:ascii="Book Antiqua" w:hAnsi="Book Antiqua"/>
          <w:sz w:val="22"/>
          <w:szCs w:val="22"/>
          <w:lang w:val="en-AU"/>
        </w:rPr>
        <w:t>.</w:t>
      </w:r>
    </w:p>
    <w:p w14:paraId="0AEE5299" w14:textId="77777777" w:rsidR="00557D7F" w:rsidRPr="00557D7F" w:rsidRDefault="00557D7F" w:rsidP="00557D7F">
      <w:pPr>
        <w:pStyle w:val="BodyText"/>
        <w:ind w:firstLine="567"/>
        <w:rPr>
          <w:rFonts w:ascii="Book Antiqua" w:hAnsi="Book Antiqua"/>
          <w:sz w:val="22"/>
          <w:szCs w:val="22"/>
          <w:lang w:val="en-AU"/>
        </w:rPr>
      </w:pPr>
      <w:r w:rsidRPr="00557D7F">
        <w:rPr>
          <w:rFonts w:ascii="Book Antiqua" w:hAnsi="Book Antiqua"/>
          <w:sz w:val="22"/>
          <w:szCs w:val="22"/>
          <w:lang w:val="en-AU"/>
        </w:rPr>
        <w:t xml:space="preserve">Based on the results of previous research, several other determinant factors have been identified that significantly influence the quality of regional elections in Indonesia. These factors include the dominance of certain political groups that control political and economic resources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{"citationItems":[{"id":"ITEM-1","itemData":{"DOI":"10.1016/j.worlddev.2019.05.021","ISSN":"18735991","abstract":"What explains the varied quality of local governance? The worldwide trend to decentralize the responsibilities and budgets of governments has made this question particularly urgent, spurring research that emphasizes the importance of local leadership, civil society and democratic accountability. In this paper we provide an approach to study how informal dimensions of politics impact public service delivery. We seek to explain the varied quality of local governance across Indonesia by focusing on the way in which local economic conditions foster clientelistic practices. To this end we integrate ethnographic fieldwork, an expert survey as well as cross-district statistical regression analyses of local government performance. We argue that the degree of state dependency of local economies impacts the quality of local governance because politicians in state-dependent economies face less constraints when engaging in clientelistic practices. We test this argument through a two-step regression analysis for the period 1999–2013 in which we relate a measure of the quality of public service delivery to expert assessments of the character of local politics, controlling for the potential effects of various local socio-economic and government budget indicators. We find that observed patterns in the variation of the quality of local governance in Indonesia indeed correspond with both variation in perceived intensity of clientelistic practices, as well as the degree of state dependency of local economies. These results suggest that interventions to strengthen local governance need to be attuned to the character of local economies.","author":[{"dropping-particle":"","family":"Berenschot","given":"Ward","non-dropping-particle":"","parse-names":false,"suffix":""},{"dropping-particle":"","family":"Mulder","given":"Peter","non-dropping-particle":"","parse-names":false,"suffix":""}],"container-title":"World Development","id":"ITEM-1","issued":{"date-parts":[["2019"]]},"page":"233-244","title":"Explaining regional variation in local governance: Clientelism and state-dependency in Indonesia","type":"article-journal","volume":"122"},"uris":["http://www.mendeley.com/documents/?uuid=ccd735da-69d2-4a59-8bac-beed67f9de44"]}],"mendeley":{"formattedCitation":"(Berenschot &amp; Mulder, 2019)","plainTextFormattedCitation":"(Berenschot &amp; Mulder, 2019)","previouslyFormattedCitation":"(Berenschot &amp; Mulder, 2019)"},"properties":{"noteIndex":0},"schema":"https://github.com/citation-style-language/schema/raw/master/csl-citation.json"}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(Berenschot &amp; Mulder, 2019)</w:t>
      </w:r>
      <w:r w:rsidRPr="00557D7F">
        <w:rPr>
          <w:rFonts w:ascii="Book Antiqua" w:hAnsi="Book Antiqua"/>
          <w:sz w:val="22"/>
          <w:szCs w:val="22"/>
        </w:rPr>
        <w:fldChar w:fldCharType="end"/>
      </w:r>
      <w:r w:rsidRPr="00557D7F">
        <w:rPr>
          <w:rFonts w:ascii="Book Antiqua" w:hAnsi="Book Antiqua"/>
          <w:sz w:val="22"/>
          <w:szCs w:val="22"/>
          <w:lang w:val="en-AU"/>
        </w:rPr>
        <w:t xml:space="preserve">, weak selection mechanisms for qualified candidates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{"citationItems":[{"id":"ITEM-1","itemData":{"DOI":"10.47305/JLIA2283063p","ISSN":"18579760","abstract":"The selection process for local head candidates in the electoral democracy in Indonesia is still closed and confidential. Recruitment regulations are insufficient to control the informal actions of the candidate selection process, which is based on political pragmatism. (1.) This paper examines the dynamics of local head candidate selection from the rational choice institutionalism approach, with the coll ective action perspective. (2.) The research method uses content analysis, with analyzed interpretively using the NVivo 12 plus application. (3.) Resear ch findings show that candidate selection in political parties is not entirely based on supply and demand but as a rational choice formed from the collective actions of party elites. In deciding the mayoral candidate in Makassar City in Indonesia 2020, political parties are influenced by collective mentality, individual quality, group size and resources in political parties. (4.) The conclusion is that the rational choice institutionalism approach through the practices of principal-agent, game-theory and rule-based models occurs in the selection of local head candidates. This rational choice institutionalism approach explains the tension between political actors to maximize personal and group interests in political party institutions.","author":[{"dropping-particle":"","family":"Prianto","given":"Andi Luhur","non-dropping-particle":"","parse-names":false,"suffix":""},{"dropping-particle":"","family":"Nurmandi","given":"Achmad","non-dropping-particle":"","parse-names":false,"suffix":""},{"dropping-particle":"","family":"Qodir","given":"Zuly","non-dropping-particle":"","parse-names":false,"suffix":""},{"dropping-particle":"","family":"Jubba","given":"Hasse","non-dropping-particle":"","parse-names":false,"suffix":""}],"container-title":"Journal of Liberty and International Affairs","id":"ITEM-1","issue":"3","issued":{"date-parts":[["2022"]]},"page":"63-82","title":"Does Collective Action Institutionalize Rational Choice? Candidate Selection in Indonesian Political Parties","type":"article-journal","volume":"8"},"uris":["http://www.mendeley.com/documents/?uuid=58b3720e-4d33-4378-8340-68d8faffcf62"]}],"mendeley":{"formattedCitation":"(Prianto et al., 2022)","plainTextFormattedCitation":"(Prianto et al., 2022)","previouslyFormattedCitation":"(Prianto et al., 2022)"},"properties":{"noteIndex":0},"schema":"https://github.com/citation-style-language/schema/raw/master/csl-citation.json"}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(Prianto et al., 2022)</w:t>
      </w:r>
      <w:r w:rsidRPr="00557D7F">
        <w:rPr>
          <w:rFonts w:ascii="Book Antiqua" w:hAnsi="Book Antiqua"/>
          <w:sz w:val="22"/>
          <w:szCs w:val="22"/>
        </w:rPr>
        <w:fldChar w:fldCharType="end"/>
      </w:r>
      <w:r w:rsidRPr="00557D7F">
        <w:rPr>
          <w:rFonts w:ascii="Book Antiqua" w:hAnsi="Book Antiqua"/>
          <w:sz w:val="22"/>
          <w:szCs w:val="22"/>
          <w:lang w:val="en-AU"/>
        </w:rPr>
        <w:t xml:space="preserve">, minimal political participation of the community in the pre-election stage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{"citationItems":[{"id":"ITEM-1","itemData":{"DOI":"10.1080/03068374.2019.1672400","ISSN":"14771500","abstract":"In April 2019, Indonesia carried out simultaneous presidential and legislative elections. With an estimated 192 million voters acceding to 800,000 polling stations, this was the world's largest direct presidential election. Barring some dispersed claims of irregularities, the mammoth task of electing public representatives at the national as well as provincial and local levels was successfully carried out. Indonesia's voters had to decide on the 575 members of the national parliament, as well as some 20,000 seats in the country's many provincial and local legislatures, including 2,207 provincial level MPs from 34 provinces and 17,610 local councillors from more than 500 local authorities. Voter turn-out was an estimated 81.9 percent, the highest yet since Indonesia's transition to full democracy. Thus, at first blush, this electoral exercise can be seen as a logistical and political achievement, and an addition to Indonesia's track record of successfully-held elections. Yet, despite its technical proficiency and solid participation, the 2019 polls highlight pervasive societal and geographic fault-lines and raise questions about the strength of Indonesia's democratic institutions. In order to analyse the importance of these elections, this article is comprised of six parts. Following this introduction, the second section briefly discusses the salient aspects of Jokowi's first administration. The subsequent part sets out the run-up to the presidential campaign, paying particular importance to changes in ‘rules of the game’ that altered the structural dynamics of the elections. The fourth section compares and contrasts the campaigns of the two opposing coalitions and the fifth analyses the electoral results. The final section concludes by discussing the denouement of the elections before looking forward.","author":[{"dropping-particle":"","family":"Fionna","given":"Ulla","non-dropping-particle":"","parse-names":false,"suffix":""},{"dropping-particle":"","family":"Hutchinson","given":"Francis E.","non-dropping-particle":"","parse-names":false,"suffix":""}],"container-title":"Asian Affairs","id":"ITEM-1","issue":"4","issued":{"date-parts":[["2019"]]},"page":"502-519","title":"Indonesia’S 2019 Elections: a Fractured Democracy?","type":"article-journal","volume":"50"},"uris":["http://www.mendeley.com/documents/?uuid=61516088-5e5a-438d-8533-d526f1cba68d"]}],"mendeley":{"formattedCitation":"(Fionna &amp; Hutchinson, 2019)","plainTextFormattedCitation":"(Fionna &amp; Hutchinson, 2019)","previouslyFormattedCitation":"(Fionna &amp; Hutchinson, 2019)"},"properties":{"noteIndex":0},"schema":"https://github.com/citation-style-language/schema/raw/master/csl-citation.json"}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(Fionna &amp; Hutchinson, 2019)</w:t>
      </w:r>
      <w:r w:rsidRPr="00557D7F">
        <w:rPr>
          <w:rFonts w:ascii="Book Antiqua" w:hAnsi="Book Antiqua"/>
          <w:sz w:val="22"/>
          <w:szCs w:val="22"/>
        </w:rPr>
        <w:fldChar w:fldCharType="end"/>
      </w:r>
      <w:r w:rsidRPr="00557D7F">
        <w:rPr>
          <w:rFonts w:ascii="Book Antiqua" w:hAnsi="Book Antiqua"/>
          <w:sz w:val="22"/>
          <w:szCs w:val="22"/>
          <w:lang w:val="en-AU"/>
        </w:rPr>
        <w:t xml:space="preserve">, as well as the lack of alternatives and growing political awareness among the public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{"citationItems":[{"id":"ITEM-1","itemData":{"DOI":"10.5367/0000000054604515","ISSN":"0967828X","abstract":"Between April and September 2004, Indonesian voters went three times to the polls, first to elect members of legislative bodies, then in two rounds to elect directly a president and vice-president. There were two starkly different views on the elections. For most observers, they were a triumphant affirmation of Indonesia's reform effort; for some, however, they offered little substantive choice between candidates, and merely confirmed in power Indonesia's old political establishment. This essay suggests that both views are right. The legislative, and especially the presidential elections of 2004, were simultaneously the crowning achievement of the reformasi movement that overthrew president Suharto in 1998, as well as its ultimate frustration. Elections have been crucial for demobilizing and domesticating the political energies of the reformasi upsurge and in confirming elite dominance. The 2004 polls were an important step in a process of 'normalization' of politics, and can be viewed as marking the end of Indonesia's tumultuous political transition. They also demonstrate how closely Indonesia is aligning with the experiences of other post-authoritarian states in South East Asia, especially Thailand and the Philippines. The dominance of media, money and machine politics that characterized Indonesia's 2004 elections is typical of broader patterns of post-democratization reorganization of political power. Indonesia is broadly distinguished from these countries, however, by the continuing influence of resilient socio-cultural identities (aliran) in voting behaviour. Even here, however, there are signs that the institutionalization and normalization of electoral competition are beginning to erode aliran loyalties.","author":[{"dropping-particle":"","family":"Aspinall","given":"Edward","non-dropping-particle":"","parse-names":false,"suffix":""}],"container-title":"South East Asia Research","id":"ITEM-1","issue":"2","issued":{"date-parts":[["2005"]]},"page":"117-156","title":"Elections and the normalization of politics in Indonesia","type":"article-journal","volume":"13"},"uris":["http://www.mendeley.com/documents/?uuid=469fbc86-d13c-48d0-bb60-dcbbae35763c"]}],"mendeley":{"formattedCitation":"(Aspinall, 2005)","plainTextFormattedCitation":"(Aspinall, 2005)","previouslyFormattedCitation":"(Aspinall, 2005)"},"properties":{"noteIndex":0},"schema":"https://github.com/citation-style-language/schema/raw/master/csl-citation.json"}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(Aspinall, 2005)</w:t>
      </w:r>
      <w:r w:rsidRPr="00557D7F">
        <w:rPr>
          <w:rFonts w:ascii="Book Antiqua" w:hAnsi="Book Antiqua"/>
          <w:sz w:val="22"/>
          <w:szCs w:val="22"/>
        </w:rPr>
        <w:fldChar w:fldCharType="end"/>
      </w:r>
      <w:r w:rsidRPr="00557D7F">
        <w:rPr>
          <w:rFonts w:ascii="Book Antiqua" w:hAnsi="Book Antiqua"/>
          <w:sz w:val="22"/>
          <w:szCs w:val="22"/>
          <w:lang w:val="en-AU"/>
        </w:rPr>
        <w:t xml:space="preserve">. Apart from that, social and historical factors, such as the strength of political dynasties and the economic dependence of society on certain political elites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{"citationItems":[{"id":"ITEM-1","itemData":{"DOI":"10.1111/aspp.12444","ISSN":"19430787","abstract":"This article examines electoral strategies used by candidates in regional elections in new Indonesian jurisdictions. It uses the 2017 regional election in Maybrat, West Papua as a case study. It explores the candidates’ strategies and motivations in context, as well as their results. Research indicates that similar election strategies were used by candidates, such as exploiting elements of territory, class, and kinship. However, their emphases differed: the losing candidate had positioned class solidarity centrally in their campaigns, while the victorious candidate had emphasized spatial solidarity. This research also observed the exploitation of latent tensions over the location of the regional capital in the new jurisdiction of Maybrat, where the creation of new resources, services, and public offices intensified long-standing contestations. Ultimately, distancing themselves from electoral logics that target individual voters, the candidates in Maybrat targeted specific groups, a strategy representative of Papuan society’s communal tendencies.","author":[{"dropping-particle":"","family":"Haryanto","given":"","non-dropping-particle":"","parse-names":false,"suffix":""},{"dropping-particle":"","family":"Sukmajati","given":"Mada","non-dropping-particle":"","parse-names":false,"suffix":""},{"dropping-particle":"","family":"Lay","given":"Cornelis","non-dropping-particle":"","parse-names":false,"suffix":""}],"container-title":"Asian Politics and Policy","id":"ITEM-1","issue":"1","issued":{"date-parts":[["2019"]]},"page":"43-61","title":"Territory, Class, and Kinship: A Case Study of an Indonesian Regional Election","type":"article-journal","volume":"11"},"uris":["http://www.mendeley.com/documents/?uuid=c3ea5170-8add-4c2f-a348-0ac6eadf5f7d"]},{"id":"ITEM-2","itemData":{"DOI":"10.15294/ipsr.v4i1.12609","ISSN":"2477-8060","abstract":"Money politics is a serious problem for the improvement in the quality of democracy in Indonesia. In every election, there has been a shift or variation in the pattern of money politics. This article answers the important question of what pattern of money politics applied in the 2014 elections was. This study found that the pattern was more complex and that it involved more actors between not only candidates and voters, but also the election organizers. A case study had been used to view the pattern of money politics in the legislative elections in Surabaya and Sidoarjo during the 2014 election. This study explains the connectivity between the emergence of pragmatic-rational voters, the engagement of the party oligarchy in moving the political party machinery and the covert dealings with the election organizer.","author":[{"dropping-particle":"","family":"Aminuddin","given":"M. Faishal","non-dropping-particle":"","parse-names":false,"suffix":""},{"dropping-particle":"","family":"Attamimi","given":"Natasha Hassan","non-dropping-particle":"","parse-names":false,"suffix":""}],"container-title":"Politik Indonesia: Indonesian Political Science Review","id":"ITEM-2","issue":"1","issued":{"date-parts":[["2019"]]},"page":"99-120","title":"From Retail to Grocery: Money Politics in 2014 Indonesian Legislative Election","type":"article-journal","volume":"4"},"uris":["http://www.mendeley.com/documents/?uuid=08b1aa1e-d382-471e-9538-2d9e521772cc"]},{"id":"ITEM-3","itemData":{"DOI":"10.5367/0000000054604515","ISSN":"0967828X","abstract":"Between April and September 2004, Indonesian voters went three times to the polls, first to elect members of legislative bodies, then in two rounds to elect directly a president and vice-president. There were two starkly different views on the elections. For most observers, they were a triumphant affirmation of Indonesia's reform effort; for some, however, they offered little substantive choice between candidates, and merely confirmed in power Indonesia's old political establishment. This essay suggests that both views are right. The legislative, and especially the presidential elections of 2004, were simultaneously the crowning achievement of the reformasi movement that overthrew president Suharto in 1998, as well as its ultimate frustration. Elections have been crucial for demobilizing and domesticating the political energies of the reformasi upsurge and in confirming elite dominance. The 2004 polls were an important step in a process of 'normalization' of politics, and can be viewed as marking the end of Indonesia's tumultuous political transition. They also demonstrate how closely Indonesia is aligning with the experiences of other post-authoritarian states in South East Asia, especially Thailand and the Philippines. The dominance of media, money and machine politics that characterized Indonesia's 2004 elections is typical of broader patterns of post-democratization reorganization of political power. Indonesia is broadly distinguished from these countries, however, by the continuing influence of resilient socio-cultural identities (aliran) in voting behaviour. Even here, however, there are signs that the institutionalization and normalization of electoral competition are beginning to erode aliran loyalties.","author":[{"dropping-particle":"","family":"Aspinall","given":"Edward","non-dropping-particle":"","parse-names":false,"suffix":""}],"container-title":"South East Asia Research","id":"ITEM-3","issue":"2","issued":{"date-parts":[["2005"]]},"page":"117-156","title":"Elections and the normalization of politics in Indonesia","type":"article-journal","volume":"13"},"uris":["http://www.mendeley.com/documents/?uuid=469fbc86-d13c-48d0-bb60-dcbbae35763c"]}],"mendeley":{"formattedCitation":"(Aminuddin &amp; Attamimi, 2019; Aspinall, 2005; Haryanto et al., 2019)","plainTextFormattedCitation":"(Aminuddin &amp; Attamimi, 2019; Aspinall, 2005; Haryanto et al., 2019)","previouslyFormattedCitation":"(Aminuddin &amp; Attamimi, 2019; Aspinall, 2005; Haryanto et al., 2019)"},"properties":{"noteIndex":0},"schema":"https://github.com/citation-style-language/schema/raw/master/csl-citation.json"}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(Aminuddin &amp; Attamimi, 2019; Aspinall, 2005; Haryanto et al., 2019)</w:t>
      </w:r>
      <w:r w:rsidRPr="00557D7F">
        <w:rPr>
          <w:rFonts w:ascii="Book Antiqua" w:hAnsi="Book Antiqua"/>
          <w:sz w:val="22"/>
          <w:szCs w:val="22"/>
        </w:rPr>
        <w:fldChar w:fldCharType="end"/>
      </w:r>
      <w:r w:rsidRPr="00557D7F">
        <w:rPr>
          <w:rFonts w:ascii="Book Antiqua" w:hAnsi="Book Antiqua"/>
          <w:sz w:val="22"/>
          <w:szCs w:val="22"/>
          <w:lang w:val="en-AU"/>
        </w:rPr>
        <w:t>, also play a role in forming conditions that support the emergence of democratic decline in Indonesia. Overall, these factors together reflect Indonesia's complex political and social dynamics that contribute to the emergence of the single-candidate phenomenon in the context of regional elections.</w:t>
      </w:r>
    </w:p>
    <w:p w14:paraId="73E36EA7" w14:textId="77777777" w:rsidR="00557D7F" w:rsidRPr="00557D7F" w:rsidRDefault="00557D7F" w:rsidP="00557D7F">
      <w:pPr>
        <w:pStyle w:val="BodyText"/>
        <w:ind w:firstLine="567"/>
        <w:rPr>
          <w:rFonts w:ascii="Book Antiqua" w:hAnsi="Book Antiqua"/>
          <w:sz w:val="22"/>
          <w:szCs w:val="22"/>
        </w:rPr>
      </w:pPr>
      <w:r w:rsidRPr="00557D7F">
        <w:rPr>
          <w:rFonts w:ascii="Book Antiqua" w:hAnsi="Book Antiqua"/>
          <w:sz w:val="22"/>
          <w:szCs w:val="22"/>
          <w:lang w:val="en-AU"/>
        </w:rPr>
        <w:t xml:space="preserve">Several issues can influence political dynamics at the local level. Although there have been political reform efforts undertaken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10.4108/eai.25-6-2019.2287975","author":[{"dropping-particle":"","family":"Mayangsari","given":"Dewi","non-dropping-particle":"","parse-names":false,"suffix":""},{"dropping-particle":"","family":"Permana","given":"Panji","non-dropping-particle":"","parse-names":false,"suffix":""}],"container-title":"1st International Symposium on Indonesian Politics","id":"ITEM-1","issued":{"date-parts":[["2019"]]},"title":"A Sole-Candidate Election Involving a Non-Incumbent: The Unusual 2018 Mayoral Election in Makassar, Indonesia","type":"paper-conference"},"uris":["http://www.mendeley.com/documents/?uuid=3c0c83f1-c986-43f2-a5f0-b8cfbf12ff17"]},{"id":"ITEM-2","itemData":{"DOI":"10.15294/ipsr.v6i2.31439","ISSN":"2477-8060","abstract":"This paper describes the development of local-level democracy in implementing the 2020 Regional Head Simultaneously related to a single candidate and dynastic politics. In this research, we found that the phenomenon of single candidates and political dynasties, which shows the climate of democracy at the local level, is increasingly unhealthy. Indonesia is experiencing democratic backsliding. Political dynasties and single candidates have, of course, hurt democracy. Regional Head is no longer an effective means of participation and competition as a condition for the running of democracy. Regional Head also did not produce elite circulation. On the other hand, the oligarchy is a node on a political dynasty and local bossism. The theoretical perspectives used in the research to explain single candidates and political dynasties are democracy, election, oligarchy, and local bossism.","author":[{"dropping-particle":"","family":"Romli","given":"Lili","non-dropping-particle":"","parse-names":false,"suffix":""},{"dropping-particle":"","family":"Efriza","given":"Efriza","non-dropping-particle":"","parse-names":false,"suffix":""}],"container-title":"Politik Indonesia: Indonesian Political Science Review","id":"ITEM-2","issue":"3","issued":{"date-parts":[["2021"]]},"page":"265-288","title":"Single candidate and the dynamics of 2020 Indonesian Simultaneous Election: A perspective on internal contestation","type":"article-journal","volume":"6"},"uris":["http://www.mendeley.com/documents/?uuid=6d6c4290-91da-410e-9699-381e608b5e2f"]}],"mendeley":{"formattedCitation":"(Mayangsari &amp; Permana, 2019; Romli &amp; Efriza, 2021)","plainTextFormattedCitation":"(Mayangsari &amp; Permana, 2019; Romli &amp; Efriza, 2021)","previouslyFormattedCitation":"(Mayangsari &amp; Permana, 2019; Romli &amp; Efriza, 2021)"},"properties":{"noteIndex":0},"schema":"https://github.com/citation-style-language/schema/raw/master/csl-citation.json"}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(Mayangsari &amp; Permana, 2019; Romli &amp; Efriza, 2021)</w:t>
      </w:r>
      <w:r w:rsidRPr="00557D7F">
        <w:rPr>
          <w:rFonts w:ascii="Book Antiqua" w:hAnsi="Book Antiqua"/>
          <w:sz w:val="22"/>
          <w:szCs w:val="22"/>
        </w:rPr>
        <w:fldChar w:fldCharType="end"/>
      </w:r>
      <w:r w:rsidRPr="00557D7F">
        <w:rPr>
          <w:rFonts w:ascii="Book Antiqua" w:hAnsi="Book Antiqua"/>
          <w:sz w:val="22"/>
          <w:szCs w:val="22"/>
          <w:lang w:val="en-AU"/>
        </w:rPr>
        <w:t xml:space="preserve">, the existence of factors such as the ineffectiveness of strong monitoring and law enforcement mechanisms, unequal access to political and economic resources, and community dependency towards power-based political practices, remains a potential driving factor for the emergence of a single candidate in the future. Additionally, weaknesses in the political party system, which tend to be non-transparent and </w:t>
      </w:r>
      <w:proofErr w:type="spellStart"/>
      <w:r w:rsidRPr="00557D7F">
        <w:rPr>
          <w:rFonts w:ascii="Book Antiqua" w:hAnsi="Book Antiqua"/>
          <w:sz w:val="22"/>
          <w:szCs w:val="22"/>
          <w:lang w:val="en-AU"/>
        </w:rPr>
        <w:t>centered</w:t>
      </w:r>
      <w:proofErr w:type="spellEnd"/>
      <w:r w:rsidRPr="00557D7F">
        <w:rPr>
          <w:rFonts w:ascii="Book Antiqua" w:hAnsi="Book Antiqua"/>
          <w:sz w:val="22"/>
          <w:szCs w:val="22"/>
          <w:lang w:val="en-AU"/>
        </w:rPr>
        <w:t xml:space="preserve"> on certain figures, can increase the chances of a single candidate emerging. Therefore, it is important to continue to strengthen democratic mechanisms, increase active community participation, and strengthen the integrity of supervisory institutions in order to prevent the potential emergence of a single candidate and maintain the continuity of a healthy and inclusive democratic process </w:t>
      </w:r>
      <w:r w:rsidRPr="00557D7F">
        <w:rPr>
          <w:rFonts w:ascii="Book Antiqua" w:hAnsi="Book Antiqua"/>
          <w:sz w:val="22"/>
          <w:szCs w:val="22"/>
          <w:lang w:val="en-AU"/>
        </w:rPr>
        <w:fldChar w:fldCharType="begin" w:fldLock="1"/>
      </w:r>
      <w:r w:rsidRPr="00557D7F">
        <w:rPr>
          <w:rFonts w:ascii="Book Antiqua" w:hAnsi="Book Antiqua"/>
          <w:sz w:val="22"/>
          <w:szCs w:val="22"/>
          <w:lang w:val="en-AU"/>
        </w:rPr>
        <w:instrText>ADDIN CSL_CITATION {"citationItems":[{"id":"ITEM-1","itemData":{"DOI":"10.15294/ipsr.v6i2.31439","ISSN":"2477-8060","abstract":"This paper describes the development of local-level democracy in implementing the 2020 Regional Head Simultaneously related to a single candidate and dynastic politics. In this research, we found that the phenomenon of single candidates and political dynasties, which shows the climate of democracy at the local level, is increasingly unhealthy. Indonesia is experiencing democratic backsliding. Political dynasties and single candidates have, of course, hurt democracy. Regional Head is no longer an effective means of participation and competition as a condition for the running of democracy. Regional Head also did not produce elite circulation. On the other hand, the oligarchy is a node on a political dynasty and local bossism. The theoretical perspectives used in the research to explain single candidates and political dynasties are democracy, election, oligarchy, and local bossism.","author":[{"dropping-particle":"","family":"Romli","given":"Lili","non-dropping-particle":"","parse-names":false,"suffix":""},{"dropping-particle":"","family":"Efriza","given":"Efriza","non-dropping-particle":"","parse-names":false,"suffix":""}],"container-title":"Politik Indonesia: Indonesian Political Science Review","id":"ITEM-1","issue":"3","issued":{"date-parts":[["2021"]]},"page":"265-288","title":"Single candidate and the dynamics of 2020 Indonesian Simultaneous Election: A perspective on internal contestation","type":"article-journal","volume":"6"},"uris":["http://www.mendeley.com/documents/?uuid=6d6c4290-91da-410e-9699-381e608b5e2f"]},{"id":"ITEM-2","itemData":{"abstract":"This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Tecnociencia","id":"ITEM-2","issue":"2","issued":{"date-parts":[["2021"]]},"page":"48-71","title":"Democracy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201","type":"article-journal","volume":"11"},"uris":["http://www.mendeley.com/documents/?uuid=2dd24246-b897-4775-8cfe-13e490017fca"]}],"mendeley":{"formattedCitation":"(Purwaningsih &amp; Widodo, 2021; Romli &amp; Efriza, 2021)","plainTextFormattedCitation":"(Purwaningsih &amp; Widodo, 2021; Romli &amp; Efriza, 2021)","previouslyFormattedCitation":"(Purwaningsih &amp; Widodo, 2021; Romli &amp; Efriza, 2021)"},"properties":{"noteIndex":0},"schema":"https://github.com/citation-style-language/schema/raw/master/csl-citation.json"}</w:instrText>
      </w:r>
      <w:r w:rsidRPr="00557D7F">
        <w:rPr>
          <w:rFonts w:ascii="Book Antiqua" w:hAnsi="Book Antiqua"/>
          <w:sz w:val="22"/>
          <w:szCs w:val="22"/>
          <w:lang w:val="en-AU"/>
        </w:rPr>
        <w:fldChar w:fldCharType="separate"/>
      </w:r>
      <w:r w:rsidRPr="00557D7F">
        <w:rPr>
          <w:rFonts w:ascii="Book Antiqua" w:hAnsi="Book Antiqua"/>
          <w:noProof/>
          <w:sz w:val="22"/>
          <w:szCs w:val="22"/>
          <w:lang w:val="en-AU"/>
        </w:rPr>
        <w:t>(Purwaningsih &amp; Widodo, 2021; Romli &amp; Efriza, 2021)</w:t>
      </w:r>
      <w:r w:rsidRPr="00557D7F">
        <w:rPr>
          <w:rFonts w:ascii="Book Antiqua" w:hAnsi="Book Antiqua"/>
          <w:sz w:val="22"/>
          <w:szCs w:val="22"/>
        </w:rPr>
        <w:fldChar w:fldCharType="end"/>
      </w:r>
    </w:p>
    <w:p w14:paraId="7718E9E9" w14:textId="77777777" w:rsidR="00557D7F" w:rsidRPr="00557D7F" w:rsidRDefault="00557D7F" w:rsidP="00557D7F">
      <w:pPr>
        <w:pStyle w:val="BodyText"/>
        <w:ind w:firstLine="567"/>
        <w:rPr>
          <w:rFonts w:ascii="Book Antiqua" w:hAnsi="Book Antiqua"/>
          <w:sz w:val="22"/>
          <w:szCs w:val="22"/>
          <w:lang w:val="en-AU"/>
        </w:rPr>
      </w:pPr>
      <w:r w:rsidRPr="00557D7F">
        <w:rPr>
          <w:rFonts w:ascii="Book Antiqua" w:hAnsi="Book Antiqua"/>
          <w:sz w:val="22"/>
          <w:szCs w:val="22"/>
          <w:lang w:val="en-AU"/>
        </w:rPr>
        <w:t>Regional head elections with a single candidate facing an empty box reflect weaknesses in the existing regional head election system. It highlights public dissatisfaction and anxiety regarding the ongoing political process. The high number of empty box votes obtained in several related regional elections indicates distrust and dissatisfaction with the quality and credibility of the single candidate presented. The significant number of empty box votes also reflects the public's unpreparedness to support a single candidate who may be deemed not to represent the aspirations and needs of society as a whole.</w:t>
      </w:r>
    </w:p>
    <w:p w14:paraId="11D28968" w14:textId="77777777" w:rsidR="00557D7F" w:rsidRDefault="00557D7F" w:rsidP="00557D7F">
      <w:pPr>
        <w:pStyle w:val="BodyText"/>
        <w:ind w:firstLine="567"/>
        <w:rPr>
          <w:rFonts w:ascii="Book Antiqua" w:hAnsi="Book Antiqua"/>
          <w:sz w:val="22"/>
          <w:szCs w:val="22"/>
          <w:lang w:val="en-AU"/>
        </w:rPr>
      </w:pPr>
      <w:r w:rsidRPr="00557D7F">
        <w:rPr>
          <w:rFonts w:ascii="Book Antiqua" w:hAnsi="Book Antiqua"/>
          <w:sz w:val="22"/>
          <w:szCs w:val="22"/>
          <w:lang w:val="en-AU"/>
        </w:rPr>
        <w:lastRenderedPageBreak/>
        <w:t xml:space="preserve">This underlines the need for improvements in the candidate selection process, increasing community participation in the candidate selection stage, and expanding mechanisms that ensure community involvement in political decision-making processes that are more representative and responsive to local needs. Apart from that, there needs to be consolidation between related institutions to ensure fairness and integrity in the election process and increase transparency to create more democratic and </w:t>
      </w:r>
      <w:proofErr w:type="gramStart"/>
      <w:r w:rsidRPr="00557D7F">
        <w:rPr>
          <w:rFonts w:ascii="Book Antiqua" w:hAnsi="Book Antiqua"/>
          <w:sz w:val="22"/>
          <w:szCs w:val="22"/>
          <w:lang w:val="en-AU"/>
        </w:rPr>
        <w:t>accountable</w:t>
      </w:r>
      <w:proofErr w:type="gramEnd"/>
      <w:r w:rsidRPr="00557D7F">
        <w:rPr>
          <w:rFonts w:ascii="Book Antiqua" w:hAnsi="Book Antiqua"/>
          <w:sz w:val="22"/>
          <w:szCs w:val="22"/>
          <w:lang w:val="en-AU"/>
        </w:rPr>
        <w:t xml:space="preserve"> regional head elections</w:t>
      </w:r>
    </w:p>
    <w:p w14:paraId="22646CE9" w14:textId="77777777" w:rsidR="0080570A" w:rsidRDefault="0080570A" w:rsidP="0080570A">
      <w:pPr>
        <w:pStyle w:val="BodyText"/>
        <w:ind w:firstLine="0"/>
        <w:rPr>
          <w:rFonts w:ascii="Book Antiqua" w:hAnsi="Book Antiqua"/>
          <w:sz w:val="22"/>
          <w:szCs w:val="22"/>
          <w:lang w:val="en-AU"/>
        </w:rPr>
      </w:pPr>
    </w:p>
    <w:p w14:paraId="01B2FD44" w14:textId="77777777" w:rsidR="0080570A" w:rsidRDefault="0080570A" w:rsidP="0080570A">
      <w:pPr>
        <w:pStyle w:val="BodyText"/>
        <w:ind w:firstLine="0"/>
        <w:rPr>
          <w:rFonts w:ascii="Book Antiqua" w:hAnsi="Book Antiqua"/>
          <w:sz w:val="22"/>
          <w:szCs w:val="22"/>
          <w:lang w:val="en-AU"/>
        </w:rPr>
      </w:pPr>
    </w:p>
    <w:p w14:paraId="4AAACC48" w14:textId="0497FE91" w:rsidR="0080570A" w:rsidRPr="0080570A" w:rsidRDefault="0080570A" w:rsidP="0080570A">
      <w:pPr>
        <w:pStyle w:val="BodyText"/>
        <w:ind w:firstLine="0"/>
        <w:rPr>
          <w:rFonts w:ascii="Book Antiqua" w:hAnsi="Book Antiqua"/>
          <w:b/>
          <w:sz w:val="22"/>
          <w:szCs w:val="22"/>
          <w:lang w:val="en-US"/>
        </w:rPr>
      </w:pPr>
      <w:r w:rsidRPr="0080570A">
        <w:rPr>
          <w:rFonts w:ascii="Book Antiqua" w:hAnsi="Book Antiqua"/>
          <w:b/>
          <w:sz w:val="22"/>
          <w:szCs w:val="22"/>
          <w:lang w:val="en-AU"/>
        </w:rPr>
        <w:t>Methods</w:t>
      </w:r>
    </w:p>
    <w:p w14:paraId="6860002F" w14:textId="77777777" w:rsidR="0080570A" w:rsidRPr="0080570A" w:rsidRDefault="0080570A" w:rsidP="0080570A">
      <w:pPr>
        <w:pStyle w:val="BodyText"/>
        <w:ind w:firstLine="567"/>
        <w:rPr>
          <w:rFonts w:ascii="Book Antiqua" w:hAnsi="Book Antiqua"/>
          <w:sz w:val="22"/>
          <w:szCs w:val="22"/>
          <w:lang w:val="en-AU"/>
        </w:rPr>
      </w:pPr>
      <w:r w:rsidRPr="0080570A">
        <w:rPr>
          <w:rFonts w:ascii="Book Antiqua" w:hAnsi="Book Antiqua"/>
          <w:sz w:val="22"/>
          <w:szCs w:val="22"/>
          <w:lang w:val="en-AU"/>
        </w:rPr>
        <w:t xml:space="preserve">There has been much research on single candidates and empty boxes. However, there are still few study results that specifically discuss the case in </w:t>
      </w:r>
      <w:proofErr w:type="spellStart"/>
      <w:r w:rsidRPr="0080570A">
        <w:rPr>
          <w:rFonts w:ascii="Book Antiqua" w:hAnsi="Book Antiqua"/>
          <w:sz w:val="22"/>
          <w:szCs w:val="22"/>
          <w:lang w:val="en-AU"/>
        </w:rPr>
        <w:t>Buton</w:t>
      </w:r>
      <w:proofErr w:type="spellEnd"/>
      <w:r w:rsidRPr="0080570A">
        <w:rPr>
          <w:rFonts w:ascii="Book Antiqua" w:hAnsi="Book Antiqua"/>
          <w:sz w:val="22"/>
          <w:szCs w:val="22"/>
          <w:lang w:val="en-AU"/>
        </w:rPr>
        <w:t xml:space="preserve">, especially assessing the political dynamics that are occurring, the chance of re-emerging contestation between single candidates and empty boxes, and efforts to minimize the potential for disputes in the future. Front. This study aims to fill the gap in academic literature regarding regional head elections with single candidates and empty boxes, focusing on the specific context of </w:t>
      </w:r>
      <w:proofErr w:type="spellStart"/>
      <w:r w:rsidRPr="0080570A">
        <w:rPr>
          <w:rFonts w:ascii="Book Antiqua" w:hAnsi="Book Antiqua"/>
          <w:sz w:val="22"/>
          <w:szCs w:val="22"/>
          <w:lang w:val="en-AU"/>
        </w:rPr>
        <w:t>Buton</w:t>
      </w:r>
      <w:proofErr w:type="spellEnd"/>
      <w:r w:rsidRPr="0080570A">
        <w:rPr>
          <w:rFonts w:ascii="Book Antiqua" w:hAnsi="Book Antiqua"/>
          <w:sz w:val="22"/>
          <w:szCs w:val="22"/>
          <w:lang w:val="en-AU"/>
        </w:rPr>
        <w:t xml:space="preserve"> Regency, Southeast Sulawesi. The implications of this research will make an important contribution to understanding political dynamics in the regions and provide a more holistic view of regional head elections. It is also hoped that the results of this research can become the basis for more effective policies in designing a more inclusive, transparent, and representative political system. The findings of this research can minimize the occurrence of contestation that gives rise to a single candidate and be the basis for improving the electoral system in the future.</w:t>
      </w:r>
    </w:p>
    <w:p w14:paraId="7BFA992E" w14:textId="77777777" w:rsidR="00557D7F" w:rsidRPr="0080570A" w:rsidRDefault="00557D7F" w:rsidP="00557D7F">
      <w:pPr>
        <w:pStyle w:val="BodyText"/>
        <w:ind w:firstLine="567"/>
        <w:rPr>
          <w:rFonts w:ascii="Book Antiqua" w:hAnsi="Book Antiqua"/>
          <w:sz w:val="22"/>
          <w:szCs w:val="22"/>
          <w:lang w:val="en-AU"/>
        </w:rPr>
      </w:pPr>
    </w:p>
    <w:p w14:paraId="78EFCE0D" w14:textId="77777777" w:rsidR="00557D7F" w:rsidRPr="0080570A" w:rsidRDefault="00557D7F" w:rsidP="00557D7F">
      <w:pPr>
        <w:pStyle w:val="BodyText"/>
        <w:ind w:firstLine="567"/>
        <w:rPr>
          <w:rFonts w:ascii="Book Antiqua" w:hAnsi="Book Antiqua"/>
          <w:color w:val="000000" w:themeColor="text1"/>
          <w:sz w:val="22"/>
          <w:szCs w:val="22"/>
          <w:lang w:val="en-AU"/>
        </w:rPr>
      </w:pPr>
    </w:p>
    <w:p w14:paraId="6517FC5A" w14:textId="04BA449E" w:rsidR="00916449" w:rsidRPr="0080570A" w:rsidRDefault="00916449" w:rsidP="0080570A">
      <w:pPr>
        <w:spacing w:after="0" w:line="276" w:lineRule="auto"/>
        <w:jc w:val="both"/>
        <w:rPr>
          <w:rFonts w:ascii="Book Antiqua" w:hAnsi="Book Antiqua"/>
          <w:b/>
        </w:rPr>
      </w:pPr>
    </w:p>
    <w:p w14:paraId="6D5B0708" w14:textId="77777777" w:rsidR="0080570A" w:rsidRPr="0080570A" w:rsidRDefault="0080570A" w:rsidP="0080570A">
      <w:pPr>
        <w:spacing w:after="0" w:line="276" w:lineRule="auto"/>
        <w:jc w:val="both"/>
        <w:rPr>
          <w:rFonts w:ascii="Book Antiqua" w:hAnsi="Book Antiqua"/>
          <w:b/>
        </w:rPr>
      </w:pPr>
    </w:p>
    <w:p w14:paraId="5829B26B" w14:textId="77777777" w:rsidR="0080570A" w:rsidRPr="0080570A" w:rsidRDefault="0080570A" w:rsidP="0080570A">
      <w:pPr>
        <w:spacing w:after="0" w:line="276" w:lineRule="auto"/>
        <w:jc w:val="both"/>
        <w:rPr>
          <w:rFonts w:ascii="Book Antiqua" w:hAnsi="Book Antiqua"/>
          <w:b/>
        </w:rPr>
      </w:pPr>
    </w:p>
    <w:p w14:paraId="06E29880" w14:textId="77777777" w:rsidR="0080570A" w:rsidRPr="0080570A" w:rsidRDefault="0080570A" w:rsidP="0080570A">
      <w:pPr>
        <w:pStyle w:val="BodyText"/>
        <w:ind w:firstLine="567"/>
        <w:rPr>
          <w:rFonts w:ascii="Book Antiqua" w:hAnsi="Book Antiqua"/>
          <w:sz w:val="22"/>
          <w:szCs w:val="22"/>
          <w:lang w:val="en-US"/>
        </w:rPr>
      </w:pPr>
      <w:r w:rsidRPr="0080570A">
        <w:rPr>
          <w:rFonts w:ascii="Book Antiqua" w:hAnsi="Book Antiqua"/>
          <w:sz w:val="22"/>
          <w:szCs w:val="22"/>
          <w:lang w:val="en-US"/>
        </w:rPr>
        <w:t xml:space="preserve">This research uses a descriptive qualitative approach to collect data from key informants and supporters in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Southeast Sulawesi. Key informants comprised members of the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General Election Commission (KPU), the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Election Supervisory Agency (</w:t>
      </w:r>
      <w:proofErr w:type="spellStart"/>
      <w:r w:rsidRPr="0080570A">
        <w:rPr>
          <w:rFonts w:ascii="Book Antiqua" w:hAnsi="Book Antiqua"/>
          <w:sz w:val="22"/>
          <w:szCs w:val="22"/>
          <w:lang w:val="en-US"/>
        </w:rPr>
        <w:t>Bawaslu</w:t>
      </w:r>
      <w:proofErr w:type="spellEnd"/>
      <w:r w:rsidRPr="0080570A">
        <w:rPr>
          <w:rFonts w:ascii="Book Antiqua" w:hAnsi="Book Antiqua"/>
          <w:sz w:val="22"/>
          <w:szCs w:val="22"/>
          <w:lang w:val="en-US"/>
        </w:rPr>
        <w:t xml:space="preserve">), and heads of local political parties. Meanwhile, supporting informants consisted of mandatory voters who participated in the 2017 regional elections in seven sub-districts in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Data was collected through observation techniques, in-depth interviews, literature studies, document analysis, and observation with the support of recording equipment. The data was then analyzed using qualitative techniques, including data reduction, presentation, and conclusion. </w:t>
      </w:r>
      <w:proofErr w:type="spellStart"/>
      <w:r w:rsidRPr="0080570A">
        <w:rPr>
          <w:rFonts w:ascii="Book Antiqua" w:hAnsi="Book Antiqua"/>
          <w:sz w:val="22"/>
          <w:szCs w:val="22"/>
          <w:lang w:val="en-US"/>
        </w:rPr>
        <w:t>Nvivo</w:t>
      </w:r>
      <w:proofErr w:type="spellEnd"/>
      <w:r w:rsidRPr="0080570A">
        <w:rPr>
          <w:rFonts w:ascii="Book Antiqua" w:hAnsi="Book Antiqua"/>
          <w:sz w:val="22"/>
          <w:szCs w:val="22"/>
          <w:lang w:val="en-US"/>
        </w:rPr>
        <w:t xml:space="preserve"> 12 Plus software facilitates comprehensive data analysis, allowing researchers to explore and organize data efficiently. The research results will provide a deeper understanding of the factors that influenced the emergence of a single candidate in the previous regional elections and the opportunity for a similar phenomenon to reappear in the 2024 simultaneous regional head elections in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w:t>
      </w:r>
    </w:p>
    <w:p w14:paraId="3E0113FB" w14:textId="77777777" w:rsidR="0080570A" w:rsidRPr="0080570A" w:rsidRDefault="0080570A" w:rsidP="0080570A">
      <w:pPr>
        <w:pStyle w:val="BodyText"/>
        <w:ind w:firstLine="567"/>
        <w:rPr>
          <w:rFonts w:ascii="Book Antiqua" w:hAnsi="Book Antiqua"/>
          <w:sz w:val="22"/>
          <w:szCs w:val="22"/>
          <w:lang w:val="en-US"/>
        </w:rPr>
      </w:pPr>
      <w:r w:rsidRPr="0080570A">
        <w:rPr>
          <w:rFonts w:ascii="Book Antiqua" w:hAnsi="Book Antiqua"/>
          <w:sz w:val="22"/>
          <w:szCs w:val="22"/>
          <w:lang w:val="en-US"/>
        </w:rPr>
        <w:t xml:space="preserve">Research validity is an important parameter that ensures the reliability and validity of research results. In the context of this research, the validity of the research is guaranteed through several approaches. First, content validity is obtained by </w:t>
      </w:r>
      <w:r w:rsidRPr="0080570A">
        <w:rPr>
          <w:rFonts w:ascii="Book Antiqua" w:hAnsi="Book Antiqua"/>
          <w:sz w:val="22"/>
          <w:szCs w:val="22"/>
          <w:lang w:val="en-US"/>
        </w:rPr>
        <w:lastRenderedPageBreak/>
        <w:t xml:space="preserve">selecting diverse and representative informants, including members of the KPU, </w:t>
      </w:r>
      <w:proofErr w:type="spellStart"/>
      <w:r w:rsidRPr="0080570A">
        <w:rPr>
          <w:rFonts w:ascii="Book Antiqua" w:hAnsi="Book Antiqua"/>
          <w:sz w:val="22"/>
          <w:szCs w:val="22"/>
          <w:lang w:val="en-US"/>
        </w:rPr>
        <w:t>Bawaslu</w:t>
      </w:r>
      <w:proofErr w:type="spellEnd"/>
      <w:r w:rsidRPr="0080570A">
        <w:rPr>
          <w:rFonts w:ascii="Book Antiqua" w:hAnsi="Book Antiqua"/>
          <w:sz w:val="22"/>
          <w:szCs w:val="22"/>
          <w:lang w:val="en-US"/>
        </w:rPr>
        <w:t xml:space="preserve">, and representatives of political parties. It must be selected from various sub-districts in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 This ensures that the data obtained reflects a variety of relevant points of view regarding the phenomenon under study. Second, construct validity was ensured through in-depth interview techniques and structured engaged observation, thereby enabling the researcher to understand the informants' views and experiences holistically. Third, internal validity was maintained using </w:t>
      </w:r>
      <w:proofErr w:type="spellStart"/>
      <w:r w:rsidRPr="0080570A">
        <w:rPr>
          <w:rFonts w:ascii="Book Antiqua" w:hAnsi="Book Antiqua"/>
          <w:sz w:val="22"/>
          <w:szCs w:val="22"/>
          <w:lang w:val="en-US"/>
        </w:rPr>
        <w:t>Nvivo</w:t>
      </w:r>
      <w:proofErr w:type="spellEnd"/>
      <w:r w:rsidRPr="0080570A">
        <w:rPr>
          <w:rFonts w:ascii="Book Antiqua" w:hAnsi="Book Antiqua"/>
          <w:sz w:val="22"/>
          <w:szCs w:val="22"/>
          <w:lang w:val="en-US"/>
        </w:rPr>
        <w:t xml:space="preserve"> 12 Plus software to systematically analyze the data, minimize researcher bias, and ensure the validity of the interpretation of the results. Finally, external validity is strengthened through detailed descriptions of research methods, making it possible for this research to be replicated by other researchers in similar locations or contexts. By paying attention to these factors, the research is expected to have strong validity to significantly contribute to a deeper understanding of local political phenomena in the </w:t>
      </w:r>
      <w:proofErr w:type="spellStart"/>
      <w:r w:rsidRPr="0080570A">
        <w:rPr>
          <w:rFonts w:ascii="Book Antiqua" w:hAnsi="Book Antiqua"/>
          <w:sz w:val="22"/>
          <w:szCs w:val="22"/>
          <w:lang w:val="en-US"/>
        </w:rPr>
        <w:t>Buton</w:t>
      </w:r>
      <w:proofErr w:type="spellEnd"/>
      <w:r w:rsidRPr="0080570A">
        <w:rPr>
          <w:rFonts w:ascii="Book Antiqua" w:hAnsi="Book Antiqua"/>
          <w:sz w:val="22"/>
          <w:szCs w:val="22"/>
          <w:lang w:val="en-US"/>
        </w:rPr>
        <w:t xml:space="preserve"> Regency.</w:t>
      </w:r>
    </w:p>
    <w:p w14:paraId="52AE9E18" w14:textId="77777777" w:rsidR="0080570A" w:rsidRDefault="0080570A" w:rsidP="0080570A">
      <w:pPr>
        <w:spacing w:after="0" w:line="276" w:lineRule="auto"/>
        <w:jc w:val="both"/>
        <w:rPr>
          <w:rFonts w:ascii="Book Antiqua" w:hAnsi="Book Antiqua"/>
          <w:b/>
          <w:szCs w:val="20"/>
        </w:rPr>
      </w:pPr>
    </w:p>
    <w:p w14:paraId="65489009" w14:textId="77777777" w:rsidR="0080570A" w:rsidRDefault="0080570A" w:rsidP="0080570A">
      <w:pPr>
        <w:spacing w:after="0" w:line="276" w:lineRule="auto"/>
        <w:jc w:val="both"/>
        <w:rPr>
          <w:rFonts w:ascii="Book Antiqua" w:hAnsi="Book Antiqua"/>
          <w:b/>
          <w:szCs w:val="20"/>
        </w:rPr>
      </w:pPr>
    </w:p>
    <w:p w14:paraId="2BCA89B4" w14:textId="77777777" w:rsidR="0080570A" w:rsidRDefault="0080570A" w:rsidP="0080570A">
      <w:pPr>
        <w:spacing w:after="0" w:line="276" w:lineRule="auto"/>
        <w:jc w:val="both"/>
        <w:rPr>
          <w:rFonts w:ascii="Book Antiqua" w:hAnsi="Book Antiqua"/>
          <w:b/>
          <w:szCs w:val="20"/>
        </w:rPr>
      </w:pPr>
    </w:p>
    <w:p w14:paraId="14118F77" w14:textId="728B5AB4" w:rsidR="0080570A" w:rsidRDefault="0080570A" w:rsidP="0080570A">
      <w:pPr>
        <w:spacing w:after="0" w:line="276" w:lineRule="auto"/>
        <w:jc w:val="both"/>
        <w:rPr>
          <w:rFonts w:ascii="Book Antiqua" w:hAnsi="Book Antiqua"/>
          <w:b/>
          <w:szCs w:val="20"/>
        </w:rPr>
      </w:pPr>
      <w:r>
        <w:rPr>
          <w:rFonts w:ascii="Book Antiqua" w:hAnsi="Book Antiqua"/>
          <w:b/>
          <w:szCs w:val="20"/>
        </w:rPr>
        <w:t>RESULT AND DISCUSION</w:t>
      </w:r>
    </w:p>
    <w:p w14:paraId="1F238E43" w14:textId="77777777" w:rsidR="0080570A" w:rsidRPr="0080570A" w:rsidRDefault="0080570A" w:rsidP="0080570A">
      <w:pPr>
        <w:pStyle w:val="IEEEParagraph"/>
        <w:ind w:firstLine="0"/>
        <w:rPr>
          <w:rFonts w:ascii="Book Antiqua" w:hAnsi="Book Antiqua"/>
          <w:b/>
          <w:spacing w:val="-1"/>
          <w:sz w:val="22"/>
          <w:szCs w:val="22"/>
          <w:lang w:eastAsia="x-none"/>
        </w:rPr>
      </w:pPr>
      <w:r w:rsidRPr="0080570A">
        <w:rPr>
          <w:rFonts w:ascii="Book Antiqua" w:hAnsi="Book Antiqua"/>
          <w:b/>
          <w:spacing w:val="-1"/>
          <w:sz w:val="22"/>
          <w:szCs w:val="22"/>
          <w:lang w:eastAsia="x-none"/>
        </w:rPr>
        <w:t xml:space="preserve">Mapping Factors in the Emergence of a Single Candidate in the </w:t>
      </w:r>
      <w:proofErr w:type="spellStart"/>
      <w:r w:rsidRPr="0080570A">
        <w:rPr>
          <w:rFonts w:ascii="Book Antiqua" w:hAnsi="Book Antiqua"/>
          <w:b/>
          <w:spacing w:val="-1"/>
          <w:sz w:val="22"/>
          <w:szCs w:val="22"/>
          <w:lang w:eastAsia="x-none"/>
        </w:rPr>
        <w:t>Buton</w:t>
      </w:r>
      <w:proofErr w:type="spellEnd"/>
      <w:r w:rsidRPr="0080570A">
        <w:rPr>
          <w:rFonts w:ascii="Book Antiqua" w:hAnsi="Book Antiqua"/>
          <w:b/>
          <w:spacing w:val="-1"/>
          <w:sz w:val="22"/>
          <w:szCs w:val="22"/>
          <w:lang w:eastAsia="x-none"/>
        </w:rPr>
        <w:t xml:space="preserve"> Regional Election</w:t>
      </w:r>
    </w:p>
    <w:p w14:paraId="32156ECA" w14:textId="77777777" w:rsidR="0080570A" w:rsidRPr="0080570A" w:rsidRDefault="0080570A" w:rsidP="0080570A">
      <w:pPr>
        <w:spacing w:line="360" w:lineRule="auto"/>
        <w:jc w:val="both"/>
        <w:rPr>
          <w:rFonts w:ascii="Book Antiqua" w:hAnsi="Book Antiqua"/>
          <w:spacing w:val="-1"/>
          <w:lang w:eastAsia="x-none"/>
        </w:rPr>
      </w:pPr>
      <w:r w:rsidRPr="0080570A">
        <w:rPr>
          <w:rFonts w:ascii="Book Antiqua" w:hAnsi="Book Antiqua"/>
          <w:spacing w:val="-1"/>
          <w:lang w:eastAsia="x-none"/>
        </w:rPr>
        <w:t>Regional Head Elections (</w:t>
      </w:r>
      <w:proofErr w:type="spellStart"/>
      <w:r w:rsidRPr="0080570A">
        <w:rPr>
          <w:rFonts w:ascii="Book Antiqua" w:hAnsi="Book Antiqua"/>
          <w:spacing w:val="-1"/>
          <w:lang w:eastAsia="x-none"/>
        </w:rPr>
        <w:t>Pilkada</w:t>
      </w:r>
      <w:proofErr w:type="spellEnd"/>
      <w:r w:rsidRPr="0080570A">
        <w:rPr>
          <w:rFonts w:ascii="Book Antiqua" w:hAnsi="Book Antiqua"/>
          <w:spacing w:val="-1"/>
          <w:lang w:eastAsia="x-none"/>
        </w:rPr>
        <w:t xml:space="preserve">) in Indonesia, as a manifestation of democracy at the local level, often reflect complex political dynamics </w:t>
      </w:r>
      <w:r w:rsidRPr="0080570A">
        <w:rPr>
          <w:rFonts w:ascii="Book Antiqua" w:hAnsi="Book Antiqua"/>
          <w:spacing w:val="-1"/>
          <w:lang w:eastAsia="x-none"/>
        </w:rPr>
        <w:fldChar w:fldCharType="begin" w:fldLock="1"/>
      </w:r>
      <w:r w:rsidRPr="0080570A">
        <w:rPr>
          <w:rFonts w:ascii="Book Antiqua" w:hAnsi="Book Antiqua"/>
          <w:spacing w:val="-1"/>
          <w:lang w:eastAsia="x-none"/>
        </w:rPr>
        <w:instrText>ADDIN CSL_CITATION {"citationItems":[{"id":"ITEM-1","itemData":{"DOI":"10.1080/03003930.2019.1627334","ISSN":"17439388","abstract":"What determines the election of mayors? The extent to which pre-electoral coalitions (PECs) influence mayoral election outcomes has not yet been subject to empirical analysis, despite the question’s fundamental theoretical and practical relevance. This note uses regression discontinuity methods to identify the causal effects of PECs on mayoral election results in Indonesia. The study finds that candidates backed by PECs comprising political parties that control council seat shares exceeding first-round mayoral electoral vote thresholds are 14–18 percentage points more likely to win those elections than their counterparts supported by smaller-sized PECs. The analysis determines that PECs are especially helpful in getting non-incumbent candidates elected, although they have no apparent impact on incumbents’ electoral success. PECs can assist candidates in gaining office, therefore, but they are established under corrupt conditions. Ultimately, governance issues surrounding the formation and functioning of PECs impose significant constraints on the development of local democracy in Indonesia.","author":[{"dropping-particle":"","family":"Lewis","given":"Blane D.","non-dropping-particle":"","parse-names":false,"suffix":""}],"container-title":"Local Government Studies","id":"ITEM-1","issue":"3","issued":{"date-parts":[["2020"]]},"page":"394-413","publisher":"Routledge","title":"How do mayors get elected? The causal effects of pre-electoral coalitions on mayoral election outcomes in Indonesia","type":"article-journal","volume":"46"},"uris":["http://www.mendeley.com/documents/?uuid=64d98519-7a1b-4247-af5d-8ac0bd50dc8a"]},{"id":"ITEM-2","itemData":{"DOI":"10.1177/18681034211036716","ISSN":"18684882","abstract":"Utilising Pitkin’s concept of representation, this article surveys the landscape of Chinese Indonesian political representation since the advent of regional elections in 1999. Analyses of the dataset of individual profiles of Chinese Indonesian executives, as they adopt inclusive-pairing tactics by taking on deputised roles or appeal using charisma, had demonstrated that there was a visible transition from “descriptive” towards more “substantive” forms of political representation in various constituencies – seen as the most important dimension of ideal representation despite the presence of soft ethnic politics. Recent appeals to indigenism (pribumi-ism), especially in the wake of Jakarta governor Ahok’s failed re-election bid in 2017, had the effect of confining representational politics towards the narrow margins of ethnicity above all else. This article looks at the precarity of thedivide between pribumis and Chinese Indonesians (Tionghoa) from the perspective of political representation at the regions and fills in the lacuna of political representativeness in post-reform Indonesia – overlooked so far by critiques of democracy.","author":[{"dropping-particle":"","family":"Chen","given":"Jonathan","non-dropping-particle":"","parse-names":false,"suffix":""}],"container-title":"Journal of Current Southeast Asian Affairs","id":"ITEM-2","issue":"1","issued":{"date-parts":[["2022"]]},"page":"59-87","title":"Representing Chinese Indonesians: Pribumi Discourse and Regional Elections in Post-Reform Indonesia","type":"article-journal","volume":"41"},"uris":["http://www.mendeley.com/documents/?uuid=e5a4f0b6-0047-45e3-9faf-2d301e111aad"]}],"mendeley":{"formattedCitation":"(Chen, 2022; Lewis, 2020)","plainTextFormattedCitation":"(Chen, 2022; Lewis, 2020)","previouslyFormattedCitation":"(Chen, 2022; Lewis, 2020)"},"properties":{"noteIndex":0},"schema":"https://github.com/citation-style-language/schema/raw/master/csl-citation.json"}</w:instrText>
      </w:r>
      <w:r w:rsidRPr="0080570A">
        <w:rPr>
          <w:rFonts w:ascii="Book Antiqua" w:hAnsi="Book Antiqua"/>
          <w:spacing w:val="-1"/>
          <w:lang w:eastAsia="x-none"/>
        </w:rPr>
        <w:fldChar w:fldCharType="separate"/>
      </w:r>
      <w:r w:rsidRPr="0080570A">
        <w:rPr>
          <w:rFonts w:ascii="Book Antiqua" w:hAnsi="Book Antiqua"/>
          <w:noProof/>
          <w:spacing w:val="-1"/>
          <w:lang w:eastAsia="x-none"/>
        </w:rPr>
        <w:t>(Chen, 2022; Lewis, 2020)</w:t>
      </w:r>
      <w:r w:rsidRPr="0080570A">
        <w:rPr>
          <w:rFonts w:ascii="Book Antiqua" w:hAnsi="Book Antiqua"/>
          <w:spacing w:val="-1"/>
          <w:lang w:eastAsia="x-none"/>
        </w:rPr>
        <w:fldChar w:fldCharType="end"/>
      </w:r>
      <w:r w:rsidRPr="0080570A">
        <w:rPr>
          <w:rFonts w:ascii="Book Antiqua" w:hAnsi="Book Antiqua"/>
          <w:spacing w:val="-1"/>
          <w:lang w:eastAsia="x-none"/>
        </w:rPr>
        <w:t xml:space="preserve">. The emergence of a single candidate in regional elections, as happened in </w:t>
      </w:r>
      <w:proofErr w:type="spellStart"/>
      <w:r w:rsidRPr="0080570A">
        <w:rPr>
          <w:rFonts w:ascii="Book Antiqua" w:hAnsi="Book Antiqua"/>
          <w:spacing w:val="-1"/>
          <w:lang w:eastAsia="x-none"/>
        </w:rPr>
        <w:t>Buton</w:t>
      </w:r>
      <w:proofErr w:type="spellEnd"/>
      <w:r w:rsidRPr="0080570A">
        <w:rPr>
          <w:rFonts w:ascii="Book Antiqua" w:hAnsi="Book Antiqua"/>
          <w:spacing w:val="-1"/>
          <w:lang w:eastAsia="x-none"/>
        </w:rPr>
        <w:t xml:space="preserve"> Regency, Southeast Sulawesi, has become a major highlight in recent political studies. An in-depth understanding of the factors that influence the emergence of a single candidate in the </w:t>
      </w:r>
      <w:proofErr w:type="spellStart"/>
      <w:r w:rsidRPr="0080570A">
        <w:rPr>
          <w:rFonts w:ascii="Book Antiqua" w:hAnsi="Book Antiqua"/>
          <w:spacing w:val="-1"/>
          <w:lang w:eastAsia="x-none"/>
        </w:rPr>
        <w:t>Buton</w:t>
      </w:r>
      <w:proofErr w:type="spellEnd"/>
      <w:r w:rsidRPr="0080570A">
        <w:rPr>
          <w:rFonts w:ascii="Book Antiqua" w:hAnsi="Book Antiqua"/>
          <w:spacing w:val="-1"/>
          <w:lang w:eastAsia="x-none"/>
        </w:rPr>
        <w:t xml:space="preserve"> Regional Election is very important in interpreting the local political realities surrounding the democratic process in this area. By identifying and analyzing the root causes that drive this phenomenon, we can learn more about the political dynamics in this area and gain richer insight into the political, social, and historical issues that influence political processes at the local level.</w:t>
      </w:r>
    </w:p>
    <w:p w14:paraId="7B481C09"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The depth and complexity of the nomination process in </w:t>
      </w:r>
      <w:proofErr w:type="spellStart"/>
      <w:r w:rsidRPr="0080570A">
        <w:rPr>
          <w:rFonts w:ascii="Book Antiqua" w:hAnsi="Book Antiqua"/>
          <w:spacing w:val="-1"/>
          <w:sz w:val="22"/>
          <w:szCs w:val="22"/>
          <w:lang w:eastAsia="x-none"/>
        </w:rPr>
        <w:t>Buton</w:t>
      </w:r>
      <w:proofErr w:type="spellEnd"/>
      <w:r w:rsidRPr="0080570A">
        <w:rPr>
          <w:rFonts w:ascii="Book Antiqua" w:hAnsi="Book Antiqua"/>
          <w:spacing w:val="-1"/>
          <w:sz w:val="22"/>
          <w:szCs w:val="22"/>
          <w:lang w:eastAsia="x-none"/>
        </w:rPr>
        <w:t xml:space="preserve"> Regency in the 2017 </w:t>
      </w:r>
      <w:proofErr w:type="spellStart"/>
      <w:r w:rsidRPr="0080570A">
        <w:rPr>
          <w:rFonts w:ascii="Book Antiqua" w:hAnsi="Book Antiqua"/>
          <w:spacing w:val="-1"/>
          <w:sz w:val="22"/>
          <w:szCs w:val="22"/>
          <w:lang w:eastAsia="x-none"/>
        </w:rPr>
        <w:t>Pilkada</w:t>
      </w:r>
      <w:proofErr w:type="spellEnd"/>
      <w:r w:rsidRPr="0080570A">
        <w:rPr>
          <w:rFonts w:ascii="Book Antiqua" w:hAnsi="Book Antiqua"/>
          <w:spacing w:val="-1"/>
          <w:sz w:val="22"/>
          <w:szCs w:val="22"/>
          <w:lang w:eastAsia="x-none"/>
        </w:rPr>
        <w:t xml:space="preserve"> is illustrated through the two paths taken by prospective pairs of candidates, namely the individual path and the political party path. In the individual route, obstacles arise related to the threshold of support requirements, which are difficult for prospective candidate pairs to </w:t>
      </w:r>
      <w:proofErr w:type="spellStart"/>
      <w:r w:rsidRPr="0080570A">
        <w:rPr>
          <w:rFonts w:ascii="Book Antiqua" w:hAnsi="Book Antiqua"/>
          <w:spacing w:val="-1"/>
          <w:sz w:val="22"/>
          <w:szCs w:val="22"/>
          <w:lang w:eastAsia="x-none"/>
        </w:rPr>
        <w:t>fulfill</w:t>
      </w:r>
      <w:proofErr w:type="spellEnd"/>
      <w:r w:rsidRPr="0080570A">
        <w:rPr>
          <w:rFonts w:ascii="Book Antiqua" w:hAnsi="Book Antiqua"/>
          <w:spacing w:val="-1"/>
          <w:sz w:val="22"/>
          <w:szCs w:val="22"/>
          <w:lang w:eastAsia="x-none"/>
        </w:rPr>
        <w:t xml:space="preserve">, and challenges in penetrating various sub-districts in </w:t>
      </w:r>
      <w:proofErr w:type="spellStart"/>
      <w:r w:rsidRPr="0080570A">
        <w:rPr>
          <w:rFonts w:ascii="Book Antiqua" w:hAnsi="Book Antiqua"/>
          <w:spacing w:val="-1"/>
          <w:sz w:val="22"/>
          <w:szCs w:val="22"/>
          <w:lang w:eastAsia="x-none"/>
        </w:rPr>
        <w:t>Buton</w:t>
      </w:r>
      <w:proofErr w:type="spellEnd"/>
      <w:r w:rsidRPr="0080570A">
        <w:rPr>
          <w:rFonts w:ascii="Book Antiqua" w:hAnsi="Book Antiqua"/>
          <w:spacing w:val="-1"/>
          <w:sz w:val="22"/>
          <w:szCs w:val="22"/>
          <w:lang w:eastAsia="x-none"/>
        </w:rPr>
        <w:t xml:space="preserve"> Regency. Meanwhile, on the political party line, problems arise regarding the administrative requirements that must be fulfilled, including the signatures of the general chairman and general secretary of the party, which must comply with the stipulated provisions. In this context, complex requirements and internal political party conflicts at the central level are crucial </w:t>
      </w:r>
      <w:r w:rsidRPr="0080570A">
        <w:rPr>
          <w:rFonts w:ascii="Book Antiqua" w:hAnsi="Book Antiqua"/>
          <w:spacing w:val="-1"/>
          <w:sz w:val="22"/>
          <w:szCs w:val="22"/>
          <w:lang w:eastAsia="x-none"/>
        </w:rPr>
        <w:lastRenderedPageBreak/>
        <w:t>factors that hinder the smooth running of the nomination process. Overall, the challenges in meeting the nomination requirements for both routes illustrate the inherent complexity of the democratic process at the local level, demanding further improvements to strengthen integrity and accessibility for candidates from various backgrounds.</w:t>
      </w:r>
    </w:p>
    <w:p w14:paraId="1868919D"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This study succeeded in mapping several determinant factors that influenced the emergence of a single candidate in the </w:t>
      </w:r>
      <w:proofErr w:type="spellStart"/>
      <w:r w:rsidRPr="0080570A">
        <w:rPr>
          <w:rFonts w:ascii="Book Antiqua" w:hAnsi="Book Antiqua"/>
          <w:spacing w:val="-1"/>
          <w:sz w:val="22"/>
          <w:szCs w:val="22"/>
          <w:lang w:eastAsia="x-none"/>
        </w:rPr>
        <w:t>Buton</w:t>
      </w:r>
      <w:proofErr w:type="spellEnd"/>
      <w:r w:rsidRPr="0080570A">
        <w:rPr>
          <w:rFonts w:ascii="Book Antiqua" w:hAnsi="Book Antiqua"/>
          <w:spacing w:val="-1"/>
          <w:sz w:val="22"/>
          <w:szCs w:val="22"/>
          <w:lang w:eastAsia="x-none"/>
        </w:rPr>
        <w:t xml:space="preserve"> Regional Election. Some of these factors are mapped as follows:</w:t>
      </w:r>
    </w:p>
    <w:p w14:paraId="7EA6EFC0" w14:textId="77777777" w:rsidR="0080570A" w:rsidRPr="0080570A" w:rsidRDefault="0080570A" w:rsidP="0080570A">
      <w:pPr>
        <w:pStyle w:val="IEEEParagraph"/>
        <w:ind w:firstLine="567"/>
        <w:rPr>
          <w:rFonts w:ascii="Book Antiqua" w:hAnsi="Book Antiqua"/>
          <w:spacing w:val="-1"/>
          <w:sz w:val="22"/>
          <w:szCs w:val="22"/>
          <w:lang w:eastAsia="x-none"/>
        </w:rPr>
      </w:pPr>
    </w:p>
    <w:p w14:paraId="0ED0C25B" w14:textId="79BCE31D" w:rsidR="00916449" w:rsidRDefault="00916449" w:rsidP="00916449">
      <w:pPr>
        <w:spacing w:after="0" w:line="276" w:lineRule="auto"/>
        <w:ind w:firstLine="851"/>
        <w:jc w:val="both"/>
        <w:rPr>
          <w:rFonts w:ascii="Book Antiqua" w:hAnsi="Book Antiqua"/>
          <w:b/>
          <w:szCs w:val="20"/>
        </w:rPr>
      </w:pPr>
    </w:p>
    <w:p w14:paraId="19E2B0CC" w14:textId="77777777" w:rsidR="0080570A" w:rsidRDefault="0080570A" w:rsidP="0080570A">
      <w:pPr>
        <w:pStyle w:val="IEEEParagraph"/>
        <w:ind w:firstLine="0"/>
        <w:jc w:val="center"/>
        <w:rPr>
          <w:rFonts w:ascii="Candara" w:hAnsi="Candara"/>
          <w:spacing w:val="-1"/>
          <w:sz w:val="22"/>
          <w:szCs w:val="22"/>
          <w:lang w:eastAsia="x-none"/>
        </w:rPr>
      </w:pPr>
      <w:r>
        <w:rPr>
          <w:noProof/>
          <w:lang w:val="en-US" w:eastAsia="en-US"/>
        </w:rPr>
        <w:drawing>
          <wp:inline distT="0" distB="0" distL="0" distR="0" wp14:anchorId="43C7787D" wp14:editId="7B126657">
            <wp:extent cx="4871357" cy="2012191"/>
            <wp:effectExtent l="0" t="0" r="5715" b="7620"/>
            <wp:docPr id="2" name="Picture 2" descr="C:\Users\ACER\Downloads\hfghdsv.jpg"/>
            <wp:cNvGraphicFramePr/>
            <a:graphic xmlns:a="http://schemas.openxmlformats.org/drawingml/2006/main">
              <a:graphicData uri="http://schemas.openxmlformats.org/drawingml/2006/picture">
                <pic:pic xmlns:pic="http://schemas.openxmlformats.org/drawingml/2006/picture">
                  <pic:nvPicPr>
                    <pic:cNvPr id="5" name="Picture 5" descr="C:\Users\ACER\Downloads\hfghdsv.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120" cy="2011680"/>
                    </a:xfrm>
                    <a:prstGeom prst="rect">
                      <a:avLst/>
                    </a:prstGeom>
                    <a:noFill/>
                    <a:ln>
                      <a:noFill/>
                    </a:ln>
                  </pic:spPr>
                </pic:pic>
              </a:graphicData>
            </a:graphic>
          </wp:inline>
        </w:drawing>
      </w:r>
    </w:p>
    <w:p w14:paraId="67BA4DFF" w14:textId="77777777" w:rsidR="0080570A" w:rsidRDefault="0080570A" w:rsidP="0080570A">
      <w:pPr>
        <w:pStyle w:val="IEEEParagraph"/>
        <w:ind w:firstLine="0"/>
        <w:jc w:val="center"/>
        <w:rPr>
          <w:rFonts w:ascii="Candara" w:hAnsi="Candara"/>
          <w:spacing w:val="-1"/>
          <w:sz w:val="22"/>
          <w:szCs w:val="22"/>
          <w:lang w:eastAsia="x-none"/>
        </w:rPr>
      </w:pPr>
    </w:p>
    <w:p w14:paraId="72B79677" w14:textId="28A547A5" w:rsidR="0080570A" w:rsidRPr="0080570A" w:rsidRDefault="0080570A" w:rsidP="0080570A">
      <w:pPr>
        <w:pStyle w:val="IEEEParagraph"/>
        <w:ind w:firstLine="0"/>
        <w:jc w:val="center"/>
        <w:rPr>
          <w:rFonts w:ascii="Book Antiqua" w:hAnsi="Book Antiqua"/>
          <w:spacing w:val="-1"/>
          <w:szCs w:val="20"/>
          <w:lang w:eastAsia="x-none"/>
        </w:rPr>
      </w:pPr>
      <w:r w:rsidRPr="0080570A">
        <w:rPr>
          <w:rFonts w:ascii="Book Antiqua" w:hAnsi="Book Antiqua"/>
          <w:spacing w:val="-1"/>
          <w:szCs w:val="20"/>
          <w:lang w:eastAsia="x-none"/>
        </w:rPr>
        <w:t xml:space="preserve">Several factors caused the emergence of a single candidate in the </w:t>
      </w:r>
      <w:proofErr w:type="spellStart"/>
      <w:r w:rsidRPr="0080570A">
        <w:rPr>
          <w:rFonts w:ascii="Book Antiqua" w:hAnsi="Book Antiqua"/>
          <w:spacing w:val="-1"/>
          <w:szCs w:val="20"/>
          <w:lang w:eastAsia="x-none"/>
        </w:rPr>
        <w:t>Buton</w:t>
      </w:r>
      <w:proofErr w:type="spellEnd"/>
      <w:r w:rsidRPr="0080570A">
        <w:rPr>
          <w:rFonts w:ascii="Book Antiqua" w:hAnsi="Book Antiqua"/>
          <w:spacing w:val="-1"/>
          <w:szCs w:val="20"/>
          <w:lang w:eastAsia="x-none"/>
        </w:rPr>
        <w:t xml:space="preserve"> regional elections</w:t>
      </w:r>
    </w:p>
    <w:p w14:paraId="08144E6B" w14:textId="77777777" w:rsidR="0080570A" w:rsidRDefault="0080570A" w:rsidP="0080570A">
      <w:pPr>
        <w:pStyle w:val="IEEEParagraph"/>
        <w:spacing w:after="240"/>
        <w:ind w:firstLine="0"/>
        <w:jc w:val="center"/>
        <w:rPr>
          <w:rFonts w:ascii="Candara" w:hAnsi="Candara"/>
          <w:i/>
          <w:spacing w:val="-1"/>
          <w:szCs w:val="20"/>
          <w:lang w:eastAsia="x-none"/>
        </w:rPr>
      </w:pPr>
      <w:r>
        <w:rPr>
          <w:rFonts w:ascii="Candara" w:hAnsi="Candara"/>
          <w:i/>
          <w:spacing w:val="-1"/>
          <w:szCs w:val="20"/>
          <w:lang w:eastAsia="x-none"/>
        </w:rPr>
        <w:t xml:space="preserve">Source: Processed by researchers using </w:t>
      </w:r>
      <w:proofErr w:type="spellStart"/>
      <w:r>
        <w:rPr>
          <w:rFonts w:ascii="Candara" w:hAnsi="Candara"/>
          <w:i/>
          <w:spacing w:val="-1"/>
          <w:szCs w:val="20"/>
          <w:lang w:eastAsia="x-none"/>
        </w:rPr>
        <w:t>Nvivo</w:t>
      </w:r>
      <w:proofErr w:type="spellEnd"/>
      <w:r>
        <w:rPr>
          <w:rFonts w:ascii="Candara" w:hAnsi="Candara"/>
          <w:i/>
          <w:spacing w:val="-1"/>
          <w:szCs w:val="20"/>
          <w:lang w:eastAsia="x-none"/>
        </w:rPr>
        <w:t xml:space="preserve"> 12 Plus, 2023</w:t>
      </w:r>
    </w:p>
    <w:p w14:paraId="0B3C7E84" w14:textId="77777777" w:rsidR="0080570A" w:rsidRDefault="0080570A" w:rsidP="0080570A">
      <w:pPr>
        <w:pStyle w:val="IEEEParagraph"/>
        <w:spacing w:after="240"/>
        <w:ind w:firstLine="0"/>
        <w:jc w:val="center"/>
        <w:rPr>
          <w:rFonts w:ascii="Candara" w:hAnsi="Candara"/>
          <w:spacing w:val="-1"/>
          <w:szCs w:val="20"/>
          <w:lang w:eastAsia="x-none"/>
        </w:rPr>
      </w:pPr>
    </w:p>
    <w:p w14:paraId="3CF2237E" w14:textId="16A23C82" w:rsidR="0080570A" w:rsidRDefault="0080570A" w:rsidP="0080570A">
      <w:pPr>
        <w:spacing w:line="360" w:lineRule="auto"/>
        <w:jc w:val="both"/>
        <w:rPr>
          <w:rFonts w:ascii="Book Antiqua" w:hAnsi="Book Antiqua"/>
          <w:spacing w:val="-1"/>
          <w:lang w:eastAsia="x-none"/>
        </w:rPr>
      </w:pPr>
      <w:proofErr w:type="gramStart"/>
      <w:r w:rsidRPr="0080570A">
        <w:rPr>
          <w:rFonts w:ascii="Book Antiqua" w:hAnsi="Book Antiqua"/>
          <w:spacing w:val="-1"/>
          <w:lang w:eastAsia="x-none"/>
        </w:rPr>
        <w:t>shows</w:t>
      </w:r>
      <w:proofErr w:type="gramEnd"/>
      <w:r w:rsidRPr="0080570A">
        <w:rPr>
          <w:rFonts w:ascii="Book Antiqua" w:hAnsi="Book Antiqua"/>
          <w:spacing w:val="-1"/>
          <w:lang w:eastAsia="x-none"/>
        </w:rPr>
        <w:t xml:space="preserve"> several factors causing the emergence of a single candidate in the </w:t>
      </w:r>
      <w:proofErr w:type="spellStart"/>
      <w:r w:rsidRPr="0080570A">
        <w:rPr>
          <w:rFonts w:ascii="Book Antiqua" w:hAnsi="Book Antiqua"/>
          <w:spacing w:val="-1"/>
          <w:lang w:eastAsia="x-none"/>
        </w:rPr>
        <w:t>Buton</w:t>
      </w:r>
      <w:proofErr w:type="spellEnd"/>
      <w:r w:rsidRPr="0080570A">
        <w:rPr>
          <w:rFonts w:ascii="Book Antiqua" w:hAnsi="Book Antiqua"/>
          <w:spacing w:val="-1"/>
          <w:lang w:eastAsia="x-none"/>
        </w:rPr>
        <w:t xml:space="preserve"> Regional Election. The failure of the regional political party cadre formation system has significantly impacted candidate representation in the regional elections. The inability of political parties to develop quality local cadres and represent the aspirations of the community evenly has resulted in a lack of quality candidate options so that often only one or a few candidates emerge from political parties in the area. The impact of the failure of the political party cadre system in the regions not only narrows the options for qualified candidates but also substantially reduces political plurality in the regional elections</w:t>
      </w:r>
      <w:r>
        <w:rPr>
          <w:rFonts w:ascii="Book Antiqua" w:hAnsi="Book Antiqua"/>
          <w:spacing w:val="-1"/>
          <w:lang w:eastAsia="x-none"/>
        </w:rPr>
        <w:t>.</w:t>
      </w:r>
    </w:p>
    <w:p w14:paraId="68F80770" w14:textId="77777777" w:rsidR="0080570A" w:rsidRDefault="0080570A" w:rsidP="0080570A">
      <w:pPr>
        <w:spacing w:line="360" w:lineRule="auto"/>
        <w:jc w:val="both"/>
        <w:rPr>
          <w:rFonts w:ascii="Book Antiqua" w:hAnsi="Book Antiqua"/>
          <w:spacing w:val="-1"/>
          <w:lang w:eastAsia="x-none"/>
        </w:rPr>
      </w:pPr>
    </w:p>
    <w:p w14:paraId="5CC06763"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The inability of political parties to produce diverse cadres and represent various levels of society can reduce the overall quality of democracy. With a lack of </w:t>
      </w:r>
      <w:r w:rsidRPr="0080570A">
        <w:rPr>
          <w:rFonts w:ascii="Book Antiqua" w:hAnsi="Book Antiqua"/>
          <w:spacing w:val="-1"/>
          <w:sz w:val="22"/>
          <w:szCs w:val="22"/>
          <w:lang w:eastAsia="x-none"/>
        </w:rPr>
        <w:lastRenderedPageBreak/>
        <w:t>quality choices, people cannot express their desires and aspirations to the fullest. In addition, the dominance of one or a few candidates from a particular political party can reduce competitiveness and substantive debate in the political arena so that the ability to produce leaders who are diverse and dedicated to the public interest is hampered.</w:t>
      </w:r>
    </w:p>
    <w:p w14:paraId="5C4B2CB6" w14:textId="77777777" w:rsidR="0080570A" w:rsidRPr="0080570A" w:rsidRDefault="0080570A" w:rsidP="0080570A">
      <w:pPr>
        <w:pStyle w:val="IEEEParagraph"/>
        <w:ind w:firstLine="567"/>
        <w:rPr>
          <w:rFonts w:ascii="Book Antiqua" w:hAnsi="Book Antiqua"/>
          <w:spacing w:val="-1"/>
          <w:sz w:val="22"/>
          <w:szCs w:val="22"/>
          <w:lang w:eastAsia="x-none"/>
        </w:rPr>
      </w:pPr>
    </w:p>
    <w:p w14:paraId="0E424715" w14:textId="4DC3C32A" w:rsidR="0080570A" w:rsidRDefault="0080570A" w:rsidP="0080570A">
      <w:pPr>
        <w:spacing w:line="360" w:lineRule="auto"/>
        <w:jc w:val="both"/>
        <w:rPr>
          <w:rFonts w:ascii="Book Antiqua" w:hAnsi="Book Antiqua"/>
          <w:spacing w:val="-1"/>
          <w:lang w:eastAsia="x-none"/>
        </w:rPr>
      </w:pPr>
      <w:r w:rsidRPr="0080570A">
        <w:rPr>
          <w:rFonts w:ascii="Book Antiqua" w:hAnsi="Book Antiqua"/>
          <w:spacing w:val="-1"/>
          <w:lang w:eastAsia="x-none"/>
        </w:rPr>
        <w:t>Then, very high political costs become the main obstacle for candidates in regional elections. Expensive campaign costs are often prohibitive for individuals or groups needing adequate financial resources. The involvement of this large amount of capital often limits election participants to only certain groups, making it difficult to provide diverse options for voters. The impact of very high political costs in regional elections not only limits access for candidates with limited financial</w:t>
      </w:r>
      <w:r>
        <w:rPr>
          <w:rFonts w:ascii="Book Antiqua" w:hAnsi="Book Antiqua"/>
          <w:spacing w:val="-1"/>
          <w:lang w:eastAsia="x-none"/>
        </w:rPr>
        <w:t>.</w:t>
      </w:r>
    </w:p>
    <w:p w14:paraId="649F2B1B" w14:textId="3C32C2FF" w:rsidR="0080570A" w:rsidRPr="0080570A" w:rsidRDefault="001F10BD" w:rsidP="0080570A">
      <w:pPr>
        <w:pStyle w:val="IEEEParagraph"/>
        <w:ind w:firstLine="567"/>
        <w:rPr>
          <w:rFonts w:ascii="Book Antiqua" w:hAnsi="Book Antiqua"/>
          <w:spacing w:val="-1"/>
          <w:sz w:val="22"/>
          <w:szCs w:val="22"/>
          <w:lang w:eastAsia="x-none"/>
        </w:rPr>
      </w:pPr>
      <w:r>
        <w:rPr>
          <w:rFonts w:ascii="Book Antiqua" w:hAnsi="Book Antiqua"/>
          <w:spacing w:val="-1"/>
          <w:sz w:val="22"/>
          <w:szCs w:val="22"/>
          <w:lang w:eastAsia="x-none"/>
        </w:rPr>
        <w:t>Re</w:t>
      </w:r>
      <w:r w:rsidR="0080570A" w:rsidRPr="0080570A">
        <w:rPr>
          <w:rFonts w:ascii="Book Antiqua" w:hAnsi="Book Antiqua"/>
          <w:spacing w:val="-1"/>
          <w:sz w:val="22"/>
          <w:szCs w:val="22"/>
          <w:lang w:eastAsia="x-none"/>
        </w:rPr>
        <w:t>sources but can also strengthen the dominance of the interests of certain economic or political groups in the electoral process</w:t>
      </w:r>
    </w:p>
    <w:p w14:paraId="49459D13"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This can hurt the quality of democracy and representation because the presence of candidates from different backgrounds becomes difficult or even impossible. In addition, the dominance of capital in the electoral process can create the risk of political corruption and narrow interests more oriented towards personal or group gain than overall public welfare. This can also trigger the growth of patronage politics and the dependence of elected candidates on certain groups to obtain financial support, giving rise to potential conflicts of interest that are detrimental to society.</w:t>
      </w:r>
    </w:p>
    <w:p w14:paraId="0EA7BBD2" w14:textId="77777777" w:rsidR="0080570A" w:rsidRPr="0080570A" w:rsidRDefault="0080570A" w:rsidP="0080570A">
      <w:pPr>
        <w:spacing w:line="360" w:lineRule="auto"/>
        <w:jc w:val="both"/>
        <w:rPr>
          <w:rFonts w:ascii="Book Antiqua" w:hAnsi="Book Antiqua"/>
          <w:b/>
          <w:color w:val="0070C0"/>
        </w:rPr>
      </w:pPr>
    </w:p>
    <w:p w14:paraId="53DD1991"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Apart from that, the difficulty of individual candidates in fulfilling the requirements for nominating regional heads shows real challenges in the democratic process in the region. Requirements that are complex and difficult for individual candidates to </w:t>
      </w:r>
      <w:proofErr w:type="spellStart"/>
      <w:r w:rsidRPr="0080570A">
        <w:rPr>
          <w:rFonts w:ascii="Book Antiqua" w:hAnsi="Book Antiqua"/>
          <w:spacing w:val="-1"/>
          <w:sz w:val="22"/>
          <w:szCs w:val="22"/>
          <w:lang w:eastAsia="x-none"/>
        </w:rPr>
        <w:t>fulfill</w:t>
      </w:r>
      <w:proofErr w:type="spellEnd"/>
      <w:r w:rsidRPr="0080570A">
        <w:rPr>
          <w:rFonts w:ascii="Book Antiqua" w:hAnsi="Book Antiqua"/>
          <w:spacing w:val="-1"/>
          <w:sz w:val="22"/>
          <w:szCs w:val="22"/>
          <w:lang w:eastAsia="x-none"/>
        </w:rPr>
        <w:t>, such as the number of supports and limited distribution of areas of support, often limit the options for independent candidates, thus tending to give rise to a situation where it is easier for a single candidate to obtain the position. The difficulty of individual candidates in fulfilling the requirements for regional head candidacy not only limits access for individuals who wish to participate in the democratic process but can also reduce variation and plurality in voter choices.</w:t>
      </w:r>
    </w:p>
    <w:p w14:paraId="642AA4F1"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When independent candidates need help fulfilling the requirements set, this indirectly limits the realization of political rights for citizens not affiliated with a particular political party. This situation can reduce the quality of political competition and the possibility of innovative ideas or alternative views that could bring positive change to local government. As a result, democratic processes in the region may tend to be more limited and co-opted by established interests, which could be detrimental to efforts to achieve representation that is more inclusive and responsive to the needs of society as a whole.</w:t>
      </w:r>
    </w:p>
    <w:p w14:paraId="5306A683"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lastRenderedPageBreak/>
        <w:t>Finally, the pragmatism of political party coalitions at the local level also influences the dynamics of regional elections. Alliances formed between political parties are often based on considerations of political interests and power rather than on a clear program vision and mission. This kind of pragmatism often leads to limiting candidate options and the emergence of situations where only one candidate or a few candidates are promoted by a particular coalition, narrowing the democratic space that should be more open. The pragmatism of political party coalitions at the local level, which places more emphasis on political interests and power than on community needs or a clear vision and mission, can have various negative impacts on the dynamics of regional elections.</w:t>
      </w:r>
    </w:p>
    <w:p w14:paraId="412EDE2F"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When political </w:t>
      </w:r>
      <w:proofErr w:type="gramStart"/>
      <w:r w:rsidRPr="0080570A">
        <w:rPr>
          <w:rFonts w:ascii="Book Antiqua" w:hAnsi="Book Antiqua"/>
          <w:spacing w:val="-1"/>
          <w:sz w:val="22"/>
          <w:szCs w:val="22"/>
          <w:lang w:eastAsia="x-none"/>
        </w:rPr>
        <w:t>parties</w:t>
      </w:r>
      <w:proofErr w:type="gramEnd"/>
      <w:r w:rsidRPr="0080570A">
        <w:rPr>
          <w:rFonts w:ascii="Book Antiqua" w:hAnsi="Book Antiqua"/>
          <w:spacing w:val="-1"/>
          <w:sz w:val="22"/>
          <w:szCs w:val="22"/>
          <w:lang w:eastAsia="x-none"/>
        </w:rPr>
        <w:t xml:space="preserve"> only form alliances based on purely pragmatic considerations, this can be detrimental to the democratic process and public participation in general. In a situation where political alliances are only focused on achieving power without considering substantial programs, the opportunity for the emergence of diverse candidate options that reflect the aspirations of society becomes increasingly limited. In this way, the opportunity for a single candidate to occupy a leadership position can be made easier without giving voters various choices. This condition can result in a decline in the quality of the democratic process and regional government as a whole, as well as strengthening established patterns of political domination, which can hinder the realization of substantial and sustainable change for society at the local level.</w:t>
      </w:r>
    </w:p>
    <w:p w14:paraId="3E0E8ECF" w14:textId="77777777" w:rsidR="0080570A" w:rsidRPr="0080570A" w:rsidRDefault="0080570A" w:rsidP="0080570A">
      <w:pPr>
        <w:spacing w:line="360" w:lineRule="auto"/>
        <w:jc w:val="both"/>
        <w:rPr>
          <w:rFonts w:ascii="Book Antiqua" w:hAnsi="Book Antiqua"/>
          <w:spacing w:val="-1"/>
          <w:lang w:eastAsia="x-none"/>
        </w:rPr>
      </w:pPr>
      <w:r w:rsidRPr="0080570A">
        <w:rPr>
          <w:rFonts w:ascii="Book Antiqua" w:hAnsi="Book Antiqua"/>
          <w:spacing w:val="-1"/>
          <w:lang w:eastAsia="x-none"/>
        </w:rPr>
        <w:t xml:space="preserve">Overall, mapping the factors that influenced the emergence of a single candidate in the </w:t>
      </w:r>
      <w:proofErr w:type="spellStart"/>
      <w:r w:rsidRPr="0080570A">
        <w:rPr>
          <w:rFonts w:ascii="Book Antiqua" w:hAnsi="Book Antiqua"/>
          <w:spacing w:val="-1"/>
          <w:lang w:eastAsia="x-none"/>
        </w:rPr>
        <w:t>Buton</w:t>
      </w:r>
      <w:proofErr w:type="spellEnd"/>
      <w:r w:rsidRPr="0080570A">
        <w:rPr>
          <w:rFonts w:ascii="Book Antiqua" w:hAnsi="Book Antiqua"/>
          <w:spacing w:val="-1"/>
          <w:lang w:eastAsia="x-none"/>
        </w:rPr>
        <w:t xml:space="preserve"> Regional Election illustrates several serious problems in the democratic process in the area. The existence of factors such as the failure of the political party cadre system, high political costs, difficulties for individual candidates in fulfilling nomination requirements, and the pragmatism of political party coalitions indicate that the democratic process is still co-opted by</w:t>
      </w:r>
    </w:p>
    <w:p w14:paraId="4F897DF4" w14:textId="0D650D62" w:rsidR="0080570A" w:rsidRPr="0080570A" w:rsidRDefault="001F10BD" w:rsidP="0080570A">
      <w:pPr>
        <w:pStyle w:val="IEEEParagraph"/>
        <w:ind w:firstLine="567"/>
        <w:rPr>
          <w:rFonts w:ascii="Book Antiqua" w:hAnsi="Book Antiqua"/>
          <w:spacing w:val="-1"/>
          <w:sz w:val="22"/>
          <w:szCs w:val="22"/>
          <w:lang w:eastAsia="x-none"/>
        </w:rPr>
      </w:pPr>
      <w:proofErr w:type="gramStart"/>
      <w:r>
        <w:rPr>
          <w:rFonts w:ascii="Book Antiqua" w:hAnsi="Book Antiqua"/>
          <w:spacing w:val="-1"/>
          <w:sz w:val="22"/>
          <w:szCs w:val="22"/>
          <w:lang w:eastAsia="x-none"/>
        </w:rPr>
        <w:t>C</w:t>
      </w:r>
      <w:r w:rsidR="0080570A" w:rsidRPr="0080570A">
        <w:rPr>
          <w:rFonts w:ascii="Book Antiqua" w:hAnsi="Book Antiqua"/>
          <w:spacing w:val="-1"/>
          <w:sz w:val="22"/>
          <w:szCs w:val="22"/>
          <w:lang w:eastAsia="x-none"/>
        </w:rPr>
        <w:t>ertain interests that do not always represent the aspirations of society as a whole.</w:t>
      </w:r>
      <w:proofErr w:type="gramEnd"/>
      <w:r w:rsidR="0080570A" w:rsidRPr="0080570A">
        <w:rPr>
          <w:rFonts w:ascii="Book Antiqua" w:hAnsi="Book Antiqua"/>
          <w:spacing w:val="-1"/>
          <w:sz w:val="22"/>
          <w:szCs w:val="22"/>
          <w:lang w:eastAsia="x-none"/>
        </w:rPr>
        <w:t xml:space="preserve"> These findings imply the need for substantial reform in the political system and democracy at the local level. First, political parties must develop an inclusive and representative cadre system to ensure the creation of quality candidates who represent the diverse aspirations of society. Apart from that, reforms need to be made in regulations related to political costs so that the election process is more open to all groups and is not limited by financial factors alone.</w:t>
      </w:r>
    </w:p>
    <w:p w14:paraId="68B1E2EA" w14:textId="77777777" w:rsidR="0080570A" w:rsidRPr="0080570A" w:rsidRDefault="0080570A" w:rsidP="0080570A">
      <w:pPr>
        <w:pStyle w:val="IEEEParagraph"/>
        <w:ind w:firstLine="567"/>
        <w:rPr>
          <w:rFonts w:ascii="Book Antiqua" w:hAnsi="Book Antiqua"/>
          <w:spacing w:val="-1"/>
          <w:sz w:val="22"/>
          <w:szCs w:val="22"/>
          <w:lang w:eastAsia="x-none"/>
        </w:rPr>
      </w:pPr>
      <w:r w:rsidRPr="0080570A">
        <w:rPr>
          <w:rFonts w:ascii="Book Antiqua" w:hAnsi="Book Antiqua"/>
          <w:spacing w:val="-1"/>
          <w:sz w:val="22"/>
          <w:szCs w:val="22"/>
          <w:lang w:eastAsia="x-none"/>
        </w:rPr>
        <w:t xml:space="preserve">Furthermore, efforts are needed to simplify the requirements for individual candidates so that they also have easier and fairer access to the democratic process. Lastly, efforts must be made to increase transparency and accountability in forming political party coalitions so that political alliances are based on clear programs and not just to gain power. Thus, it is hoped that these reform efforts can reduce the dominance of single candidates in regional elections and, vice versa, expand democratic space to create an electoral process that is more inclusive, transparent, </w:t>
      </w:r>
      <w:r w:rsidRPr="0080570A">
        <w:rPr>
          <w:rFonts w:ascii="Book Antiqua" w:hAnsi="Book Antiqua"/>
          <w:spacing w:val="-1"/>
          <w:sz w:val="22"/>
          <w:szCs w:val="22"/>
          <w:lang w:eastAsia="x-none"/>
        </w:rPr>
        <w:lastRenderedPageBreak/>
        <w:t xml:space="preserve">and responsive to the needs of society as a whole. With increased community participation and the adoption of a more inclusive political system, the regional election in </w:t>
      </w:r>
      <w:proofErr w:type="spellStart"/>
      <w:r w:rsidRPr="0080570A">
        <w:rPr>
          <w:rFonts w:ascii="Book Antiqua" w:hAnsi="Book Antiqua"/>
          <w:spacing w:val="-1"/>
          <w:sz w:val="22"/>
          <w:szCs w:val="22"/>
          <w:lang w:eastAsia="x-none"/>
        </w:rPr>
        <w:t>Buton</w:t>
      </w:r>
      <w:proofErr w:type="spellEnd"/>
      <w:r w:rsidRPr="0080570A">
        <w:rPr>
          <w:rFonts w:ascii="Book Antiqua" w:hAnsi="Book Antiqua"/>
          <w:spacing w:val="-1"/>
          <w:sz w:val="22"/>
          <w:szCs w:val="22"/>
          <w:lang w:eastAsia="x-none"/>
        </w:rPr>
        <w:t xml:space="preserve"> can become a more effective forum for realizing the aspirations and interests of the public.</w:t>
      </w:r>
    </w:p>
    <w:p w14:paraId="0B5B0CB8" w14:textId="77777777" w:rsidR="0080570A" w:rsidRDefault="0080570A" w:rsidP="0080570A">
      <w:pPr>
        <w:pStyle w:val="IEEEParagraph"/>
        <w:ind w:firstLine="567"/>
        <w:rPr>
          <w:rFonts w:ascii="Candara" w:hAnsi="Candara"/>
          <w:spacing w:val="-1"/>
          <w:sz w:val="24"/>
          <w:lang w:eastAsia="x-none"/>
        </w:rPr>
      </w:pPr>
      <w:r w:rsidRPr="0080570A">
        <w:rPr>
          <w:rFonts w:ascii="Book Antiqua" w:hAnsi="Book Antiqua"/>
          <w:spacing w:val="-1"/>
          <w:sz w:val="22"/>
          <w:szCs w:val="22"/>
          <w:lang w:eastAsia="x-none"/>
        </w:rPr>
        <w:t xml:space="preserve">As for understanding more deeply influential factors, this study successfully mapped the dominant factors that created regional head elections followed by a single candidate in </w:t>
      </w:r>
      <w:proofErr w:type="spellStart"/>
      <w:r w:rsidRPr="0080570A">
        <w:rPr>
          <w:rFonts w:ascii="Book Antiqua" w:hAnsi="Book Antiqua"/>
          <w:spacing w:val="-1"/>
          <w:sz w:val="22"/>
          <w:szCs w:val="22"/>
          <w:lang w:eastAsia="x-none"/>
        </w:rPr>
        <w:t>Buton</w:t>
      </w:r>
      <w:proofErr w:type="spellEnd"/>
      <w:r w:rsidRPr="0080570A">
        <w:rPr>
          <w:rFonts w:ascii="Book Antiqua" w:hAnsi="Book Antiqua"/>
          <w:spacing w:val="-1"/>
          <w:sz w:val="22"/>
          <w:szCs w:val="22"/>
          <w:lang w:eastAsia="x-none"/>
        </w:rPr>
        <w:t>. Based on data coding at the data source, this can be seen as follows</w:t>
      </w:r>
      <w:r>
        <w:rPr>
          <w:rFonts w:ascii="Candara" w:hAnsi="Candara"/>
          <w:spacing w:val="-1"/>
          <w:sz w:val="24"/>
          <w:lang w:eastAsia="x-none"/>
        </w:rPr>
        <w:t>:</w:t>
      </w:r>
    </w:p>
    <w:p w14:paraId="7CBB8DF5" w14:textId="77777777" w:rsidR="001F10BD" w:rsidRDefault="001F10BD" w:rsidP="0080570A">
      <w:pPr>
        <w:pStyle w:val="IEEEParagraph"/>
        <w:ind w:firstLine="567"/>
        <w:rPr>
          <w:rFonts w:ascii="Candara" w:hAnsi="Candara"/>
          <w:spacing w:val="-1"/>
          <w:sz w:val="24"/>
          <w:lang w:eastAsia="x-none"/>
        </w:rPr>
      </w:pPr>
    </w:p>
    <w:p w14:paraId="3F039CED" w14:textId="549FCA01" w:rsidR="0080570A" w:rsidRDefault="001F10BD" w:rsidP="0080570A">
      <w:pPr>
        <w:pStyle w:val="IEEEParagraph"/>
        <w:ind w:firstLine="567"/>
        <w:rPr>
          <w:rFonts w:ascii="Candara" w:hAnsi="Candara"/>
          <w:spacing w:val="-1"/>
          <w:sz w:val="24"/>
          <w:lang w:eastAsia="x-none"/>
        </w:rPr>
      </w:pPr>
      <w:r>
        <w:rPr>
          <w:noProof/>
          <w:lang w:val="en-US" w:eastAsia="en-US"/>
        </w:rPr>
        <w:drawing>
          <wp:inline distT="0" distB="0" distL="0" distR="0" wp14:anchorId="11157696" wp14:editId="7F731362">
            <wp:extent cx="4451350" cy="2133600"/>
            <wp:effectExtent l="0" t="0" r="2540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B799E2" w14:textId="2DFB7FE0" w:rsidR="001F10BD" w:rsidRPr="001F10BD" w:rsidRDefault="001F10BD" w:rsidP="001F10BD">
      <w:pPr>
        <w:pStyle w:val="IEEEParagraph"/>
        <w:ind w:firstLine="0"/>
        <w:jc w:val="center"/>
        <w:rPr>
          <w:rFonts w:ascii="Book Antiqua" w:hAnsi="Book Antiqua"/>
          <w:spacing w:val="-1"/>
          <w:sz w:val="18"/>
          <w:szCs w:val="18"/>
          <w:lang w:eastAsia="x-none"/>
        </w:rPr>
      </w:pPr>
      <w:r>
        <w:rPr>
          <w:rFonts w:ascii="Candara" w:hAnsi="Candara"/>
          <w:spacing w:val="-1"/>
          <w:sz w:val="24"/>
          <w:lang w:eastAsia="x-none"/>
        </w:rPr>
        <w:t xml:space="preserve"> </w:t>
      </w:r>
      <w:r w:rsidRPr="001F10BD">
        <w:rPr>
          <w:rFonts w:ascii="Book Antiqua" w:hAnsi="Book Antiqua"/>
          <w:spacing w:val="-1"/>
          <w:sz w:val="18"/>
          <w:szCs w:val="18"/>
          <w:lang w:eastAsia="x-none"/>
        </w:rPr>
        <w:t xml:space="preserve">The dominant factor influencing the emergence of a single candidate in the </w:t>
      </w:r>
      <w:proofErr w:type="spellStart"/>
      <w:r w:rsidRPr="001F10BD">
        <w:rPr>
          <w:rFonts w:ascii="Book Antiqua" w:hAnsi="Book Antiqua"/>
          <w:spacing w:val="-1"/>
          <w:sz w:val="18"/>
          <w:szCs w:val="18"/>
          <w:lang w:eastAsia="x-none"/>
        </w:rPr>
        <w:t>Buton</w:t>
      </w:r>
      <w:proofErr w:type="spellEnd"/>
      <w:r w:rsidRPr="001F10BD">
        <w:rPr>
          <w:rFonts w:ascii="Book Antiqua" w:hAnsi="Book Antiqua"/>
          <w:spacing w:val="-1"/>
          <w:sz w:val="18"/>
          <w:szCs w:val="18"/>
          <w:lang w:eastAsia="x-none"/>
        </w:rPr>
        <w:t xml:space="preserve"> regional elections</w:t>
      </w:r>
    </w:p>
    <w:p w14:paraId="0C975AE1" w14:textId="77777777" w:rsidR="001F10BD" w:rsidRPr="001F10BD" w:rsidRDefault="001F10BD" w:rsidP="001F10BD">
      <w:pPr>
        <w:pStyle w:val="IEEEParagraph"/>
        <w:spacing w:after="240"/>
        <w:ind w:firstLine="0"/>
        <w:jc w:val="center"/>
        <w:rPr>
          <w:rFonts w:ascii="Book Antiqua" w:hAnsi="Book Antiqua"/>
          <w:i/>
          <w:spacing w:val="-1"/>
          <w:sz w:val="18"/>
          <w:szCs w:val="18"/>
          <w:lang w:eastAsia="x-none"/>
        </w:rPr>
      </w:pPr>
      <w:r w:rsidRPr="001F10BD">
        <w:rPr>
          <w:rFonts w:ascii="Book Antiqua" w:hAnsi="Book Antiqua"/>
          <w:i/>
          <w:spacing w:val="-1"/>
          <w:sz w:val="18"/>
          <w:szCs w:val="18"/>
          <w:lang w:eastAsia="x-none"/>
        </w:rPr>
        <w:t xml:space="preserve">Source: Processed by researchers using </w:t>
      </w:r>
      <w:proofErr w:type="spellStart"/>
      <w:r w:rsidRPr="001F10BD">
        <w:rPr>
          <w:rFonts w:ascii="Book Antiqua" w:hAnsi="Book Antiqua"/>
          <w:i/>
          <w:spacing w:val="-1"/>
          <w:sz w:val="18"/>
          <w:szCs w:val="18"/>
          <w:lang w:eastAsia="x-none"/>
        </w:rPr>
        <w:t>Nvivo</w:t>
      </w:r>
      <w:proofErr w:type="spellEnd"/>
      <w:r w:rsidRPr="001F10BD">
        <w:rPr>
          <w:rFonts w:ascii="Book Antiqua" w:hAnsi="Book Antiqua"/>
          <w:i/>
          <w:spacing w:val="-1"/>
          <w:sz w:val="18"/>
          <w:szCs w:val="18"/>
          <w:lang w:eastAsia="x-none"/>
        </w:rPr>
        <w:t xml:space="preserve"> 12 Plus, 2023</w:t>
      </w:r>
    </w:p>
    <w:p w14:paraId="5C13A19A"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Based on the results of interviews, it is known that the order of determinant factors in the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elections, among which high political costs (34.1%) is ranked highest as the dominant factor among others, hinders the participation of candidates who do not have adequate financial access. The failure of the cadre formation system by political parties (29.3%) also had a significant impact, reducing the variety of qualified candidates and political plurality. The pragmatism of political party coalitions (22.0%) at the local level narrows the democratic space that should be open, while the difficult requirements for individual candidates (14.6%) limit the variety of choices without affecting the political system as a whole.</w:t>
      </w:r>
    </w:p>
    <w:p w14:paraId="782B6AC8" w14:textId="77777777" w:rsidR="001F10BD" w:rsidRPr="001F10BD" w:rsidRDefault="001F10BD" w:rsidP="001F10BD">
      <w:pPr>
        <w:spacing w:line="360" w:lineRule="auto"/>
        <w:jc w:val="both"/>
        <w:rPr>
          <w:rFonts w:ascii="Book Antiqua" w:hAnsi="Book Antiqua"/>
          <w:spacing w:val="-1"/>
          <w:lang w:eastAsia="x-none"/>
        </w:rPr>
      </w:pPr>
      <w:r w:rsidRPr="001F10BD">
        <w:rPr>
          <w:rFonts w:ascii="Book Antiqua" w:hAnsi="Book Antiqua"/>
          <w:spacing w:val="-1"/>
          <w:lang w:eastAsia="x-none"/>
        </w:rPr>
        <w:t xml:space="preserve">Based on the interview results, high political costs are the most dominant factor in the emergence of a single candidate in the </w:t>
      </w:r>
      <w:proofErr w:type="spellStart"/>
      <w:r w:rsidRPr="001F10BD">
        <w:rPr>
          <w:rFonts w:ascii="Book Antiqua" w:hAnsi="Book Antiqua"/>
          <w:spacing w:val="-1"/>
          <w:lang w:eastAsia="x-none"/>
        </w:rPr>
        <w:t>Buton</w:t>
      </w:r>
      <w:proofErr w:type="spellEnd"/>
      <w:r w:rsidRPr="001F10BD">
        <w:rPr>
          <w:rFonts w:ascii="Book Antiqua" w:hAnsi="Book Antiqua"/>
          <w:spacing w:val="-1"/>
          <w:lang w:eastAsia="x-none"/>
        </w:rPr>
        <w:t xml:space="preserve"> Regional Election. These financial constraints directly hinder the participation of candidates who do not have adequate financial access, narrowing opportunities for those who wish to participate in the democratic process. Meanwhile, the failure of the political party cadre system in the regions significantly reduces the diversity of quality candidates and limits political diversity. The pragmatism of political party coalitions at the local level narrows the democratic space that should be open, while the difficult requirements for individual </w:t>
      </w:r>
      <w:r w:rsidRPr="001F10BD">
        <w:rPr>
          <w:rFonts w:ascii="Book Antiqua" w:hAnsi="Book Antiqua"/>
          <w:spacing w:val="-1"/>
          <w:lang w:eastAsia="x-none"/>
        </w:rPr>
        <w:lastRenderedPageBreak/>
        <w:t>candidates to qualify for regional head candidacy, although limiting choice, tend to affect individuals more than the political system as a whole. Thus, a deeper understanding of the priorities of these factors can provide a basis for promoting more inclusive and representative democratic processes in the future.</w:t>
      </w:r>
    </w:p>
    <w:p w14:paraId="34AC72B1" w14:textId="77777777" w:rsidR="001F10BD" w:rsidRPr="001F10BD" w:rsidRDefault="001F10BD" w:rsidP="001F10BD">
      <w:pPr>
        <w:pStyle w:val="IEEEParagraph"/>
        <w:ind w:firstLine="0"/>
        <w:rPr>
          <w:rFonts w:ascii="Book Antiqua" w:hAnsi="Book Antiqua"/>
          <w:b/>
          <w:spacing w:val="-1"/>
          <w:sz w:val="22"/>
          <w:szCs w:val="22"/>
          <w:lang w:eastAsia="x-none"/>
        </w:rPr>
      </w:pPr>
      <w:r w:rsidRPr="001F10BD">
        <w:rPr>
          <w:rFonts w:ascii="Book Antiqua" w:hAnsi="Book Antiqua"/>
          <w:b/>
          <w:spacing w:val="-1"/>
          <w:sz w:val="22"/>
          <w:szCs w:val="22"/>
          <w:lang w:eastAsia="x-none"/>
        </w:rPr>
        <w:t xml:space="preserve">Minimizing the potential for a single candidate to appear in the 2024 </w:t>
      </w:r>
      <w:proofErr w:type="spellStart"/>
      <w:r w:rsidRPr="001F10BD">
        <w:rPr>
          <w:rFonts w:ascii="Book Antiqua" w:hAnsi="Book Antiqua"/>
          <w:b/>
          <w:spacing w:val="-1"/>
          <w:sz w:val="22"/>
          <w:szCs w:val="22"/>
          <w:lang w:eastAsia="x-none"/>
        </w:rPr>
        <w:t>Buton</w:t>
      </w:r>
      <w:proofErr w:type="spellEnd"/>
      <w:r w:rsidRPr="001F10BD">
        <w:rPr>
          <w:rFonts w:ascii="Book Antiqua" w:hAnsi="Book Antiqua"/>
          <w:b/>
          <w:spacing w:val="-1"/>
          <w:sz w:val="22"/>
          <w:szCs w:val="22"/>
          <w:lang w:eastAsia="x-none"/>
        </w:rPr>
        <w:t xml:space="preserve"> regional elections</w:t>
      </w:r>
    </w:p>
    <w:p w14:paraId="4241FDD8" w14:textId="56B8C9B0" w:rsid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Based on research data regarding the factors driving the emergence of a single candidate in the 2017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 it is evident that this phenomenon is not only related to local conditions but is also influenced by various structural factors</w:t>
      </w:r>
    </w:p>
    <w:p w14:paraId="33E40DFA" w14:textId="77777777" w:rsidR="001F10BD" w:rsidRPr="001F10BD" w:rsidRDefault="001F10BD" w:rsidP="001F10BD">
      <w:pPr>
        <w:pStyle w:val="IEEEParagraph"/>
        <w:ind w:firstLine="567"/>
        <w:rPr>
          <w:rFonts w:ascii="Book Antiqua" w:hAnsi="Book Antiqua"/>
          <w:spacing w:val="-1"/>
          <w:sz w:val="22"/>
          <w:szCs w:val="22"/>
          <w:lang w:eastAsia="x-none"/>
        </w:rPr>
      </w:pPr>
      <w:proofErr w:type="gramStart"/>
      <w:r w:rsidRPr="001F10BD">
        <w:rPr>
          <w:rFonts w:ascii="Book Antiqua" w:hAnsi="Book Antiqua"/>
          <w:spacing w:val="-1"/>
          <w:sz w:val="22"/>
          <w:szCs w:val="22"/>
          <w:lang w:eastAsia="x-none"/>
        </w:rPr>
        <w:t>that</w:t>
      </w:r>
      <w:proofErr w:type="gramEnd"/>
      <w:r w:rsidRPr="001F10BD">
        <w:rPr>
          <w:rFonts w:ascii="Book Antiqua" w:hAnsi="Book Antiqua"/>
          <w:spacing w:val="-1"/>
          <w:sz w:val="22"/>
          <w:szCs w:val="22"/>
          <w:lang w:eastAsia="x-none"/>
        </w:rPr>
        <w:t xml:space="preserve"> influence the political system. The trend of increasing the number of single-candidate pairs from regional election to regional election in Indonesia also shows the need for serious attention to democratic mechanisms that occur at the local level. This indicates that all of this has the potential to strengthen the phenomenon of the emergence of a single candidate, putting pressure on the democratic process, which should be open and inclusive.</w:t>
      </w:r>
    </w:p>
    <w:p w14:paraId="4EF910B4"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Even though a single candidate is constitutionally regulated, the emergence of a situation with only one pair of candidates can indicate an imbalance in local political dynamics. Implementing regional elections that involve healthy competition from various candidate options is the essence of substantial democracy </w:t>
      </w:r>
      <w:r w:rsidRPr="001F10BD">
        <w:rPr>
          <w:rFonts w:ascii="Book Antiqua" w:hAnsi="Book Antiqua"/>
          <w:spacing w:val="-1"/>
          <w:sz w:val="22"/>
          <w:szCs w:val="22"/>
          <w:lang w:eastAsia="x-none"/>
        </w:rPr>
        <w:fldChar w:fldCharType="begin" w:fldLock="1"/>
      </w:r>
      <w:r w:rsidRPr="001F10BD">
        <w:rPr>
          <w:rFonts w:ascii="Book Antiqua" w:hAnsi="Book Antiqua"/>
          <w:spacing w:val="-1"/>
          <w:sz w:val="22"/>
          <w:szCs w:val="22"/>
          <w:lang w:eastAsia="x-none"/>
        </w:rPr>
        <w:instrText>ADDIN CSL_CITATION {"citationItems":[{"id":"ITEM-1","itemData":{"DOI":"10.4108/eai.25-6-2019.2287975","author":[{"dropping-particle":"","family":"Mayangsari","given":"Dewi","non-dropping-particle":"","parse-names":false,"suffix":""},{"dropping-particle":"","family":"Permana","given":"Panji","non-dropping-particle":"","parse-names":false,"suffix":""}],"container-title":"1st International Symposium on Indonesian Politics","id":"ITEM-1","issued":{"date-parts":[["2019"]]},"title":"A Sole-Candidate Election Involving a Non-Incumbent: The Unusual 2018 Mayoral Election in Makassar, Indonesia","type":"paper-conference"},"uris":["http://www.mendeley.com/documents/?uuid=3c0c83f1-c986-43f2-a5f0-b8cfbf12ff17"]},{"id":"ITEM-2","itemData":{"abstract":"This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Tecnociencia","id":"ITEM-2","issue":"2","issued":{"date-parts":[["2021"]]},"page":"48-71","title":"Democracy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201","type":"article-journal","volume":"11"},"uris":["http://www.mendeley.com/documents/?uuid=2dd24246-b897-4775-8cfe-13e490017fca"]},{"id":"ITEM-3","itemData":{"DOI":"10.15294/ipsr.v6i2.31439","ISSN":"2477-8060","abstract":"This paper describes the development of local-level democracy in implementing the 2020 Regional Head Simultaneously related to a single candidate and dynastic politics. In this research, we found that the phenomenon of single candidates and political dynasties, which shows the climate of democracy at the local level, is increasingly unhealthy. Indonesia is experiencing democratic backsliding. Political dynasties and single candidates have, of course, hurt democracy. Regional Head is no longer an effective means of participation and competition as a condition for the running of democracy. Regional Head also did not produce elite circulation. On the other hand, the oligarchy is a node on a political dynasty and local bossism. The theoretical perspectives used in the research to explain single candidates and political dynasties are democracy, election, oligarchy, and local bossism.","author":[{"dropping-particle":"","family":"Romli","given":"Lili","non-dropping-particle":"","parse-names":false,"suffix":""},{"dropping-particle":"","family":"Efriza","given":"Efriza","non-dropping-particle":"","parse-names":false,"suffix":""}],"container-title":"Politik Indonesia: Indonesian Political Science Review","id":"ITEM-3","issue":"3","issued":{"date-parts":[["2021"]]},"page":"265-288","title":"Single candidate and the dynamics of 2020 Indonesian Simultaneous Election: A perspective on internal contestation","type":"article-journal","volume":"6"},"uris":["http://www.mendeley.com/documents/?uuid=6d6c4290-91da-410e-9699-381e608b5e2f"]}],"mendeley":{"formattedCitation":"(Mayangsari &amp; Permana, 2019; Purwaningsih &amp; Widodo, 2021; Romli &amp; Efriza, 2021)","plainTextFormattedCitation":"(Mayangsari &amp; Permana, 2019; Purwaningsih &amp; Widodo, 2021; Romli &amp; Efriza, 2021)","previouslyFormattedCitation":"(Mayangsari &amp; Permana, 2019; Purwaningsih &amp; Widodo, 2021; Romli &amp; Efriza, 2021)"},"properties":{"noteIndex":0},"schema":"https://github.com/citation-style-language/schema/raw/master/csl-citation.json"}</w:instrText>
      </w:r>
      <w:r w:rsidRPr="001F10BD">
        <w:rPr>
          <w:rFonts w:ascii="Book Antiqua" w:hAnsi="Book Antiqua"/>
          <w:spacing w:val="-1"/>
          <w:sz w:val="22"/>
          <w:szCs w:val="22"/>
          <w:lang w:eastAsia="x-none"/>
        </w:rPr>
        <w:fldChar w:fldCharType="separate"/>
      </w:r>
      <w:r w:rsidRPr="001F10BD">
        <w:rPr>
          <w:rFonts w:ascii="Book Antiqua" w:hAnsi="Book Antiqua"/>
          <w:noProof/>
          <w:spacing w:val="-1"/>
          <w:sz w:val="22"/>
          <w:szCs w:val="22"/>
          <w:lang w:eastAsia="x-none"/>
        </w:rPr>
        <w:t>(Mayangsari &amp; Permana, 2019; Purwaningsih &amp; Widodo, 2021; Romli &amp; Efriza, 2021)</w:t>
      </w:r>
      <w:r w:rsidRPr="001F10BD">
        <w:rPr>
          <w:rFonts w:ascii="Book Antiqua" w:hAnsi="Book Antiqua"/>
          <w:spacing w:val="-1"/>
          <w:sz w:val="22"/>
          <w:szCs w:val="22"/>
          <w:lang w:eastAsia="x-none"/>
        </w:rPr>
        <w:fldChar w:fldCharType="end"/>
      </w:r>
      <w:r w:rsidRPr="001F10BD">
        <w:rPr>
          <w:rFonts w:ascii="Book Antiqua" w:hAnsi="Book Antiqua"/>
          <w:spacing w:val="-1"/>
          <w:sz w:val="22"/>
          <w:szCs w:val="22"/>
          <w:lang w:eastAsia="x-none"/>
        </w:rPr>
        <w:t xml:space="preserve">. Therefore, serious efforts are needed to overcome the factors driving the emergence of a single candidate, such as improving monitoring mechanisms for political costs, strengthening the political party cadre system, clarifying the rules for individual candidates, and prioritizing mutual agreements and interests in political coalitions. In this way, the democratic process in the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elections in 2024 and beyond can better represent the interests of society as a whole and avoid democratic anomalies that have the potential to harm public participation.</w:t>
      </w:r>
    </w:p>
    <w:p w14:paraId="44029DE9"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High political costs are one of the main concerns. High campaign costs have provided an advantage to candidates with access to sufficient financial resources while limiting the participation of those with financial limitations </w:t>
      </w:r>
      <w:r w:rsidRPr="001F10BD">
        <w:rPr>
          <w:rFonts w:ascii="Book Antiqua" w:hAnsi="Book Antiqua"/>
          <w:spacing w:val="-1"/>
          <w:sz w:val="22"/>
          <w:szCs w:val="22"/>
          <w:lang w:eastAsia="x-none"/>
        </w:rPr>
        <w:fldChar w:fldCharType="begin" w:fldLock="1"/>
      </w:r>
      <w:r w:rsidRPr="001F10BD">
        <w:rPr>
          <w:rFonts w:ascii="Book Antiqua" w:hAnsi="Book Antiqua"/>
          <w:spacing w:val="-1"/>
          <w:sz w:val="22"/>
          <w:szCs w:val="22"/>
          <w:lang w:eastAsia="x-none"/>
        </w:rPr>
        <w:instrText>ADDIN CSL_CITATION {"citationItems":[{"id":"ITEM-1","itemData":{"DOI":"10.1017/jea.2016.31","ISSN":"15982408","abstract":"What underlying logic explains candidate participation in vote buying, given that clientelist exchange is so difficult to enforce? We address this question through close analysis of campaigns by several dozen candidates in two electoral districts in Java, Indonesia. Analyzing candidates' targeting and pricing strategies, we show that candidates used personal brokerage structures that drew on social networks to identify voters and deliver payments to them. But these candidates achieved vote totals averaging about one quarter of the number of payments they distributed. Many candidates claimed to be targeting loyalists, suggestive of \"turnout buying,\" but judged loyalty in personal rather than partisan terms, and extended their vote-buying reach through personal connections mediated by brokers. Candidates were market sensitive, paying prices per vote determined not only by personal resources, but also by constituency size and prices offered by competitors. Accordingly, we argue that a market logic structures Indonesia's system of vote buying.","author":[{"dropping-particle":"","family":"Aspinall","given":"Edward","non-dropping-particle":"","parse-names":false,"suffix":""},{"dropping-particle":"","family":"Rohman","given":"Noor","non-dropping-particle":"","parse-names":false,"suffix":""},{"dropping-particle":"","family":"Hamdi","given":"Ahmad Zainul","non-dropping-particle":"","parse-names":false,"suffix":""},{"dropping-particle":"","family":"Rubaidi","given":"","non-dropping-particle":"","parse-names":false,"suffix":""},{"dropping-particle":"","family":"Triantini","given":"Zusiana Elly","non-dropping-particle":"","parse-names":false,"suffix":""}],"container-title":"Journal of East Asian Studies","id":"ITEM-1","issue":"1","issued":{"date-parts":[["2017"]]},"page":"1-27","title":"Vote buying in Indonesia: Candidate strategies, market logic and effectiveness","type":"article-journal","volume":"17"},"uris":["http://www.mendeley.com/documents/?uuid=93deadce-e0e7-4c1c-a85f-7e49dba4db2c"]},{"id":"ITEM-2","itemData":{"DOI":"10.1080/00074918.2019.1690412","ISSN":"14727234","abstract":"Indonesia’s 2019 elections confirmed both the country’s status as a competitive electoral democracy and the trend of decreasing democratic quality. In this article, we investigate this seemingly paradoxical pattern by highlighting four political arenas directly associated with the elections. First, the incumbent government’s failure to secure a larger margin of victory for President Jokowi highlights the continued competitiveness of the electoral system, despite attempts to use state agencies for the president’s re-election campaign. Second, although efforts to mobilise state resources for Jokowi were largely unsuccessful, they added to an already significant illiberal shift. Third, the elections further accelerated the weakening of political parties, with the personalisation of legislative polls achieving new heights. Finally, the election campaign and results led to a level of religious polarisation in voting behaviour that was last seen in the 1950s. In analysing these themes, we argue that while the co-existence of Indonesia’s competitive elections with illiberal trends appears contradictory, the two are in fact interrelated.","author":[{"dropping-particle":"","family":"Aspinall","given":"Edward","non-dropping-particle":"","parse-names":false,"suffix":""},{"dropping-particle":"","family":"Mietzner","given":"Marcus","non-dropping-particle":"","parse-names":false,"suffix":""}],"container-title":"Bulletin of Indonesian Economic Studies","id":"ITEM-2","issue":"3","issued":{"date-parts":[["2019"]]},"page":"295-317","title":"Indonesia’s Democratic Paradox: Competitive Elections amidst Rising Illiberalism","type":"article-journal","volume":"55"},"uris":["http://www.mendeley.com/documents/?uuid=d67fdf33-7ee7-4c27-aa12-120985fb814e"]}],"mendeley":{"formattedCitation":"(Aspinall et al., 2017; Aspinall &amp; Mietzner, 2019)","plainTextFormattedCitation":"(Aspinall et al., 2017; Aspinall &amp; Mietzner, 2019)","previouslyFormattedCitation":"(Aspinall et al., 2017; Aspinall &amp; Mietzner, 2019)"},"properties":{"noteIndex":0},"schema":"https://github.com/citation-style-language/schema/raw/master/csl-citation.json"}</w:instrText>
      </w:r>
      <w:r w:rsidRPr="001F10BD">
        <w:rPr>
          <w:rFonts w:ascii="Book Antiqua" w:hAnsi="Book Antiqua"/>
          <w:spacing w:val="-1"/>
          <w:sz w:val="22"/>
          <w:szCs w:val="22"/>
          <w:lang w:eastAsia="x-none"/>
        </w:rPr>
        <w:fldChar w:fldCharType="separate"/>
      </w:r>
      <w:r w:rsidRPr="001F10BD">
        <w:rPr>
          <w:rFonts w:ascii="Book Antiqua" w:hAnsi="Book Antiqua"/>
          <w:noProof/>
          <w:spacing w:val="-1"/>
          <w:sz w:val="22"/>
          <w:szCs w:val="22"/>
          <w:lang w:eastAsia="x-none"/>
        </w:rPr>
        <w:t>(Aspinall et al., 2017; Aspinall &amp; Mietzner, 2019)</w:t>
      </w:r>
      <w:r w:rsidRPr="001F10BD">
        <w:rPr>
          <w:rFonts w:ascii="Book Antiqua" w:hAnsi="Book Antiqua"/>
          <w:spacing w:val="-1"/>
          <w:sz w:val="22"/>
          <w:szCs w:val="22"/>
          <w:lang w:eastAsia="x-none"/>
        </w:rPr>
        <w:fldChar w:fldCharType="end"/>
      </w:r>
      <w:r w:rsidRPr="001F10BD">
        <w:rPr>
          <w:rFonts w:ascii="Book Antiqua" w:hAnsi="Book Antiqua"/>
          <w:spacing w:val="-1"/>
          <w:sz w:val="22"/>
          <w:szCs w:val="22"/>
          <w:lang w:eastAsia="x-none"/>
        </w:rPr>
        <w:t xml:space="preserve">. This could lead to the dominance of candidates from certain groups, raising questions about equality of access and representation in the democratic process in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Second, the failure of the regional political party cadre formation system has reduced the diversity of quality candidates </w:t>
      </w:r>
      <w:r w:rsidRPr="001F10BD">
        <w:rPr>
          <w:rFonts w:ascii="Book Antiqua" w:hAnsi="Book Antiqua"/>
          <w:spacing w:val="-1"/>
          <w:sz w:val="22"/>
          <w:szCs w:val="22"/>
          <w:lang w:eastAsia="x-none"/>
        </w:rPr>
        <w:fldChar w:fldCharType="begin" w:fldLock="1"/>
      </w:r>
      <w:r w:rsidRPr="001F10BD">
        <w:rPr>
          <w:rFonts w:ascii="Book Antiqua" w:hAnsi="Book Antiqua"/>
          <w:spacing w:val="-1"/>
          <w:sz w:val="22"/>
          <w:szCs w:val="22"/>
          <w:lang w:eastAsia="x-none"/>
        </w:rPr>
        <w:instrText>ADDIN CSL_CITATION {"citationItems":[{"id":"ITEM-1","itemData":{"DOI":"10.47305/JLIA2283063p","ISSN":"18579760","abstract":"The selection process for local head candidates in the electoral democracy in Indonesia is still closed and confidential. Recruitment regulations are insufficient to control the informal actions of the candidate selection process, which is based on political pragmatism. (1.) This paper examines the dynamics of local head candidate selection from the rational choice institutionalism approach, with the coll ective action perspective. (2.) The research method uses content analysis, with analyzed interpretively using the NVivo 12 plus application. (3.) Resear ch findings show that candidate selection in political parties is not entirely based on supply and demand but as a rational choice formed from the collective actions of party elites. In deciding the mayoral candidate in Makassar City in Indonesia 2020, political parties are influenced by collective mentality, individual quality, group size and resources in political parties. (4.) The conclusion is that the rational choice institutionalism approach through the practices of principal-agent, game-theory and rule-based models occurs in the selection of local head candidates. This rational choice institutionalism approach explains the tension between political actors to maximize personal and group interests in political party institutions.","author":[{"dropping-particle":"","family":"Prianto","given":"Andi Luhur","non-dropping-particle":"","parse-names":false,"suffix":""},{"dropping-particle":"","family":"Nurmandi","given":"Achmad","non-dropping-particle":"","parse-names":false,"suffix":""},{"dropping-particle":"","family":"Qodir","given":"Zuly","non-dropping-particle":"","parse-names":false,"suffix":""},{"dropping-particle":"","family":"Jubba","given":"Hasse","non-dropping-particle":"","parse-names":false,"suffix":""}],"container-title":"Journal of Liberty and International Affairs","id":"ITEM-1","issue":"3","issued":{"date-parts":[["2022"]]},"page":"63-82","title":"Does Collective Action Institutionalize Rational Choice? Candidate Selection in Indonesian Political Parties","type":"article-journal","volume":"8"},"uris":["http://www.mendeley.com/documents/?uuid=58b3720e-4d33-4378-8340-68d8faffcf62"]},{"id":"ITEM-2","itemData":{"DOI":"https://doi.org/10.1007/978-981-99-3091-3_84","ISBN":"9789819930913","author":[{"dropping-particle":"","family":"Jubba","given":"Hasse","non-dropping-particle":"","parse-names":false,"suffix":""},{"dropping-particle":"","family":"Baharuddin","given":"Tawakkal","non-dropping-particle":"","parse-names":false,"suffix":""},{"dropping-particle":"","family":"Qodir","given":"Zuly","non-dropping-particle":"","parse-names":false,"suffix":""},{"dropping-particle":"","family":"Iribaram","given":"Suparto","non-dropping-particle":"","parse-names":false,"suffix":""}],"container-title":"International Congress on Information and Communication Technology","id":"ITEM-2","issued":{"date-parts":[["2023"]]},"page":"1027-1034","publisher":"Springer, Singapore","publisher-place":"London","title":"Sentiment Analysis : Predicting the Position of Islamic Political Parties in Indonesia in the Next Election","type":"paper-conference"},"uris":["http://www.mendeley.com/documents/?uuid=e2f759de-7cf6-4ba5-a3db-bc97e4768b88"]}],"mendeley":{"formattedCitation":"(Jubba et al., 2023; Prianto et al., 2022)","plainTextFormattedCitation":"(Jubba et al., 2023; Prianto et al., 2022)","previouslyFormattedCitation":"(Jubba et al., 2023; Prianto et al., 2022)"},"properties":{"noteIndex":0},"schema":"https://github.com/citation-style-language/schema/raw/master/csl-citation.json"}</w:instrText>
      </w:r>
      <w:r w:rsidRPr="001F10BD">
        <w:rPr>
          <w:rFonts w:ascii="Book Antiqua" w:hAnsi="Book Antiqua"/>
          <w:spacing w:val="-1"/>
          <w:sz w:val="22"/>
          <w:szCs w:val="22"/>
          <w:lang w:eastAsia="x-none"/>
        </w:rPr>
        <w:fldChar w:fldCharType="separate"/>
      </w:r>
      <w:r w:rsidRPr="001F10BD">
        <w:rPr>
          <w:rFonts w:ascii="Book Antiqua" w:hAnsi="Book Antiqua"/>
          <w:noProof/>
          <w:spacing w:val="-1"/>
          <w:sz w:val="22"/>
          <w:szCs w:val="22"/>
          <w:lang w:eastAsia="x-none"/>
        </w:rPr>
        <w:t>(Jubba et al., 2023; Prianto et al., 2022)</w:t>
      </w:r>
      <w:r w:rsidRPr="001F10BD">
        <w:rPr>
          <w:rFonts w:ascii="Book Antiqua" w:hAnsi="Book Antiqua"/>
          <w:spacing w:val="-1"/>
          <w:sz w:val="22"/>
          <w:szCs w:val="22"/>
          <w:lang w:eastAsia="x-none"/>
        </w:rPr>
        <w:fldChar w:fldCharType="end"/>
      </w:r>
      <w:r w:rsidRPr="001F10BD">
        <w:rPr>
          <w:rFonts w:ascii="Book Antiqua" w:hAnsi="Book Antiqua"/>
          <w:spacing w:val="-1"/>
          <w:sz w:val="22"/>
          <w:szCs w:val="22"/>
          <w:lang w:eastAsia="x-none"/>
        </w:rPr>
        <w:t xml:space="preserve">. Limitations in developing local cadres who represent the community's aspirations evenly have resulted in a lack of quality candidate options, often only offering one or a few candidates from existing political parties. The impact of this failure not only narrowed the options for quality candidates but also substantially reduced political plurality in the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w:t>
      </w:r>
    </w:p>
    <w:p w14:paraId="3370C94A"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Furthermore, the difficulty of individual candidates in fulfilling the requirements for regional head candidacy is also an important concern. Complex and difficult-to-</w:t>
      </w:r>
      <w:proofErr w:type="spellStart"/>
      <w:r w:rsidRPr="001F10BD">
        <w:rPr>
          <w:rFonts w:ascii="Book Antiqua" w:hAnsi="Book Antiqua"/>
          <w:spacing w:val="-1"/>
          <w:sz w:val="22"/>
          <w:szCs w:val="22"/>
          <w:lang w:eastAsia="x-none"/>
        </w:rPr>
        <w:t>fulfill</w:t>
      </w:r>
      <w:proofErr w:type="spellEnd"/>
      <w:r w:rsidRPr="001F10BD">
        <w:rPr>
          <w:rFonts w:ascii="Book Antiqua" w:hAnsi="Book Antiqua"/>
          <w:spacing w:val="-1"/>
          <w:sz w:val="22"/>
          <w:szCs w:val="22"/>
          <w:lang w:eastAsia="x-none"/>
        </w:rPr>
        <w:t xml:space="preserve"> requirements, such as the number of supports and limited </w:t>
      </w:r>
      <w:r w:rsidRPr="001F10BD">
        <w:rPr>
          <w:rFonts w:ascii="Book Antiqua" w:hAnsi="Book Antiqua"/>
          <w:spacing w:val="-1"/>
          <w:sz w:val="22"/>
          <w:szCs w:val="22"/>
          <w:lang w:eastAsia="x-none"/>
        </w:rPr>
        <w:lastRenderedPageBreak/>
        <w:t xml:space="preserve">distribution of support areas, have limited the options for independent candidates </w:t>
      </w:r>
      <w:r w:rsidRPr="001F10BD">
        <w:rPr>
          <w:rFonts w:ascii="Book Antiqua" w:hAnsi="Book Antiqua"/>
          <w:spacing w:val="-1"/>
          <w:sz w:val="22"/>
          <w:szCs w:val="22"/>
          <w:lang w:eastAsia="x-none"/>
        </w:rPr>
        <w:fldChar w:fldCharType="begin" w:fldLock="1"/>
      </w:r>
      <w:r w:rsidRPr="001F10BD">
        <w:rPr>
          <w:rFonts w:ascii="Book Antiqua" w:hAnsi="Book Antiqua"/>
          <w:spacing w:val="-1"/>
          <w:sz w:val="22"/>
          <w:szCs w:val="22"/>
          <w:lang w:eastAsia="x-none"/>
        </w:rPr>
        <w:instrText>ADDIN CSL_CITATION {"citationItems":[{"id":"ITEM-1","itemData":{"DOI":"10.1016/j.electstud.2017.06.002","ISSN":"02613794","abstract":"We use evidence from Indonesia's April 2014 legislative elections to study the relationship between incumbency, list position, candidate characteristics, and electoral success in open-list PR systems. Contrary to a recent literature identifying an incumbency disadvantage in other large developing democracies, we identify a consistent personal incumbency advantage in Indonesia. However, we argue that this advantage is mediated by party choices over how incumbents and newcomers are ranked on party lists, a key heuristic for voters in low-information electoral environments such as Indonesia.","author":[{"dropping-particle":"","family":"Dettman","given":"Sebastian","non-dropping-particle":"","parse-names":false,"suffix":""},{"dropping-particle":"","family":"Pepinsky","given":"Thomas B.","non-dropping-particle":"","parse-names":false,"suffix":""},{"dropping-particle":"","family":"Pierskalla","given":"Jan H.","non-dropping-particle":"","parse-names":false,"suffix":""}],"container-title":"Electoral Studies","id":"ITEM-1","issued":{"date-parts":[["2017"]]},"page":"111-120","title":"Incumbency advantage and candidate characteristics in open-list proportional representation systems: Evidence from Indonesia","type":"article-journal","volume":"48"},"uris":["http://www.mendeley.com/documents/?uuid=5465d263-5542-45ea-8108-47a0a3a11d24"]},{"id":"ITEM-2","itemData":{"abstract":"This study aims to explore how the political dynamics in the local election of Makassar City in 2018. In particular, this study reconnoitered the causes of the victory of empty box and analyze the role of political parties and incumbents in the candidacy process and election. Qualitative research methods were used in this research. Documentation was carried out to obtain data related to actor networks in the local election, vote acquisition, election regulations and as well as political party support in the local election, which is obtained from books, journals and news in the mass media. In addition, FGD was carried out from stakeholders inviting academics, students and NGO activists to obtain data and interpretations of the collected data. Qualitative descriptive analysis was carried out by interpreting the collected data, verifying and generalizing the data to conclude this research. This research revealed that the empty box in the local election of Makassar City is actually not an empty box, nonetheless it is the representation of the incumbent who was disqualified from the local elections. Most of the political parties supported the sole candidate formally. It was found that there was a difference between party policy at the local level and party policies at the national level. Further, the party decision making was found to be centralized.","author":[{"dropping-particle":"","family":"Purwaningsih","given":"T.","non-dropping-particle":"","parse-names":false,"suffix":""},{"dropping-particle":"","family":"Widodo","given":"B.E.C.","non-dropping-particle":"","parse-names":false,"suffix":""}],"container-title":"Sociologia y Tecnociencia","id":"ITEM-2","issue":"2","issued":{"date-parts":[["2021"]]},"page":"48-71","title":"Democracy without contestation: The victory of the empty box in the local election of makassar city, South Sulawesi Indonesia in 2018 | La Victoria de la caja vacía en las elecciones locales de la ciudad de Makassar, en el sur de Sulawesi Indonesia en 201","type":"article-journal","volume":"11"},"uris":["http://www.mendeley.com/documents/?uuid=2dd24246-b897-4775-8cfe-13e490017fca"]}],"mendeley":{"formattedCitation":"(Dettman et al., 2017; Purwaningsih &amp; Widodo, 2021)","plainTextFormattedCitation":"(Dettman et al., 2017; Purwaningsih &amp; Widodo, 2021)","previouslyFormattedCitation":"(Dettman et al., 2017; Purwaningsih &amp; Widodo, 2021)"},"properties":{"noteIndex":0},"schema":"https://github.com/citation-style-language/schema/raw/master/csl-citation.json"}</w:instrText>
      </w:r>
      <w:r w:rsidRPr="001F10BD">
        <w:rPr>
          <w:rFonts w:ascii="Book Antiqua" w:hAnsi="Book Antiqua"/>
          <w:spacing w:val="-1"/>
          <w:sz w:val="22"/>
          <w:szCs w:val="22"/>
          <w:lang w:eastAsia="x-none"/>
        </w:rPr>
        <w:fldChar w:fldCharType="separate"/>
      </w:r>
      <w:r w:rsidRPr="001F10BD">
        <w:rPr>
          <w:rFonts w:ascii="Book Antiqua" w:hAnsi="Book Antiqua"/>
          <w:noProof/>
          <w:spacing w:val="-1"/>
          <w:sz w:val="22"/>
          <w:szCs w:val="22"/>
          <w:lang w:eastAsia="x-none"/>
        </w:rPr>
        <w:t>(Dettman et al., 2017; Purwaningsih &amp; Widodo, 2021)</w:t>
      </w:r>
      <w:r w:rsidRPr="001F10BD">
        <w:rPr>
          <w:rFonts w:ascii="Book Antiqua" w:hAnsi="Book Antiqua"/>
          <w:spacing w:val="-1"/>
          <w:sz w:val="22"/>
          <w:szCs w:val="22"/>
          <w:lang w:eastAsia="x-none"/>
        </w:rPr>
        <w:fldChar w:fldCharType="end"/>
      </w:r>
      <w:r w:rsidRPr="001F10BD">
        <w:rPr>
          <w:rFonts w:ascii="Book Antiqua" w:hAnsi="Book Antiqua"/>
          <w:spacing w:val="-1"/>
          <w:sz w:val="22"/>
          <w:szCs w:val="22"/>
          <w:lang w:eastAsia="x-none"/>
        </w:rPr>
        <w:t xml:space="preserve"> . This often gives rise to a situation where it is easier for a single candidate to win the position, reducing variation and plurality in voter choice. Lastly, the pragmatism of political party coalitions at the local level has narrowed the democratic space that should be more open. Alliances based on considerations of political interests and power rather than clear program vision and mission can reduce opportunities for the emergence of diverse candidate options that reflect the aspirations of society as a whole.</w:t>
      </w:r>
    </w:p>
    <w:p w14:paraId="08E6E6F7" w14:textId="77777777" w:rsidR="001F10BD" w:rsidRPr="001F10BD" w:rsidRDefault="001F10BD" w:rsidP="001F10BD">
      <w:pPr>
        <w:spacing w:line="360" w:lineRule="auto"/>
        <w:jc w:val="both"/>
        <w:rPr>
          <w:rFonts w:ascii="Book Antiqua" w:hAnsi="Book Antiqua"/>
          <w:spacing w:val="-1"/>
          <w:lang w:eastAsia="x-none"/>
        </w:rPr>
      </w:pPr>
      <w:r w:rsidRPr="001F10BD">
        <w:rPr>
          <w:rFonts w:ascii="Book Antiqua" w:hAnsi="Book Antiqua"/>
          <w:spacing w:val="-1"/>
          <w:lang w:eastAsia="x-none"/>
        </w:rPr>
        <w:t xml:space="preserve">Considering the various determinant factors that have been discussed, the potential for the emergence of a single candidate in the 2024 </w:t>
      </w:r>
      <w:proofErr w:type="spellStart"/>
      <w:r w:rsidRPr="001F10BD">
        <w:rPr>
          <w:rFonts w:ascii="Book Antiqua" w:hAnsi="Book Antiqua"/>
          <w:spacing w:val="-1"/>
          <w:lang w:eastAsia="x-none"/>
        </w:rPr>
        <w:t>Buton</w:t>
      </w:r>
      <w:proofErr w:type="spellEnd"/>
      <w:r w:rsidRPr="001F10BD">
        <w:rPr>
          <w:rFonts w:ascii="Book Antiqua" w:hAnsi="Book Antiqua"/>
          <w:spacing w:val="-1"/>
          <w:lang w:eastAsia="x-none"/>
        </w:rPr>
        <w:t xml:space="preserve"> Regional Election can be understood as a result of the complexity of political dynamics and the existing system. Limited financial access, failures in the cadre system, difficult requirements for independent candidates, and the pragmatism of political party coalitions all significantly contribute to this phenomenon. To ensure a more inclusive and representative democratic process, collective efforts are needed to overcome these obstacles and strengthen fundamental aspects of the political system in </w:t>
      </w:r>
      <w:proofErr w:type="spellStart"/>
      <w:r w:rsidRPr="001F10BD">
        <w:rPr>
          <w:rFonts w:ascii="Book Antiqua" w:hAnsi="Book Antiqua"/>
          <w:spacing w:val="-1"/>
          <w:lang w:eastAsia="x-none"/>
        </w:rPr>
        <w:t>Buton</w:t>
      </w:r>
      <w:proofErr w:type="spellEnd"/>
      <w:r w:rsidRPr="001F10BD">
        <w:rPr>
          <w:rFonts w:ascii="Book Antiqua" w:hAnsi="Book Antiqua"/>
          <w:spacing w:val="-1"/>
          <w:lang w:eastAsia="x-none"/>
        </w:rPr>
        <w:t>.</w:t>
      </w:r>
    </w:p>
    <w:p w14:paraId="1D37455C"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In order to minimize the potential for a single candidate to emerge in the 2024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 several strategic steps can be taken. First, it is important to strengthen the political party cadre system in the regions by paying attention to diversity and more equal representation. This can be done by involving more elements of society in the cadre selection process, thereby creating fairer opportunities for qualified candidates. An emphasis on cultivating a cadre with a strong commitment to public service and social equality can broaden the base of qualified candidates.</w:t>
      </w:r>
    </w:p>
    <w:p w14:paraId="6C6C93AA"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Second, stricter regulations regarding political costs in the regional election process must be enacted. These steps could include tighter oversight of the sources and use of campaign funds and limits on the amount each candidate can spend. In this way, it is hoped that political participation will not only be limited to those with abundant financial resources but can also enable wider access for candidates from various backgrounds.</w:t>
      </w:r>
    </w:p>
    <w:p w14:paraId="1C69D845"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Third, there needs to be a revision of the nomination requirements for individual candidates so that they are more accessible to potential individuals. Overly complex and restrictive procedures could be reviewed so that independent candidates have a fairer chance of competing. Establishing more inclusive and proportional regulations can help create a more democratic environment and stimulate wider participation from various levels of society.</w:t>
      </w:r>
    </w:p>
    <w:p w14:paraId="239A9E1E"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Finally, to overcome the pragmatism of political party coalitions at the local level, it is necessary to increase supervision of forming political alliances. Support for political parties prioritizing a clear vision, mission, and programs must be increased. In contrast, awareness of the importance of forming coalitions based on healthy and </w:t>
      </w:r>
      <w:r w:rsidRPr="001F10BD">
        <w:rPr>
          <w:rFonts w:ascii="Book Antiqua" w:hAnsi="Book Antiqua"/>
          <w:spacing w:val="-1"/>
          <w:sz w:val="22"/>
          <w:szCs w:val="22"/>
          <w:lang w:eastAsia="x-none"/>
        </w:rPr>
        <w:lastRenderedPageBreak/>
        <w:t xml:space="preserve">representative political principles must be increased. In this way, a more inclusive political climate will be created and encourage the emergence of diverse options for voters in the 2024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w:t>
      </w:r>
    </w:p>
    <w:p w14:paraId="7DB0B093" w14:textId="77777777" w:rsidR="001F10BD" w:rsidRPr="001F10BD" w:rsidRDefault="001F10BD" w:rsidP="001F10BD">
      <w:pPr>
        <w:pStyle w:val="IEEEParagraph"/>
        <w:ind w:firstLine="567"/>
        <w:rPr>
          <w:rFonts w:ascii="Book Antiqua" w:hAnsi="Book Antiqua"/>
          <w:spacing w:val="-1"/>
          <w:sz w:val="22"/>
          <w:szCs w:val="22"/>
          <w:lang w:eastAsia="x-none"/>
        </w:rPr>
      </w:pPr>
      <w:r w:rsidRPr="001F10BD">
        <w:rPr>
          <w:rFonts w:ascii="Book Antiqua" w:hAnsi="Book Antiqua"/>
          <w:spacing w:val="-1"/>
          <w:sz w:val="22"/>
          <w:szCs w:val="22"/>
          <w:lang w:eastAsia="x-none"/>
        </w:rPr>
        <w:t xml:space="preserve">These strategic steps' implications are significant for advancing democracy at the local level, especially in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By strengthening the political party cadre formation system, stricter regulations regarding political costs, revising nomination requirements for individual candidates, and increasing supervision of the process of forming political alliances, it is hoped that a political climate will be created that is more inclusive and equally represents the interests of society. In this way, political participation can be more open, and democracy in the 2024 </w:t>
      </w:r>
      <w:proofErr w:type="spellStart"/>
      <w:r w:rsidRPr="001F10BD">
        <w:rPr>
          <w:rFonts w:ascii="Book Antiqua" w:hAnsi="Book Antiqua"/>
          <w:spacing w:val="-1"/>
          <w:sz w:val="22"/>
          <w:szCs w:val="22"/>
          <w:lang w:eastAsia="x-none"/>
        </w:rPr>
        <w:t>Buton</w:t>
      </w:r>
      <w:proofErr w:type="spellEnd"/>
      <w:r w:rsidRPr="001F10BD">
        <w:rPr>
          <w:rFonts w:ascii="Book Antiqua" w:hAnsi="Book Antiqua"/>
          <w:spacing w:val="-1"/>
          <w:sz w:val="22"/>
          <w:szCs w:val="22"/>
          <w:lang w:eastAsia="x-none"/>
        </w:rPr>
        <w:t xml:space="preserve"> regional elections will better represent the aspirations of society as a whole. Hopefully, these steps will reduce pressure on the democratic process, which should be open and inclusive, and bring positive changes in local political dynamics, allowing wider participation from various levels of society.</w:t>
      </w:r>
    </w:p>
    <w:p w14:paraId="30F3F6E5" w14:textId="77777777" w:rsidR="001F10BD" w:rsidRPr="001F10BD" w:rsidRDefault="001F10BD" w:rsidP="001F10BD">
      <w:pPr>
        <w:pStyle w:val="IEEEParagraph"/>
        <w:ind w:firstLine="567"/>
        <w:rPr>
          <w:rFonts w:ascii="Book Antiqua" w:hAnsi="Book Antiqua"/>
          <w:spacing w:val="-1"/>
          <w:sz w:val="22"/>
          <w:szCs w:val="22"/>
          <w:lang w:eastAsia="x-none"/>
        </w:rPr>
      </w:pPr>
    </w:p>
    <w:p w14:paraId="364BE1DE" w14:textId="77777777" w:rsidR="001F10BD" w:rsidRDefault="001F10BD" w:rsidP="001F10BD">
      <w:pPr>
        <w:spacing w:line="360" w:lineRule="auto"/>
        <w:jc w:val="both"/>
        <w:rPr>
          <w:rFonts w:ascii="Candara" w:hAnsi="Candara"/>
          <w:b/>
          <w:color w:val="0070C0"/>
        </w:rPr>
      </w:pPr>
      <w:r>
        <w:rPr>
          <w:rFonts w:ascii="Candara" w:hAnsi="Candara"/>
          <w:b/>
          <w:color w:val="0070C0"/>
        </w:rPr>
        <w:t>CONCLUSIONS</w:t>
      </w:r>
    </w:p>
    <w:p w14:paraId="1824CD67" w14:textId="77777777" w:rsidR="001F10BD" w:rsidRPr="001F10BD" w:rsidRDefault="001F10BD" w:rsidP="001F10BD">
      <w:pPr>
        <w:ind w:firstLine="567"/>
        <w:jc w:val="both"/>
        <w:rPr>
          <w:rFonts w:ascii="Book Antiqua" w:hAnsi="Book Antiqua"/>
          <w:lang w:eastAsia="x-none"/>
        </w:rPr>
      </w:pPr>
      <w:r w:rsidRPr="001F10BD">
        <w:rPr>
          <w:rFonts w:ascii="Book Antiqua" w:hAnsi="Book Antiqua"/>
          <w:lang w:eastAsia="x-none"/>
        </w:rPr>
        <w:t xml:space="preserve">The findings of this study show that the emergence of a single candidate in the </w:t>
      </w:r>
      <w:proofErr w:type="spellStart"/>
      <w:r w:rsidRPr="001F10BD">
        <w:rPr>
          <w:rFonts w:ascii="Book Antiqua" w:hAnsi="Book Antiqua"/>
          <w:lang w:eastAsia="x-none"/>
        </w:rPr>
        <w:t>Buton</w:t>
      </w:r>
      <w:proofErr w:type="spellEnd"/>
      <w:r w:rsidRPr="001F10BD">
        <w:rPr>
          <w:rFonts w:ascii="Book Antiqua" w:hAnsi="Book Antiqua"/>
          <w:lang w:eastAsia="x-none"/>
        </w:rPr>
        <w:t xml:space="preserve"> regional elections was caused by various factors, including high political costs, failure in the political party cadre system, the pragmatism of political party coalitions at the local level, and the difficulty of individual candidates fulfilling the requirements. To minimize the potential for a single candidate to emerge in the 2024 </w:t>
      </w:r>
      <w:proofErr w:type="spellStart"/>
      <w:r w:rsidRPr="001F10BD">
        <w:rPr>
          <w:rFonts w:ascii="Book Antiqua" w:hAnsi="Book Antiqua"/>
          <w:lang w:eastAsia="x-none"/>
        </w:rPr>
        <w:t>Buton</w:t>
      </w:r>
      <w:proofErr w:type="spellEnd"/>
      <w:r w:rsidRPr="001F10BD">
        <w:rPr>
          <w:rFonts w:ascii="Book Antiqua" w:hAnsi="Book Antiqua"/>
          <w:lang w:eastAsia="x-none"/>
        </w:rPr>
        <w:t xml:space="preserve"> Regional Election, it is recommended to strengthen the political party cadre system, implement stricter regulations regarding political costs, revise the nomination requirements for independent candidates, and increase supervision of the process of forming political party coalitions. This research can provide benefits in increasing more inclusive and representative participation in the democratic process, ensuring fairness in political access for various social groups in </w:t>
      </w:r>
      <w:proofErr w:type="spellStart"/>
      <w:r w:rsidRPr="001F10BD">
        <w:rPr>
          <w:rFonts w:ascii="Book Antiqua" w:hAnsi="Book Antiqua"/>
          <w:lang w:eastAsia="x-none"/>
        </w:rPr>
        <w:t>Buton</w:t>
      </w:r>
      <w:proofErr w:type="spellEnd"/>
      <w:r w:rsidRPr="001F10BD">
        <w:rPr>
          <w:rFonts w:ascii="Book Antiqua" w:hAnsi="Book Antiqua"/>
          <w:lang w:eastAsia="x-none"/>
        </w:rPr>
        <w:t xml:space="preserve">. However, the limitations of this research lie in the limited data that covers all factors that can influence the phenomenon of the emergence of a single candidate in the </w:t>
      </w:r>
      <w:proofErr w:type="spellStart"/>
      <w:r w:rsidRPr="001F10BD">
        <w:rPr>
          <w:rFonts w:ascii="Book Antiqua" w:hAnsi="Book Antiqua"/>
          <w:lang w:eastAsia="x-none"/>
        </w:rPr>
        <w:t>Buton</w:t>
      </w:r>
      <w:proofErr w:type="spellEnd"/>
      <w:r w:rsidRPr="001F10BD">
        <w:rPr>
          <w:rFonts w:ascii="Book Antiqua" w:hAnsi="Book Antiqua"/>
          <w:lang w:eastAsia="x-none"/>
        </w:rPr>
        <w:t xml:space="preserve"> Regional Election. Further research is needed to accommodate this so that an analysis can be found that breaks down the high complexity and can provide a more comprehensive view.</w:t>
      </w:r>
    </w:p>
    <w:p w14:paraId="6A230AEE" w14:textId="77777777" w:rsidR="0080570A" w:rsidRPr="001F10BD" w:rsidRDefault="0080570A" w:rsidP="0080570A">
      <w:pPr>
        <w:spacing w:line="360" w:lineRule="auto"/>
        <w:jc w:val="both"/>
        <w:rPr>
          <w:rFonts w:ascii="Book Antiqua" w:hAnsi="Book Antiqua"/>
          <w:b/>
          <w:color w:val="0070C0"/>
        </w:rPr>
      </w:pPr>
    </w:p>
    <w:p w14:paraId="439A42B0" w14:textId="77777777" w:rsidR="0080570A" w:rsidRPr="001F10BD" w:rsidRDefault="0080570A" w:rsidP="0080570A">
      <w:pPr>
        <w:pStyle w:val="IEEEParagraph"/>
        <w:spacing w:after="240"/>
        <w:ind w:firstLine="0"/>
        <w:jc w:val="center"/>
        <w:rPr>
          <w:rFonts w:ascii="Book Antiqua" w:hAnsi="Book Antiqua"/>
          <w:spacing w:val="-1"/>
          <w:sz w:val="22"/>
          <w:szCs w:val="22"/>
          <w:lang w:eastAsia="x-none"/>
        </w:rPr>
      </w:pPr>
    </w:p>
    <w:p w14:paraId="32556B5B" w14:textId="77777777" w:rsidR="0080570A" w:rsidRDefault="0080570A" w:rsidP="0080570A">
      <w:pPr>
        <w:pStyle w:val="IEEEParagraph"/>
        <w:spacing w:after="240"/>
        <w:ind w:firstLine="0"/>
        <w:jc w:val="center"/>
        <w:rPr>
          <w:rFonts w:ascii="Book Antiqua" w:hAnsi="Book Antiqua"/>
          <w:spacing w:val="-1"/>
          <w:sz w:val="22"/>
          <w:szCs w:val="22"/>
          <w:lang w:eastAsia="x-none"/>
        </w:rPr>
      </w:pPr>
    </w:p>
    <w:p w14:paraId="1EA90BED" w14:textId="77777777" w:rsidR="001F10BD" w:rsidRDefault="001F10BD" w:rsidP="0080570A">
      <w:pPr>
        <w:pStyle w:val="IEEEParagraph"/>
        <w:spacing w:after="240"/>
        <w:ind w:firstLine="0"/>
        <w:jc w:val="center"/>
        <w:rPr>
          <w:rFonts w:ascii="Book Antiqua" w:hAnsi="Book Antiqua"/>
          <w:spacing w:val="-1"/>
          <w:sz w:val="22"/>
          <w:szCs w:val="22"/>
          <w:lang w:eastAsia="x-none"/>
        </w:rPr>
      </w:pPr>
    </w:p>
    <w:p w14:paraId="563B5631" w14:textId="77777777" w:rsidR="001F10BD" w:rsidRPr="001F10BD" w:rsidRDefault="001F10BD" w:rsidP="0080570A">
      <w:pPr>
        <w:pStyle w:val="IEEEParagraph"/>
        <w:spacing w:after="240"/>
        <w:ind w:firstLine="0"/>
        <w:jc w:val="center"/>
        <w:rPr>
          <w:rFonts w:ascii="Book Antiqua" w:hAnsi="Book Antiqua"/>
          <w:spacing w:val="-1"/>
          <w:sz w:val="22"/>
          <w:szCs w:val="22"/>
          <w:lang w:eastAsia="x-none"/>
        </w:rPr>
      </w:pPr>
    </w:p>
    <w:p w14:paraId="2189BFF7" w14:textId="1CF21FAA" w:rsidR="00916449" w:rsidRPr="001F10BD" w:rsidRDefault="00916449" w:rsidP="00916449">
      <w:pPr>
        <w:spacing w:line="276" w:lineRule="auto"/>
        <w:jc w:val="both"/>
        <w:rPr>
          <w:rFonts w:ascii="Book Antiqua" w:eastAsia="Calibri" w:hAnsi="Book Antiqua" w:cs="Arial"/>
        </w:rPr>
      </w:pPr>
    </w:p>
    <w:p w14:paraId="0FB5733C" w14:textId="63489C5C" w:rsidR="00916449" w:rsidRDefault="00916449" w:rsidP="00916449">
      <w:pPr>
        <w:spacing w:after="0" w:line="276" w:lineRule="auto"/>
        <w:jc w:val="both"/>
        <w:rPr>
          <w:rFonts w:ascii="Book Antiqua" w:eastAsia="Calibri" w:hAnsi="Book Antiqua" w:cs="Times New Roman"/>
        </w:rPr>
      </w:pPr>
      <w:r w:rsidRPr="006F0F22">
        <w:rPr>
          <w:rFonts w:ascii="Book Antiqua" w:eastAsia="Calibri" w:hAnsi="Book Antiqua" w:cs="Times New Roman"/>
          <w:b/>
          <w:szCs w:val="18"/>
          <w:lang w:val="pt-BR"/>
        </w:rPr>
        <w:t>REFER</w:t>
      </w:r>
      <w:r w:rsidRPr="006F0F22">
        <w:rPr>
          <w:rFonts w:ascii="Book Antiqua" w:eastAsia="Calibri" w:hAnsi="Book Antiqua" w:cs="Times New Roman"/>
          <w:b/>
          <w:szCs w:val="18"/>
          <w:lang w:val="id-ID"/>
        </w:rPr>
        <w:t>ENCES</w:t>
      </w:r>
      <w:r w:rsidRPr="006F0F22">
        <w:rPr>
          <w:rFonts w:ascii="Book Antiqua" w:eastAsia="Calibri" w:hAnsi="Book Antiqua" w:cs="Times New Roman"/>
          <w:b/>
          <w:szCs w:val="18"/>
          <w:lang w:val="pt-BR"/>
        </w:rPr>
        <w:t xml:space="preserve"> </w:t>
      </w:r>
      <w:r w:rsidRPr="006F0F22">
        <w:rPr>
          <w:rFonts w:ascii="Book Antiqua" w:eastAsia="Calibri" w:hAnsi="Book Antiqua" w:cs="Times New Roman"/>
          <w:szCs w:val="18"/>
        </w:rPr>
        <w:t>(Heading 1)</w:t>
      </w:r>
    </w:p>
    <w:p w14:paraId="24140E80"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Aminuddin, M. F., &amp; Attamimi, N. H. (2019). From Retail to Grocery: Money Politics in 2014 Indonesian Legislative Election. </w:t>
      </w:r>
      <w:r>
        <w:rPr>
          <w:rFonts w:ascii="Italic" w:hAnsi="Italic"/>
          <w:i/>
          <w:iCs/>
          <w:noProof/>
        </w:rPr>
        <w:t>Politik Indonesia: Indonesian Political Science Review</w:t>
      </w:r>
      <w:r>
        <w:rPr>
          <w:rFonts w:ascii="Italic" w:hAnsi="Italic"/>
          <w:noProof/>
        </w:rPr>
        <w:t xml:space="preserve">, </w:t>
      </w:r>
      <w:r>
        <w:rPr>
          <w:rFonts w:ascii="Italic" w:hAnsi="Italic"/>
          <w:i/>
          <w:iCs/>
          <w:noProof/>
        </w:rPr>
        <w:t>4</w:t>
      </w:r>
      <w:r>
        <w:rPr>
          <w:rFonts w:ascii="Italic" w:hAnsi="Italic"/>
          <w:noProof/>
        </w:rPr>
        <w:t>(1), 99–120. https://doi.org/10.15294/ipsr.v4i1.12609</w:t>
      </w:r>
    </w:p>
    <w:p w14:paraId="307D12BA"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Aspinall, E. (2005). Elections and the normalization of politics in Indonesia. </w:t>
      </w:r>
      <w:r>
        <w:rPr>
          <w:rFonts w:ascii="Italic" w:hAnsi="Italic"/>
          <w:i/>
          <w:iCs/>
          <w:noProof/>
        </w:rPr>
        <w:t>South East Asia Research</w:t>
      </w:r>
      <w:r>
        <w:rPr>
          <w:rFonts w:ascii="Italic" w:hAnsi="Italic"/>
          <w:noProof/>
        </w:rPr>
        <w:t xml:space="preserve">, </w:t>
      </w:r>
      <w:r>
        <w:rPr>
          <w:rFonts w:ascii="Italic" w:hAnsi="Italic"/>
          <w:i/>
          <w:iCs/>
          <w:noProof/>
        </w:rPr>
        <w:t>13</w:t>
      </w:r>
      <w:r>
        <w:rPr>
          <w:rFonts w:ascii="Italic" w:hAnsi="Italic"/>
          <w:noProof/>
        </w:rPr>
        <w:t>(2), 117–156. https://doi.org/10.5367/0000000054604515</w:t>
      </w:r>
    </w:p>
    <w:p w14:paraId="49443553"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Aspinall, E., &amp; Mietzner, M. (2019). Indonesia’s Democratic Paradox: Competitive Elections amidst Rising Illiberalism. </w:t>
      </w:r>
      <w:r>
        <w:rPr>
          <w:rFonts w:ascii="Italic" w:hAnsi="Italic"/>
          <w:i/>
          <w:iCs/>
          <w:noProof/>
        </w:rPr>
        <w:t>Bulletin of Indonesian Economic Studies</w:t>
      </w:r>
      <w:r>
        <w:rPr>
          <w:rFonts w:ascii="Italic" w:hAnsi="Italic"/>
          <w:noProof/>
        </w:rPr>
        <w:t xml:space="preserve">, </w:t>
      </w:r>
      <w:r>
        <w:rPr>
          <w:rFonts w:ascii="Italic" w:hAnsi="Italic"/>
          <w:i/>
          <w:iCs/>
          <w:noProof/>
        </w:rPr>
        <w:t>55</w:t>
      </w:r>
      <w:r>
        <w:rPr>
          <w:rFonts w:ascii="Italic" w:hAnsi="Italic"/>
          <w:noProof/>
        </w:rPr>
        <w:t>(3), 295–317. https://doi.org/10.1080/00074918.2019.1690412</w:t>
      </w:r>
    </w:p>
    <w:p w14:paraId="58BE7D21"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Aspinall, E., Rohman, N., Hamdi, A. Z., Rubaidi, &amp; Triantini, Z. E. (2017). Vote buying in Indonesia: Candidate strategies, market logic and effectiveness. </w:t>
      </w:r>
      <w:r>
        <w:rPr>
          <w:rFonts w:ascii="Italic" w:hAnsi="Italic"/>
          <w:i/>
          <w:iCs/>
          <w:noProof/>
        </w:rPr>
        <w:t>Journal of East Asian Studies</w:t>
      </w:r>
      <w:r>
        <w:rPr>
          <w:rFonts w:ascii="Italic" w:hAnsi="Italic"/>
          <w:noProof/>
        </w:rPr>
        <w:t xml:space="preserve">, </w:t>
      </w:r>
      <w:r>
        <w:rPr>
          <w:rFonts w:ascii="Italic" w:hAnsi="Italic"/>
          <w:i/>
          <w:iCs/>
          <w:noProof/>
        </w:rPr>
        <w:t>17</w:t>
      </w:r>
      <w:r>
        <w:rPr>
          <w:rFonts w:ascii="Italic" w:hAnsi="Italic"/>
          <w:noProof/>
        </w:rPr>
        <w:t>(1), 1–27. https://doi.org/10.1017/jea.2016.31</w:t>
      </w:r>
    </w:p>
    <w:p w14:paraId="1ED33BDF"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Baharuddin, T., &amp; Purwaningsih, T. (2017). Modalitas Calon Bupati Dalam Pemilihan Umum Kepala Daerah Tahun 2015. </w:t>
      </w:r>
      <w:r>
        <w:rPr>
          <w:rFonts w:ascii="Italic" w:hAnsi="Italic"/>
          <w:i/>
          <w:iCs/>
          <w:noProof/>
        </w:rPr>
        <w:t>Journal of Governance and Public Policy</w:t>
      </w:r>
      <w:r>
        <w:rPr>
          <w:rFonts w:ascii="Italic" w:hAnsi="Italic"/>
          <w:noProof/>
        </w:rPr>
        <w:t xml:space="preserve">, </w:t>
      </w:r>
      <w:r>
        <w:rPr>
          <w:rFonts w:ascii="Italic" w:hAnsi="Italic"/>
          <w:i/>
          <w:iCs/>
          <w:noProof/>
        </w:rPr>
        <w:t>4</w:t>
      </w:r>
      <w:r>
        <w:rPr>
          <w:rFonts w:ascii="Italic" w:hAnsi="Italic"/>
          <w:noProof/>
        </w:rPr>
        <w:t>(1), 205–237. https://doi.org/10.18196/jgpp.4176</w:t>
      </w:r>
    </w:p>
    <w:p w14:paraId="28ACAE88"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Baharuddin, T., Qodir, Z., Jubba, H., &amp; Nurmandi, A. (2022). Prediction of Indonesian presidential candidates in 2024 using sentiment analysis and text search on Twitter. </w:t>
      </w:r>
      <w:r>
        <w:rPr>
          <w:rFonts w:ascii="Italic" w:hAnsi="Italic"/>
          <w:i/>
          <w:iCs/>
          <w:noProof/>
        </w:rPr>
        <w:t>International Journal of Communication and Society</w:t>
      </w:r>
      <w:r>
        <w:rPr>
          <w:rFonts w:ascii="Italic" w:hAnsi="Italic"/>
          <w:noProof/>
        </w:rPr>
        <w:t xml:space="preserve">, </w:t>
      </w:r>
      <w:r>
        <w:rPr>
          <w:rFonts w:ascii="Italic" w:hAnsi="Italic"/>
          <w:i/>
          <w:iCs/>
          <w:noProof/>
        </w:rPr>
        <w:t>4</w:t>
      </w:r>
      <w:r>
        <w:rPr>
          <w:rFonts w:ascii="Italic" w:hAnsi="Italic"/>
          <w:noProof/>
        </w:rPr>
        <w:t>(2), 204–213. https://doi.org/10.31763/ijcs.v4i2.512</w:t>
      </w:r>
    </w:p>
    <w:p w14:paraId="03B06D0E"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Baharuddin, T., Sairin, S., Qodir, Z., &amp; Jubba, H. (2023). Form of Capital in Elections: Candidate Victory over Political Economy Domination. </w:t>
      </w:r>
      <w:r>
        <w:rPr>
          <w:rFonts w:ascii="Italic" w:hAnsi="Italic"/>
          <w:i/>
          <w:iCs/>
          <w:noProof/>
        </w:rPr>
        <w:t>The International Journal of Interdisciplinary Civic and Political Studies</w:t>
      </w:r>
      <w:r>
        <w:rPr>
          <w:rFonts w:ascii="Italic" w:hAnsi="Italic"/>
          <w:noProof/>
        </w:rPr>
        <w:t xml:space="preserve">, </w:t>
      </w:r>
      <w:r>
        <w:rPr>
          <w:rFonts w:ascii="Italic" w:hAnsi="Italic"/>
          <w:i/>
          <w:iCs/>
          <w:noProof/>
        </w:rPr>
        <w:t>18</w:t>
      </w:r>
      <w:r>
        <w:rPr>
          <w:rFonts w:ascii="Italic" w:hAnsi="Italic"/>
          <w:noProof/>
        </w:rPr>
        <w:t>(1), 77–96. https://doi.org/10.18848/2327-0071/CGP/v18i01/77-96</w:t>
      </w:r>
    </w:p>
    <w:p w14:paraId="225456CE"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Berenschot, W., &amp; Mulder, P. (2019). Explaining regional variation in local governance: Clientelism and state-dependency in Indonesia. </w:t>
      </w:r>
      <w:r>
        <w:rPr>
          <w:rFonts w:ascii="Italic" w:hAnsi="Italic"/>
          <w:i/>
          <w:iCs/>
          <w:noProof/>
        </w:rPr>
        <w:t>World Development</w:t>
      </w:r>
      <w:r>
        <w:rPr>
          <w:rFonts w:ascii="Italic" w:hAnsi="Italic"/>
          <w:noProof/>
        </w:rPr>
        <w:t xml:space="preserve">, </w:t>
      </w:r>
      <w:r>
        <w:rPr>
          <w:rFonts w:ascii="Italic" w:hAnsi="Italic"/>
          <w:i/>
          <w:iCs/>
          <w:noProof/>
        </w:rPr>
        <w:t>122</w:t>
      </w:r>
      <w:r>
        <w:rPr>
          <w:rFonts w:ascii="Italic" w:hAnsi="Italic"/>
          <w:noProof/>
        </w:rPr>
        <w:t>, 233–244. https://doi.org/10.1016/j.worlddev.2019.05.021</w:t>
      </w:r>
    </w:p>
    <w:p w14:paraId="1892D077"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Chen, J. (2022). Representing Chinese Indonesians: Pribumi Discourse and Regional Elections in Post-Reform Indonesia. </w:t>
      </w:r>
      <w:r>
        <w:rPr>
          <w:rFonts w:ascii="Italic" w:hAnsi="Italic"/>
          <w:i/>
          <w:iCs/>
          <w:noProof/>
        </w:rPr>
        <w:t>Journal of Current Southeast Asian Affairs</w:t>
      </w:r>
      <w:r>
        <w:rPr>
          <w:rFonts w:ascii="Italic" w:hAnsi="Italic"/>
          <w:noProof/>
        </w:rPr>
        <w:t xml:space="preserve">, </w:t>
      </w:r>
      <w:r>
        <w:rPr>
          <w:rFonts w:ascii="Italic" w:hAnsi="Italic"/>
          <w:i/>
          <w:iCs/>
          <w:noProof/>
        </w:rPr>
        <w:t>41</w:t>
      </w:r>
      <w:r>
        <w:rPr>
          <w:rFonts w:ascii="Italic" w:hAnsi="Italic"/>
          <w:noProof/>
        </w:rPr>
        <w:t>(1), 59–87. https://doi.org/10.1177/18681034211036716</w:t>
      </w:r>
    </w:p>
    <w:p w14:paraId="53541E7A"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Damanik, E. L. (2020). The desire of power: Candidate ambiguity and incumbent monopoly in local leaders’ election. </w:t>
      </w:r>
      <w:r>
        <w:rPr>
          <w:rFonts w:ascii="Italic" w:hAnsi="Italic"/>
          <w:i/>
          <w:iCs/>
          <w:noProof/>
        </w:rPr>
        <w:t>Masyarakat, Kebudayaan Dan Politik</w:t>
      </w:r>
      <w:r>
        <w:rPr>
          <w:rFonts w:ascii="Italic" w:hAnsi="Italic"/>
          <w:noProof/>
        </w:rPr>
        <w:t xml:space="preserve">, </w:t>
      </w:r>
      <w:r>
        <w:rPr>
          <w:rFonts w:ascii="Italic" w:hAnsi="Italic"/>
          <w:i/>
          <w:iCs/>
          <w:noProof/>
        </w:rPr>
        <w:t>33</w:t>
      </w:r>
      <w:r>
        <w:rPr>
          <w:rFonts w:ascii="Italic" w:hAnsi="Italic"/>
          <w:noProof/>
        </w:rPr>
        <w:t>(3), 286. https://doi.org/10.20473/mkp.v33i32020.286-298</w:t>
      </w:r>
    </w:p>
    <w:p w14:paraId="5D21FF77"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Dettman, S., Pepinsky, T. B., &amp; Pierskalla, J. H. (2017). Incumbency advantage and candidate characteristics in open-list proportional representation systems: Evidence from Indonesia. </w:t>
      </w:r>
      <w:r>
        <w:rPr>
          <w:rFonts w:ascii="Italic" w:hAnsi="Italic"/>
          <w:i/>
          <w:iCs/>
          <w:noProof/>
        </w:rPr>
        <w:t>Electoral Studies</w:t>
      </w:r>
      <w:r>
        <w:rPr>
          <w:rFonts w:ascii="Italic" w:hAnsi="Italic"/>
          <w:noProof/>
        </w:rPr>
        <w:t xml:space="preserve">, </w:t>
      </w:r>
      <w:r>
        <w:rPr>
          <w:rFonts w:ascii="Italic" w:hAnsi="Italic"/>
          <w:i/>
          <w:iCs/>
          <w:noProof/>
        </w:rPr>
        <w:t>48</w:t>
      </w:r>
      <w:r>
        <w:rPr>
          <w:rFonts w:ascii="Italic" w:hAnsi="Italic"/>
          <w:noProof/>
        </w:rPr>
        <w:t>, 111–120. https://doi.org/10.1016/j.electstud.2017.06.002</w:t>
      </w:r>
    </w:p>
    <w:p w14:paraId="7C526D91"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Endah Yuli, E. (2019). Pragmatisme Politik: Antara Koalisi, Pencalonan, dan Calon Tunggal Dalam Pilkada. </w:t>
      </w:r>
      <w:r>
        <w:rPr>
          <w:rFonts w:ascii="Italic" w:hAnsi="Italic"/>
          <w:i/>
          <w:iCs/>
          <w:noProof/>
        </w:rPr>
        <w:t>Jurnal Transformative</w:t>
      </w:r>
      <w:r>
        <w:rPr>
          <w:rFonts w:ascii="Italic" w:hAnsi="Italic"/>
          <w:noProof/>
        </w:rPr>
        <w:t xml:space="preserve">, </w:t>
      </w:r>
      <w:r>
        <w:rPr>
          <w:rFonts w:ascii="Italic" w:hAnsi="Italic"/>
          <w:i/>
          <w:iCs/>
          <w:noProof/>
        </w:rPr>
        <w:t>5</w:t>
      </w:r>
      <w:r>
        <w:rPr>
          <w:rFonts w:ascii="Italic" w:hAnsi="Italic"/>
          <w:noProof/>
        </w:rPr>
        <w:t xml:space="preserve">(1), 16–37. </w:t>
      </w:r>
      <w:r>
        <w:rPr>
          <w:rFonts w:ascii="Italic" w:hAnsi="Italic"/>
          <w:noProof/>
        </w:rPr>
        <w:lastRenderedPageBreak/>
        <w:t>https://core.ac.uk/download/pdf/230239078.pdf</w:t>
      </w:r>
    </w:p>
    <w:p w14:paraId="01423EC1"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Fionna, U., &amp; Hutchinson, F. E. (2019). Indonesia’S 2019 Elections: a Fractured Democracy? </w:t>
      </w:r>
      <w:r>
        <w:rPr>
          <w:rFonts w:ascii="Italic" w:hAnsi="Italic"/>
          <w:i/>
          <w:iCs/>
          <w:noProof/>
        </w:rPr>
        <w:t>Asian Affairs</w:t>
      </w:r>
      <w:r>
        <w:rPr>
          <w:rFonts w:ascii="Italic" w:hAnsi="Italic"/>
          <w:noProof/>
        </w:rPr>
        <w:t xml:space="preserve">, </w:t>
      </w:r>
      <w:r>
        <w:rPr>
          <w:rFonts w:ascii="Italic" w:hAnsi="Italic"/>
          <w:i/>
          <w:iCs/>
          <w:noProof/>
        </w:rPr>
        <w:t>50</w:t>
      </w:r>
      <w:r>
        <w:rPr>
          <w:rFonts w:ascii="Italic" w:hAnsi="Italic"/>
          <w:noProof/>
        </w:rPr>
        <w:t>(4), 502–519. https://doi.org/10.1080/03068374.2019.1672400</w:t>
      </w:r>
    </w:p>
    <w:p w14:paraId="656E14F4"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Harianto, Darmawan, W. B., &amp; Muradi. (2020). The Winning of Empty Box in the 2018 Makassar Regional Head Election. </w:t>
      </w:r>
      <w:r>
        <w:rPr>
          <w:rFonts w:ascii="Italic" w:hAnsi="Italic"/>
          <w:i/>
          <w:iCs/>
          <w:noProof/>
        </w:rPr>
        <w:t>Society</w:t>
      </w:r>
      <w:r>
        <w:rPr>
          <w:rFonts w:ascii="Italic" w:hAnsi="Italic"/>
          <w:noProof/>
        </w:rPr>
        <w:t xml:space="preserve">, </w:t>
      </w:r>
      <w:r>
        <w:rPr>
          <w:rFonts w:ascii="Italic" w:hAnsi="Italic"/>
          <w:i/>
          <w:iCs/>
          <w:noProof/>
        </w:rPr>
        <w:t>8</w:t>
      </w:r>
      <w:r>
        <w:rPr>
          <w:rFonts w:ascii="Italic" w:hAnsi="Italic"/>
          <w:noProof/>
        </w:rPr>
        <w:t>(2), 546–556. https://doi.org/10.33019/society.v8i2.203</w:t>
      </w:r>
    </w:p>
    <w:p w14:paraId="4B26C03D" w14:textId="77777777" w:rsidR="001F10BD" w:rsidRDefault="001F10BD" w:rsidP="001F10BD">
      <w:pPr>
        <w:widowControl w:val="0"/>
        <w:autoSpaceDE w:val="0"/>
        <w:autoSpaceDN w:val="0"/>
        <w:adjustRightInd w:val="0"/>
        <w:spacing w:after="120"/>
        <w:ind w:left="480" w:hanging="480"/>
        <w:jc w:val="both"/>
        <w:rPr>
          <w:rFonts w:ascii="Italic" w:hAnsi="Italic"/>
          <w:noProof/>
        </w:rPr>
      </w:pPr>
      <w:r>
        <w:rPr>
          <w:rFonts w:ascii="Italic" w:hAnsi="Italic"/>
          <w:noProof/>
        </w:rPr>
        <w:t xml:space="preserve">Haryanto, Sukmajati, M., &amp; Lay, C. (2019). Territory, Class, and Kinship: A Case Study of an Indonesian Regional Election. </w:t>
      </w:r>
      <w:r>
        <w:rPr>
          <w:rFonts w:ascii="Italic" w:hAnsi="Italic"/>
          <w:i/>
          <w:iCs/>
          <w:noProof/>
        </w:rPr>
        <w:t>Asian Politics and Policy</w:t>
      </w:r>
      <w:r>
        <w:rPr>
          <w:rFonts w:ascii="Italic" w:hAnsi="Italic"/>
          <w:noProof/>
        </w:rPr>
        <w:t xml:space="preserve">, </w:t>
      </w:r>
      <w:r>
        <w:rPr>
          <w:rFonts w:ascii="Italic" w:hAnsi="Italic"/>
          <w:i/>
          <w:iCs/>
          <w:noProof/>
        </w:rPr>
        <w:t>11</w:t>
      </w:r>
      <w:r>
        <w:rPr>
          <w:rFonts w:ascii="Italic" w:hAnsi="Italic"/>
          <w:noProof/>
        </w:rPr>
        <w:t>(1), 43–61. https://doi.org/10.1111/aspp.12444</w:t>
      </w:r>
    </w:p>
    <w:p w14:paraId="13B12EC0" w14:textId="77777777" w:rsidR="001F10BD" w:rsidRDefault="001F10BD" w:rsidP="001F10BD">
      <w:pPr>
        <w:rPr>
          <w:rFonts w:ascii="Candara" w:hAnsi="Candara"/>
          <w:sz w:val="24"/>
          <w:szCs w:val="24"/>
          <w:lang w:val="id-ID"/>
        </w:rPr>
      </w:pPr>
    </w:p>
    <w:p w14:paraId="6064E2AC" w14:textId="77777777" w:rsidR="003328B1" w:rsidRDefault="003328B1" w:rsidP="001F10BD">
      <w:pPr>
        <w:spacing w:after="0" w:line="276" w:lineRule="auto"/>
        <w:ind w:firstLine="567"/>
        <w:jc w:val="both"/>
      </w:pPr>
    </w:p>
    <w:sectPr w:rsidR="003328B1" w:rsidSect="003328B1">
      <w:headerReference w:type="default" r:id="rId10"/>
      <w:footerReference w:type="default" r:id="rId11"/>
      <w:headerReference w:type="first" r:id="rId12"/>
      <w:footerReference w:type="first" r:id="rId13"/>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86507" w14:textId="77777777" w:rsidR="00214818" w:rsidRDefault="00214818" w:rsidP="00C27709">
      <w:pPr>
        <w:spacing w:after="0" w:line="240" w:lineRule="auto"/>
      </w:pPr>
      <w:r>
        <w:separator/>
      </w:r>
    </w:p>
  </w:endnote>
  <w:endnote w:type="continuationSeparator" w:id="0">
    <w:p w14:paraId="2155E1F7" w14:textId="77777777" w:rsidR="00214818" w:rsidRDefault="00214818" w:rsidP="00C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Italic">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B4E76" w14:textId="00DEBED9" w:rsidR="00C27709" w:rsidRPr="003328B1" w:rsidRDefault="00C27709"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rPr>
      <mc:AlternateContent>
        <mc:Choice Requires="wps">
          <w:drawing>
            <wp:anchor distT="0" distB="0" distL="114300" distR="114300" simplePos="0" relativeHeight="251662336" behindDoc="0" locked="0" layoutInCell="1" allowOverlap="1" wp14:anchorId="5D573206" wp14:editId="00E6ADCF">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589D1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1.7pt" to="41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" strokecolor="windowTex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9991534"/>
  <w:p w14:paraId="2D325B20" w14:textId="01BFD00C" w:rsidR="003328B1" w:rsidRPr="00C27709" w:rsidRDefault="003328B1"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369D16E1" wp14:editId="7E4A8757">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326BC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7.8pt" to="41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" strokecolor="windowText">
              <v:stroke joinstyle="miter"/>
              <w10:wrap anchorx="margin"/>
            </v:line>
          </w:pict>
        </mc:Fallback>
      </mc:AlternateContent>
    </w:r>
    <w:r w:rsidRPr="00C27709">
      <w:rPr>
        <w:rFonts w:ascii="Book Antiqua" w:eastAsia="Calibri" w:hAnsi="Book Antiqua" w:cs="Times New Roman"/>
        <w:sz w:val="20"/>
        <w:lang w:val="id-ID"/>
      </w:rPr>
      <w:t xml:space="preserve">Citation : Author, F.M.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Journal of Government and Civil Society, Vol. 1, No. 1, pp.-pp.</w:t>
    </w:r>
  </w:p>
  <w:bookmarkEnd w:id="1"/>
  <w:p w14:paraId="11B6CF10" w14:textId="77777777" w:rsidR="003328B1" w:rsidRDefault="00332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BC248" w14:textId="77777777" w:rsidR="00214818" w:rsidRDefault="00214818" w:rsidP="00C27709">
      <w:pPr>
        <w:spacing w:after="0" w:line="240" w:lineRule="auto"/>
      </w:pPr>
      <w:r>
        <w:separator/>
      </w:r>
    </w:p>
  </w:footnote>
  <w:footnote w:type="continuationSeparator" w:id="0">
    <w:p w14:paraId="1DE1E73D" w14:textId="77777777" w:rsidR="00214818" w:rsidRDefault="00214818" w:rsidP="00C27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E3FC"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3D9665F2"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0676C276" w14:textId="77777777" w:rsidR="003328B1" w:rsidRDefault="003328B1" w:rsidP="00C27709">
    <w:pPr>
      <w:tabs>
        <w:tab w:val="center" w:pos="4513"/>
        <w:tab w:val="right" w:pos="9026"/>
      </w:tabs>
      <w:spacing w:after="0" w:line="240" w:lineRule="auto"/>
      <w:rPr>
        <w:rFonts w:ascii="Book Antiqua" w:eastAsia="Calibri" w:hAnsi="Book Antiqua" w:cs="Times New Roman"/>
        <w:b/>
        <w:sz w:val="20"/>
        <w:szCs w:val="20"/>
        <w:lang w:val="id-ID"/>
      </w:rPr>
    </w:pPr>
  </w:p>
  <w:p w14:paraId="4B8E9B07" w14:textId="4DD1D8CB" w:rsidR="00C27709" w:rsidRPr="00C27709" w:rsidRDefault="00C27709"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CF4BE10" wp14:editId="1398C3ED">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1CD841"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teEuqNABAACK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01C06" w14:textId="77777777" w:rsidR="003328B1" w:rsidRPr="00C27709" w:rsidRDefault="003328B1"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rPr>
      <w:drawing>
        <wp:anchor distT="0" distB="0" distL="114300" distR="114300" simplePos="0" relativeHeight="251665408" behindDoc="0" locked="0" layoutInCell="1" allowOverlap="1" wp14:anchorId="3555E0E2" wp14:editId="3AA0FEFD">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2FCFE487" w14:textId="77777777" w:rsidR="003328B1" w:rsidRPr="003328B1" w:rsidRDefault="003328B1"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xx</w:t>
    </w:r>
    <w:r w:rsidRPr="00C27709">
      <w:rPr>
        <w:rFonts w:ascii="Book Antiqua" w:eastAsia="Calibri" w:hAnsi="Book Antiqua" w:cs="Times New Roman"/>
        <w:sz w:val="20"/>
        <w:szCs w:val="20"/>
        <w:lang w:val="id-ID"/>
      </w:rPr>
      <w:t xml:space="preserve">, pp. </w:t>
    </w:r>
    <w:proofErr w:type="gramStart"/>
    <w:r>
      <w:rPr>
        <w:rFonts w:ascii="Book Antiqua" w:eastAsia="Calibri" w:hAnsi="Book Antiqua" w:cs="Times New Roman"/>
        <w:sz w:val="20"/>
        <w:szCs w:val="20"/>
      </w:rPr>
      <w:t>xx</w:t>
    </w:r>
    <w:proofErr w:type="gramEnd"/>
  </w:p>
  <w:p w14:paraId="557EDA6B" w14:textId="77777777" w:rsidR="003328B1" w:rsidRPr="00C27709" w:rsidRDefault="003328B1"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7E8E30BB" w14:textId="77777777" w:rsidR="003328B1" w:rsidRPr="00C27709" w:rsidRDefault="003328B1"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Accepted 8 January 2013</w:t>
    </w:r>
  </w:p>
  <w:p w14:paraId="54CECAEC" w14:textId="1365A7CA" w:rsidR="003328B1" w:rsidRPr="003328B1" w:rsidRDefault="003328B1"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4D63154A" wp14:editId="6D348881">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F3D22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D6fwCdABAACI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3MDE0NDQ1NDYxNrFQ0lEKTi0uzszPAykwrAUA/Z2LJiwAAAA="/>
  </w:docVars>
  <w:rsids>
    <w:rsidRoot w:val="00C27709"/>
    <w:rsid w:val="00034436"/>
    <w:rsid w:val="00163393"/>
    <w:rsid w:val="001A15C7"/>
    <w:rsid w:val="001C5D10"/>
    <w:rsid w:val="001F10BD"/>
    <w:rsid w:val="00214818"/>
    <w:rsid w:val="0026291F"/>
    <w:rsid w:val="003328B1"/>
    <w:rsid w:val="00400652"/>
    <w:rsid w:val="00444394"/>
    <w:rsid w:val="004715E2"/>
    <w:rsid w:val="00557D7F"/>
    <w:rsid w:val="006C4A2A"/>
    <w:rsid w:val="00732E96"/>
    <w:rsid w:val="007C5148"/>
    <w:rsid w:val="007D6528"/>
    <w:rsid w:val="0080570A"/>
    <w:rsid w:val="008F60D4"/>
    <w:rsid w:val="00916449"/>
    <w:rsid w:val="00940B11"/>
    <w:rsid w:val="009D43AA"/>
    <w:rsid w:val="00B31356"/>
    <w:rsid w:val="00BE06D0"/>
    <w:rsid w:val="00C27709"/>
    <w:rsid w:val="00CB5A92"/>
    <w:rsid w:val="00D62202"/>
    <w:rsid w:val="00DB0EC5"/>
    <w:rsid w:val="00FB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39"/>
    <w:rsid w:val="00C2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
    <w:name w:val="Unresolved Mention"/>
    <w:basedOn w:val="DefaultParagraphFont"/>
    <w:uiPriority w:val="99"/>
    <w:semiHidden/>
    <w:unhideWhenUsed/>
    <w:rsid w:val="00916449"/>
    <w:rPr>
      <w:color w:val="605E5C"/>
      <w:shd w:val="clear" w:color="auto" w:fill="E1DFDD"/>
    </w:rPr>
  </w:style>
  <w:style w:type="paragraph" w:styleId="CommentText">
    <w:name w:val="annotation text"/>
    <w:basedOn w:val="Normal"/>
    <w:link w:val="CommentTextChar"/>
    <w:uiPriority w:val="99"/>
    <w:semiHidden/>
    <w:unhideWhenUsed/>
    <w:rsid w:val="00DB0EC5"/>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DB0EC5"/>
    <w:rPr>
      <w:rFonts w:ascii="Times New Roman" w:eastAsia="SimSun" w:hAnsi="Times New Roman"/>
      <w:sz w:val="20"/>
      <w:szCs w:val="20"/>
    </w:rPr>
  </w:style>
  <w:style w:type="character" w:styleId="CommentReference">
    <w:name w:val="annotation reference"/>
    <w:basedOn w:val="DefaultParagraphFont"/>
    <w:uiPriority w:val="99"/>
    <w:semiHidden/>
    <w:unhideWhenUsed/>
    <w:rsid w:val="00DB0EC5"/>
    <w:rPr>
      <w:sz w:val="16"/>
      <w:szCs w:val="16"/>
    </w:rPr>
  </w:style>
  <w:style w:type="paragraph" w:styleId="BodyText">
    <w:name w:val="Body Text"/>
    <w:basedOn w:val="Normal"/>
    <w:link w:val="BodyTextChar"/>
    <w:semiHidden/>
    <w:unhideWhenUsed/>
    <w:rsid w:val="00557D7F"/>
    <w:pPr>
      <w:spacing w:after="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semiHidden/>
    <w:rsid w:val="00557D7F"/>
    <w:rPr>
      <w:rFonts w:ascii="Times New Roman" w:eastAsia="SimSun" w:hAnsi="Times New Roman" w:cs="Times New Roman"/>
      <w:spacing w:val="-1"/>
      <w:sz w:val="20"/>
      <w:szCs w:val="20"/>
      <w:lang w:val="x-none" w:eastAsia="x-none"/>
    </w:rPr>
  </w:style>
  <w:style w:type="character" w:customStyle="1" w:styleId="IEEEParagraphChar">
    <w:name w:val="IEEE Paragraph Char"/>
    <w:link w:val="IEEEParagraph"/>
    <w:locked/>
    <w:rsid w:val="0080570A"/>
    <w:rPr>
      <w:rFonts w:ascii="Times New Roman" w:hAnsi="Times New Roman" w:cs="Times New Roman"/>
      <w:sz w:val="20"/>
      <w:szCs w:val="24"/>
      <w:lang w:val="en-AU" w:eastAsia="zh-CN"/>
    </w:rPr>
  </w:style>
  <w:style w:type="paragraph" w:customStyle="1" w:styleId="IEEEParagraph">
    <w:name w:val="IEEE Paragraph"/>
    <w:basedOn w:val="Normal"/>
    <w:link w:val="IEEEParagraphChar"/>
    <w:rsid w:val="0080570A"/>
    <w:pPr>
      <w:adjustRightInd w:val="0"/>
      <w:snapToGrid w:val="0"/>
      <w:spacing w:after="0" w:line="240" w:lineRule="auto"/>
      <w:ind w:firstLine="216"/>
      <w:jc w:val="both"/>
    </w:pPr>
    <w:rPr>
      <w:rFonts w:ascii="Times New Roman" w:hAnsi="Times New Roman" w:cs="Times New Roman"/>
      <w:sz w:val="20"/>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39"/>
    <w:rsid w:val="00C27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
    <w:name w:val="Unresolved Mention"/>
    <w:basedOn w:val="DefaultParagraphFont"/>
    <w:uiPriority w:val="99"/>
    <w:semiHidden/>
    <w:unhideWhenUsed/>
    <w:rsid w:val="00916449"/>
    <w:rPr>
      <w:color w:val="605E5C"/>
      <w:shd w:val="clear" w:color="auto" w:fill="E1DFDD"/>
    </w:rPr>
  </w:style>
  <w:style w:type="paragraph" w:styleId="CommentText">
    <w:name w:val="annotation text"/>
    <w:basedOn w:val="Normal"/>
    <w:link w:val="CommentTextChar"/>
    <w:uiPriority w:val="99"/>
    <w:semiHidden/>
    <w:unhideWhenUsed/>
    <w:rsid w:val="00DB0EC5"/>
    <w:pPr>
      <w:spacing w:after="0" w:line="240" w:lineRule="auto"/>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DB0EC5"/>
    <w:rPr>
      <w:rFonts w:ascii="Times New Roman" w:eastAsia="SimSun" w:hAnsi="Times New Roman"/>
      <w:sz w:val="20"/>
      <w:szCs w:val="20"/>
    </w:rPr>
  </w:style>
  <w:style w:type="character" w:styleId="CommentReference">
    <w:name w:val="annotation reference"/>
    <w:basedOn w:val="DefaultParagraphFont"/>
    <w:uiPriority w:val="99"/>
    <w:semiHidden/>
    <w:unhideWhenUsed/>
    <w:rsid w:val="00DB0EC5"/>
    <w:rPr>
      <w:sz w:val="16"/>
      <w:szCs w:val="16"/>
    </w:rPr>
  </w:style>
  <w:style w:type="paragraph" w:styleId="BodyText">
    <w:name w:val="Body Text"/>
    <w:basedOn w:val="Normal"/>
    <w:link w:val="BodyTextChar"/>
    <w:semiHidden/>
    <w:unhideWhenUsed/>
    <w:rsid w:val="00557D7F"/>
    <w:pPr>
      <w:spacing w:after="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semiHidden/>
    <w:rsid w:val="00557D7F"/>
    <w:rPr>
      <w:rFonts w:ascii="Times New Roman" w:eastAsia="SimSun" w:hAnsi="Times New Roman" w:cs="Times New Roman"/>
      <w:spacing w:val="-1"/>
      <w:sz w:val="20"/>
      <w:szCs w:val="20"/>
      <w:lang w:val="x-none" w:eastAsia="x-none"/>
    </w:rPr>
  </w:style>
  <w:style w:type="character" w:customStyle="1" w:styleId="IEEEParagraphChar">
    <w:name w:val="IEEE Paragraph Char"/>
    <w:link w:val="IEEEParagraph"/>
    <w:locked/>
    <w:rsid w:val="0080570A"/>
    <w:rPr>
      <w:rFonts w:ascii="Times New Roman" w:hAnsi="Times New Roman" w:cs="Times New Roman"/>
      <w:sz w:val="20"/>
      <w:szCs w:val="24"/>
      <w:lang w:val="en-AU" w:eastAsia="zh-CN"/>
    </w:rPr>
  </w:style>
  <w:style w:type="paragraph" w:customStyle="1" w:styleId="IEEEParagraph">
    <w:name w:val="IEEE Paragraph"/>
    <w:basedOn w:val="Normal"/>
    <w:link w:val="IEEEParagraphChar"/>
    <w:rsid w:val="0080570A"/>
    <w:pPr>
      <w:adjustRightInd w:val="0"/>
      <w:snapToGrid w:val="0"/>
      <w:spacing w:after="0" w:line="240" w:lineRule="auto"/>
      <w:ind w:firstLine="216"/>
      <w:jc w:val="both"/>
    </w:pPr>
    <w:rPr>
      <w:rFonts w:ascii="Times New Roma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384">
      <w:bodyDiv w:val="1"/>
      <w:marLeft w:val="0"/>
      <w:marRight w:val="0"/>
      <w:marTop w:val="0"/>
      <w:marBottom w:val="0"/>
      <w:divBdr>
        <w:top w:val="none" w:sz="0" w:space="0" w:color="auto"/>
        <w:left w:val="none" w:sz="0" w:space="0" w:color="auto"/>
        <w:bottom w:val="none" w:sz="0" w:space="0" w:color="auto"/>
        <w:right w:val="none" w:sz="0" w:space="0" w:color="auto"/>
      </w:divBdr>
    </w:div>
    <w:div w:id="244001256">
      <w:bodyDiv w:val="1"/>
      <w:marLeft w:val="0"/>
      <w:marRight w:val="0"/>
      <w:marTop w:val="0"/>
      <w:marBottom w:val="0"/>
      <w:divBdr>
        <w:top w:val="none" w:sz="0" w:space="0" w:color="auto"/>
        <w:left w:val="none" w:sz="0" w:space="0" w:color="auto"/>
        <w:bottom w:val="none" w:sz="0" w:space="0" w:color="auto"/>
        <w:right w:val="none" w:sz="0" w:space="0" w:color="auto"/>
      </w:divBdr>
    </w:div>
    <w:div w:id="267736396">
      <w:bodyDiv w:val="1"/>
      <w:marLeft w:val="0"/>
      <w:marRight w:val="0"/>
      <w:marTop w:val="0"/>
      <w:marBottom w:val="0"/>
      <w:divBdr>
        <w:top w:val="none" w:sz="0" w:space="0" w:color="auto"/>
        <w:left w:val="none" w:sz="0" w:space="0" w:color="auto"/>
        <w:bottom w:val="none" w:sz="0" w:space="0" w:color="auto"/>
        <w:right w:val="none" w:sz="0" w:space="0" w:color="auto"/>
      </w:divBdr>
    </w:div>
    <w:div w:id="303169815">
      <w:bodyDiv w:val="1"/>
      <w:marLeft w:val="0"/>
      <w:marRight w:val="0"/>
      <w:marTop w:val="0"/>
      <w:marBottom w:val="0"/>
      <w:divBdr>
        <w:top w:val="none" w:sz="0" w:space="0" w:color="auto"/>
        <w:left w:val="none" w:sz="0" w:space="0" w:color="auto"/>
        <w:bottom w:val="none" w:sz="0" w:space="0" w:color="auto"/>
        <w:right w:val="none" w:sz="0" w:space="0" w:color="auto"/>
      </w:divBdr>
    </w:div>
    <w:div w:id="371267022">
      <w:bodyDiv w:val="1"/>
      <w:marLeft w:val="0"/>
      <w:marRight w:val="0"/>
      <w:marTop w:val="0"/>
      <w:marBottom w:val="0"/>
      <w:divBdr>
        <w:top w:val="none" w:sz="0" w:space="0" w:color="auto"/>
        <w:left w:val="none" w:sz="0" w:space="0" w:color="auto"/>
        <w:bottom w:val="none" w:sz="0" w:space="0" w:color="auto"/>
        <w:right w:val="none" w:sz="0" w:space="0" w:color="auto"/>
      </w:divBdr>
    </w:div>
    <w:div w:id="384110820">
      <w:bodyDiv w:val="1"/>
      <w:marLeft w:val="0"/>
      <w:marRight w:val="0"/>
      <w:marTop w:val="0"/>
      <w:marBottom w:val="0"/>
      <w:divBdr>
        <w:top w:val="none" w:sz="0" w:space="0" w:color="auto"/>
        <w:left w:val="none" w:sz="0" w:space="0" w:color="auto"/>
        <w:bottom w:val="none" w:sz="0" w:space="0" w:color="auto"/>
        <w:right w:val="none" w:sz="0" w:space="0" w:color="auto"/>
      </w:divBdr>
    </w:div>
    <w:div w:id="384641700">
      <w:bodyDiv w:val="1"/>
      <w:marLeft w:val="0"/>
      <w:marRight w:val="0"/>
      <w:marTop w:val="0"/>
      <w:marBottom w:val="0"/>
      <w:divBdr>
        <w:top w:val="none" w:sz="0" w:space="0" w:color="auto"/>
        <w:left w:val="none" w:sz="0" w:space="0" w:color="auto"/>
        <w:bottom w:val="none" w:sz="0" w:space="0" w:color="auto"/>
        <w:right w:val="none" w:sz="0" w:space="0" w:color="auto"/>
      </w:divBdr>
    </w:div>
    <w:div w:id="686954268">
      <w:bodyDiv w:val="1"/>
      <w:marLeft w:val="0"/>
      <w:marRight w:val="0"/>
      <w:marTop w:val="0"/>
      <w:marBottom w:val="0"/>
      <w:divBdr>
        <w:top w:val="none" w:sz="0" w:space="0" w:color="auto"/>
        <w:left w:val="none" w:sz="0" w:space="0" w:color="auto"/>
        <w:bottom w:val="none" w:sz="0" w:space="0" w:color="auto"/>
        <w:right w:val="none" w:sz="0" w:space="0" w:color="auto"/>
      </w:divBdr>
    </w:div>
    <w:div w:id="922764707">
      <w:bodyDiv w:val="1"/>
      <w:marLeft w:val="0"/>
      <w:marRight w:val="0"/>
      <w:marTop w:val="0"/>
      <w:marBottom w:val="0"/>
      <w:divBdr>
        <w:top w:val="none" w:sz="0" w:space="0" w:color="auto"/>
        <w:left w:val="none" w:sz="0" w:space="0" w:color="auto"/>
        <w:bottom w:val="none" w:sz="0" w:space="0" w:color="auto"/>
        <w:right w:val="none" w:sz="0" w:space="0" w:color="auto"/>
      </w:divBdr>
    </w:div>
    <w:div w:id="1018123701">
      <w:bodyDiv w:val="1"/>
      <w:marLeft w:val="0"/>
      <w:marRight w:val="0"/>
      <w:marTop w:val="0"/>
      <w:marBottom w:val="0"/>
      <w:divBdr>
        <w:top w:val="none" w:sz="0" w:space="0" w:color="auto"/>
        <w:left w:val="none" w:sz="0" w:space="0" w:color="auto"/>
        <w:bottom w:val="none" w:sz="0" w:space="0" w:color="auto"/>
        <w:right w:val="none" w:sz="0" w:space="0" w:color="auto"/>
      </w:divBdr>
    </w:div>
    <w:div w:id="1064329816">
      <w:bodyDiv w:val="1"/>
      <w:marLeft w:val="0"/>
      <w:marRight w:val="0"/>
      <w:marTop w:val="0"/>
      <w:marBottom w:val="0"/>
      <w:divBdr>
        <w:top w:val="none" w:sz="0" w:space="0" w:color="auto"/>
        <w:left w:val="none" w:sz="0" w:space="0" w:color="auto"/>
        <w:bottom w:val="none" w:sz="0" w:space="0" w:color="auto"/>
        <w:right w:val="none" w:sz="0" w:space="0" w:color="auto"/>
      </w:divBdr>
    </w:div>
    <w:div w:id="1353604853">
      <w:bodyDiv w:val="1"/>
      <w:marLeft w:val="0"/>
      <w:marRight w:val="0"/>
      <w:marTop w:val="0"/>
      <w:marBottom w:val="0"/>
      <w:divBdr>
        <w:top w:val="none" w:sz="0" w:space="0" w:color="auto"/>
        <w:left w:val="none" w:sz="0" w:space="0" w:color="auto"/>
        <w:bottom w:val="none" w:sz="0" w:space="0" w:color="auto"/>
        <w:right w:val="none" w:sz="0" w:space="0" w:color="auto"/>
      </w:divBdr>
    </w:div>
    <w:div w:id="1650357477">
      <w:bodyDiv w:val="1"/>
      <w:marLeft w:val="0"/>
      <w:marRight w:val="0"/>
      <w:marTop w:val="0"/>
      <w:marBottom w:val="0"/>
      <w:divBdr>
        <w:top w:val="none" w:sz="0" w:space="0" w:color="auto"/>
        <w:left w:val="none" w:sz="0" w:space="0" w:color="auto"/>
        <w:bottom w:val="none" w:sz="0" w:space="0" w:color="auto"/>
        <w:right w:val="none" w:sz="0" w:space="0" w:color="auto"/>
      </w:divBdr>
    </w:div>
    <w:div w:id="1666519701">
      <w:bodyDiv w:val="1"/>
      <w:marLeft w:val="0"/>
      <w:marRight w:val="0"/>
      <w:marTop w:val="0"/>
      <w:marBottom w:val="0"/>
      <w:divBdr>
        <w:top w:val="none" w:sz="0" w:space="0" w:color="auto"/>
        <w:left w:val="none" w:sz="0" w:space="0" w:color="auto"/>
        <w:bottom w:val="none" w:sz="0" w:space="0" w:color="auto"/>
        <w:right w:val="none" w:sz="0" w:space="0" w:color="auto"/>
      </w:divBdr>
    </w:div>
    <w:div w:id="1852572623">
      <w:bodyDiv w:val="1"/>
      <w:marLeft w:val="0"/>
      <w:marRight w:val="0"/>
      <w:marTop w:val="0"/>
      <w:marBottom w:val="0"/>
      <w:divBdr>
        <w:top w:val="none" w:sz="0" w:space="0" w:color="auto"/>
        <w:left w:val="none" w:sz="0" w:space="0" w:color="auto"/>
        <w:bottom w:val="none" w:sz="0" w:space="0" w:color="auto"/>
        <w:right w:val="none" w:sz="0" w:space="0" w:color="auto"/>
      </w:divBdr>
    </w:div>
    <w:div w:id="1928151763">
      <w:bodyDiv w:val="1"/>
      <w:marLeft w:val="0"/>
      <w:marRight w:val="0"/>
      <w:marTop w:val="0"/>
      <w:marBottom w:val="0"/>
      <w:divBdr>
        <w:top w:val="none" w:sz="0" w:space="0" w:color="auto"/>
        <w:left w:val="none" w:sz="0" w:space="0" w:color="auto"/>
        <w:bottom w:val="none" w:sz="0" w:space="0" w:color="auto"/>
        <w:right w:val="none" w:sz="0" w:space="0" w:color="auto"/>
      </w:divBdr>
    </w:div>
    <w:div w:id="1931818436">
      <w:bodyDiv w:val="1"/>
      <w:marLeft w:val="0"/>
      <w:marRight w:val="0"/>
      <w:marTop w:val="0"/>
      <w:marBottom w:val="0"/>
      <w:divBdr>
        <w:top w:val="none" w:sz="0" w:space="0" w:color="auto"/>
        <w:left w:val="none" w:sz="0" w:space="0" w:color="auto"/>
        <w:bottom w:val="none" w:sz="0" w:space="0" w:color="auto"/>
        <w:right w:val="none" w:sz="0" w:space="0" w:color="auto"/>
      </w:divBdr>
    </w:div>
    <w:div w:id="2031879975">
      <w:bodyDiv w:val="1"/>
      <w:marLeft w:val="0"/>
      <w:marRight w:val="0"/>
      <w:marTop w:val="0"/>
      <w:marBottom w:val="0"/>
      <w:divBdr>
        <w:top w:val="none" w:sz="0" w:space="0" w:color="auto"/>
        <w:left w:val="none" w:sz="0" w:space="0" w:color="auto"/>
        <w:bottom w:val="none" w:sz="0" w:space="0" w:color="auto"/>
        <w:right w:val="none" w:sz="0" w:space="0" w:color="auto"/>
      </w:divBdr>
    </w:div>
    <w:div w:id="20708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Sheet1!$A$6</c:f>
              <c:strCache>
                <c:ptCount val="1"/>
                <c:pt idx="0">
                  <c:v>Expensive Political Costs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0.0%</c:formatCode>
                <c:ptCount val="1"/>
                <c:pt idx="0">
                  <c:v>0.34146341463414637</c:v>
                </c:pt>
              </c:numCache>
            </c:numRef>
          </c:val>
        </c:ser>
        <c:ser>
          <c:idx val="1"/>
          <c:order val="1"/>
          <c:tx>
            <c:strRef>
              <c:f>Sheet1!$A$7</c:f>
              <c:strCache>
                <c:ptCount val="1"/>
                <c:pt idx="0">
                  <c:v>Failure of Cadre Formation by Political Parties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c:f>
              <c:numCache>
                <c:formatCode>0.0%</c:formatCode>
                <c:ptCount val="1"/>
                <c:pt idx="0">
                  <c:v>0.29268292682926828</c:v>
                </c:pt>
              </c:numCache>
            </c:numRef>
          </c:val>
        </c:ser>
        <c:ser>
          <c:idx val="2"/>
          <c:order val="2"/>
          <c:tx>
            <c:strRef>
              <c:f>Sheet1!$A$8</c:f>
              <c:strCache>
                <c:ptCount val="1"/>
                <c:pt idx="0">
                  <c:v>Pragmatism of Political Party Coalitions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Sheet1!$B$8</c:f>
              <c:numCache>
                <c:formatCode>0.0%</c:formatCode>
                <c:ptCount val="1"/>
                <c:pt idx="0">
                  <c:v>0.21951219512195122</c:v>
                </c:pt>
              </c:numCache>
            </c:numRef>
          </c:val>
        </c:ser>
        <c:ser>
          <c:idx val="3"/>
          <c:order val="3"/>
          <c:tx>
            <c:strRef>
              <c:f>Sheet1!$A$9</c:f>
              <c:strCache>
                <c:ptCount val="1"/>
                <c:pt idx="0">
                  <c:v>Difficult Individual Candidate Requirements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Sheet1!$B$9</c:f>
              <c:numCache>
                <c:formatCode>0.0%</c:formatCode>
                <c:ptCount val="1"/>
                <c:pt idx="0">
                  <c:v>0.14634146341463414</c:v>
                </c:pt>
              </c:numCache>
            </c:numRef>
          </c:val>
        </c:ser>
        <c:dLbls>
          <c:dLblPos val="outEnd"/>
          <c:showLegendKey val="0"/>
          <c:showVal val="1"/>
          <c:showCatName val="0"/>
          <c:showSerName val="0"/>
          <c:showPercent val="0"/>
          <c:showBubbleSize val="0"/>
        </c:dLbls>
        <c:gapWidth val="182"/>
        <c:axId val="40413824"/>
        <c:axId val="40419712"/>
      </c:barChart>
      <c:catAx>
        <c:axId val="40413824"/>
        <c:scaling>
          <c:orientation val="minMax"/>
        </c:scaling>
        <c:delete val="1"/>
        <c:axPos val="l"/>
        <c:numFmt formatCode="General" sourceLinked="1"/>
        <c:majorTickMark val="out"/>
        <c:minorTickMark val="none"/>
        <c:tickLblPos val="nextTo"/>
        <c:crossAx val="40419712"/>
        <c:crosses val="autoZero"/>
        <c:auto val="1"/>
        <c:lblAlgn val="ctr"/>
        <c:lblOffset val="100"/>
        <c:noMultiLvlLbl val="0"/>
      </c:catAx>
      <c:valAx>
        <c:axId val="40419712"/>
        <c:scaling>
          <c:orientation val="minMax"/>
        </c:scaling>
        <c:delete val="1"/>
        <c:axPos val="b"/>
        <c:numFmt formatCode="0.0%" sourceLinked="1"/>
        <c:majorTickMark val="out"/>
        <c:minorTickMark val="none"/>
        <c:tickLblPos val="nextTo"/>
        <c:crossAx val="40413824"/>
        <c:crosses val="autoZero"/>
        <c:crossBetween val="between"/>
      </c:valAx>
      <c:spPr>
        <a:noFill/>
        <a:ln>
          <a:noFill/>
        </a:ln>
        <a:effectLst/>
      </c:spPr>
    </c:plotArea>
    <c:legend>
      <c:legendPos val="r"/>
      <c:layout>
        <c:manualLayout>
          <c:xMode val="edge"/>
          <c:yMode val="edge"/>
          <c:x val="0.63711727902771065"/>
          <c:y val="0.1858473940757405"/>
          <c:w val="0.33846496006829391"/>
          <c:h val="0.669971878515185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FC45-818B-4007-A4AC-0910B845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14</Pages>
  <Words>18542</Words>
  <Characters>105692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LENOVO</cp:lastModifiedBy>
  <cp:revision>11</cp:revision>
  <dcterms:created xsi:type="dcterms:W3CDTF">2019-09-21T10:37:00Z</dcterms:created>
  <dcterms:modified xsi:type="dcterms:W3CDTF">2024-12-05T08:52:00Z</dcterms:modified>
</cp:coreProperties>
</file>