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6808E" w14:textId="77777777" w:rsidR="00810F6B" w:rsidRPr="00810F6B" w:rsidRDefault="00810F6B" w:rsidP="00810F6B">
      <w:pPr>
        <w:spacing w:after="0" w:line="240" w:lineRule="auto"/>
        <w:jc w:val="center"/>
        <w:rPr>
          <w:rFonts w:ascii="Book Antiqua" w:eastAsia="Times New Roman" w:hAnsi="Book Antiqua" w:cs="Arial"/>
          <w:b/>
          <w:bCs/>
          <w:sz w:val="28"/>
          <w:szCs w:val="28"/>
          <w:lang w:val="id-ID"/>
        </w:rPr>
      </w:pPr>
      <w:r w:rsidRPr="00810F6B">
        <w:rPr>
          <w:rFonts w:ascii="Book Antiqua" w:eastAsia="Times New Roman" w:hAnsi="Book Antiqua" w:cs="Arial"/>
          <w:b/>
          <w:bCs/>
          <w:sz w:val="28"/>
          <w:szCs w:val="28"/>
          <w:lang w:val="id-ID"/>
        </w:rPr>
        <w:t>POST PANDEMIC CRISIS MANAGEMENT POLICY</w:t>
      </w:r>
    </w:p>
    <w:p w14:paraId="372370B4" w14:textId="77777777" w:rsidR="00810F6B" w:rsidRDefault="00810F6B" w:rsidP="00810F6B">
      <w:pPr>
        <w:spacing w:after="0" w:line="240" w:lineRule="auto"/>
        <w:jc w:val="center"/>
        <w:rPr>
          <w:rFonts w:ascii="Book Antiqua" w:eastAsia="Times New Roman" w:hAnsi="Book Antiqua" w:cs="Arial"/>
          <w:b/>
          <w:bCs/>
          <w:sz w:val="28"/>
          <w:szCs w:val="28"/>
          <w:lang w:val="id-ID"/>
        </w:rPr>
      </w:pPr>
      <w:r w:rsidRPr="00810F6B">
        <w:rPr>
          <w:rFonts w:ascii="Book Antiqua" w:eastAsia="Times New Roman" w:hAnsi="Book Antiqua" w:cs="Arial"/>
          <w:b/>
          <w:bCs/>
          <w:sz w:val="28"/>
          <w:szCs w:val="28"/>
          <w:lang w:val="id-ID"/>
        </w:rPr>
        <w:t xml:space="preserve">Grassroots Political Mobilization and Participation in Sigi </w:t>
      </w:r>
    </w:p>
    <w:p w14:paraId="2B042C4A" w14:textId="5A23D7BE" w:rsidR="003328B1" w:rsidRDefault="003328B1" w:rsidP="00400652">
      <w:pPr>
        <w:spacing w:after="0" w:line="240" w:lineRule="auto"/>
        <w:rPr>
          <w:rFonts w:ascii="Book Antiqua" w:eastAsia="Times New Roman" w:hAnsi="Book Antiqua" w:cs="Arial"/>
          <w:b/>
          <w:bCs/>
          <w:sz w:val="20"/>
          <w:szCs w:val="28"/>
          <w:lang w:val="id-ID"/>
        </w:rPr>
      </w:pPr>
    </w:p>
    <w:p w14:paraId="741EDA62" w14:textId="206FDECD" w:rsidR="003328B1" w:rsidRDefault="00810F6B" w:rsidP="00916449">
      <w:pPr>
        <w:spacing w:after="0" w:line="240" w:lineRule="auto"/>
        <w:jc w:val="center"/>
        <w:rPr>
          <w:rFonts w:ascii="Book Antiqua" w:hAnsi="Book Antiqua"/>
        </w:rPr>
      </w:pPr>
      <w:r w:rsidRPr="00810F6B">
        <w:rPr>
          <w:rFonts w:ascii="Book Antiqua" w:hAnsi="Book Antiqua"/>
          <w:b/>
        </w:rPr>
        <w:t>Ariana</w:t>
      </w:r>
      <w:r w:rsidRPr="00810F6B">
        <w:rPr>
          <w:rFonts w:ascii="Book Antiqua" w:hAnsi="Book Antiqua"/>
          <w:b/>
          <w:vertAlign w:val="superscript"/>
        </w:rPr>
        <w:t>1</w:t>
      </w:r>
      <w:r w:rsidRPr="00810F6B">
        <w:rPr>
          <w:rFonts w:ascii="Book Antiqua" w:hAnsi="Book Antiqua"/>
          <w:b/>
        </w:rPr>
        <w:t>, Sunardi</w:t>
      </w:r>
      <w:r w:rsidRPr="00810F6B">
        <w:rPr>
          <w:rFonts w:ascii="Book Antiqua" w:hAnsi="Book Antiqua"/>
          <w:b/>
          <w:vertAlign w:val="superscript"/>
        </w:rPr>
        <w:t>2</w:t>
      </w:r>
      <w:r w:rsidRPr="00810F6B">
        <w:rPr>
          <w:rFonts w:ascii="Book Antiqua" w:hAnsi="Book Antiqua"/>
          <w:b/>
        </w:rPr>
        <w:t>, Haryanto</w:t>
      </w:r>
      <w:r w:rsidRPr="00810F6B">
        <w:rPr>
          <w:rFonts w:ascii="Book Antiqua" w:hAnsi="Book Antiqua"/>
          <w:b/>
          <w:vertAlign w:val="superscript"/>
        </w:rPr>
        <w:t>3</w:t>
      </w:r>
    </w:p>
    <w:p w14:paraId="7763B98A" w14:textId="396E60A9" w:rsidR="00916449" w:rsidRPr="006F0F22" w:rsidRDefault="00916449" w:rsidP="00916449">
      <w:pPr>
        <w:spacing w:after="0" w:line="240" w:lineRule="auto"/>
        <w:jc w:val="center"/>
        <w:rPr>
          <w:rFonts w:ascii="Book Antiqua" w:eastAsia="Calibri" w:hAnsi="Book Antiqua" w:cs="Times New Roman"/>
          <w:sz w:val="18"/>
          <w:szCs w:val="18"/>
          <w:lang w:val="id-ID"/>
        </w:rPr>
      </w:pPr>
      <w:r w:rsidRPr="006F0F22">
        <w:rPr>
          <w:rFonts w:ascii="Book Antiqua" w:eastAsia="Calibri" w:hAnsi="Book Antiqua" w:cs="Times New Roman"/>
          <w:sz w:val="18"/>
          <w:szCs w:val="18"/>
          <w:vertAlign w:val="superscript"/>
          <w:lang w:val="id-ID"/>
        </w:rPr>
        <w:t>1</w:t>
      </w:r>
      <w:r w:rsidR="002A6109">
        <w:rPr>
          <w:rFonts w:ascii="Book Antiqua" w:eastAsia="Calibri" w:hAnsi="Book Antiqua" w:cs="Times New Roman"/>
          <w:sz w:val="18"/>
          <w:szCs w:val="18"/>
          <w:vertAlign w:val="superscript"/>
        </w:rPr>
        <w:t>&amp;3</w:t>
      </w:r>
      <w:r w:rsidRPr="006F0F22">
        <w:rPr>
          <w:rFonts w:ascii="Book Antiqua" w:eastAsia="Calibri" w:hAnsi="Book Antiqua" w:cs="Times New Roman"/>
          <w:sz w:val="18"/>
          <w:szCs w:val="18"/>
          <w:vertAlign w:val="superscript"/>
          <w:lang w:val="id-ID"/>
        </w:rPr>
        <w:t xml:space="preserve"> </w:t>
      </w:r>
      <w:r w:rsidR="00810F6B" w:rsidRPr="00810F6B">
        <w:rPr>
          <w:rFonts w:ascii="Book Antiqua" w:eastAsia="Calibri" w:hAnsi="Book Antiqua" w:cs="Times New Roman"/>
          <w:sz w:val="18"/>
          <w:szCs w:val="18"/>
        </w:rPr>
        <w:t xml:space="preserve">Department of Political Science, </w:t>
      </w:r>
      <w:proofErr w:type="spellStart"/>
      <w:r w:rsidR="00810F6B" w:rsidRPr="00810F6B">
        <w:rPr>
          <w:rFonts w:ascii="Book Antiqua" w:eastAsia="Calibri" w:hAnsi="Book Antiqua" w:cs="Times New Roman"/>
          <w:sz w:val="18"/>
          <w:szCs w:val="18"/>
        </w:rPr>
        <w:t>Universitas</w:t>
      </w:r>
      <w:proofErr w:type="spellEnd"/>
      <w:r w:rsidR="00810F6B" w:rsidRPr="00810F6B">
        <w:rPr>
          <w:rFonts w:ascii="Book Antiqua" w:eastAsia="Calibri" w:hAnsi="Book Antiqua" w:cs="Times New Roman"/>
          <w:sz w:val="18"/>
          <w:szCs w:val="18"/>
        </w:rPr>
        <w:t xml:space="preserve"> </w:t>
      </w:r>
      <w:proofErr w:type="spellStart"/>
      <w:r w:rsidR="00810F6B" w:rsidRPr="00810F6B">
        <w:rPr>
          <w:rFonts w:ascii="Book Antiqua" w:eastAsia="Calibri" w:hAnsi="Book Antiqua" w:cs="Times New Roman"/>
          <w:sz w:val="18"/>
          <w:szCs w:val="18"/>
        </w:rPr>
        <w:t>Hasanuddin</w:t>
      </w:r>
      <w:proofErr w:type="spellEnd"/>
    </w:p>
    <w:p w14:paraId="44E1CB8F" w14:textId="7CCF83AF" w:rsidR="00810F6B" w:rsidRDefault="00916449" w:rsidP="002A6109">
      <w:pPr>
        <w:spacing w:after="0" w:line="240" w:lineRule="auto"/>
        <w:jc w:val="center"/>
        <w:rPr>
          <w:rFonts w:ascii="Book Antiqua" w:eastAsia="Calibri" w:hAnsi="Book Antiqua" w:cs="Arial"/>
          <w:sz w:val="18"/>
          <w:szCs w:val="18"/>
          <w:lang w:val="id-ID"/>
        </w:rPr>
      </w:pPr>
      <w:r w:rsidRPr="006F0F22">
        <w:rPr>
          <w:rFonts w:ascii="Book Antiqua" w:eastAsia="Calibri" w:hAnsi="Book Antiqua" w:cs="Times New Roman"/>
          <w:sz w:val="18"/>
          <w:szCs w:val="18"/>
          <w:vertAlign w:val="superscript"/>
          <w:lang w:val="id-ID"/>
        </w:rPr>
        <w:t xml:space="preserve">2 </w:t>
      </w:r>
      <w:r w:rsidR="002A6109" w:rsidRPr="002A6109">
        <w:rPr>
          <w:rFonts w:ascii="Book Antiqua" w:eastAsia="Calibri" w:hAnsi="Book Antiqua" w:cs="Times New Roman"/>
          <w:sz w:val="18"/>
          <w:szCs w:val="18"/>
          <w:lang w:val="id-ID"/>
        </w:rPr>
        <w:t>State Islamic University of Datokarama.</w:t>
      </w:r>
      <w:r w:rsidR="00810F6B" w:rsidRPr="00810F6B">
        <w:rPr>
          <w:rFonts w:ascii="Book Antiqua" w:eastAsia="Calibri" w:hAnsi="Book Antiqua" w:cs="Arial"/>
          <w:sz w:val="18"/>
          <w:szCs w:val="18"/>
          <w:lang w:val="id-ID"/>
        </w:rPr>
        <w:t xml:space="preserve"> </w:t>
      </w:r>
    </w:p>
    <w:p w14:paraId="2842DA50" w14:textId="3CBCF107" w:rsidR="003328B1" w:rsidRPr="002A6109" w:rsidRDefault="00916449" w:rsidP="00810F6B">
      <w:pPr>
        <w:spacing w:after="0" w:line="240" w:lineRule="auto"/>
        <w:jc w:val="center"/>
        <w:rPr>
          <w:rFonts w:ascii="Book Antiqua" w:eastAsia="Calibri" w:hAnsi="Book Antiqua" w:cs="Arial"/>
        </w:rPr>
      </w:pPr>
      <w:r w:rsidRPr="006F0F22">
        <w:rPr>
          <w:rFonts w:ascii="Book Antiqua" w:eastAsia="Calibri" w:hAnsi="Book Antiqua" w:cs="Arial"/>
          <w:sz w:val="18"/>
          <w:szCs w:val="18"/>
          <w:lang w:val="id-ID"/>
        </w:rPr>
        <w:t>Email</w:t>
      </w:r>
      <w:r w:rsidRPr="006F0F22">
        <w:rPr>
          <w:rFonts w:ascii="Book Antiqua" w:eastAsia="Calibri" w:hAnsi="Book Antiqua" w:cs="Arial"/>
          <w:sz w:val="18"/>
          <w:szCs w:val="18"/>
        </w:rPr>
        <w:t xml:space="preserve"> </w:t>
      </w:r>
      <w:proofErr w:type="spellStart"/>
      <w:r w:rsidRPr="006F0F22">
        <w:rPr>
          <w:rFonts w:ascii="Book Antiqua" w:eastAsia="Calibri" w:hAnsi="Book Antiqua" w:cs="Arial"/>
          <w:sz w:val="18"/>
          <w:szCs w:val="18"/>
        </w:rPr>
        <w:t>correcpondence</w:t>
      </w:r>
      <w:proofErr w:type="spellEnd"/>
      <w:r w:rsidR="002A6109">
        <w:rPr>
          <w:rFonts w:ascii="Book Antiqua" w:eastAsia="Calibri" w:hAnsi="Book Antiqua" w:cs="Arial"/>
          <w:sz w:val="18"/>
          <w:szCs w:val="18"/>
        </w:rPr>
        <w:t>:</w:t>
      </w:r>
      <w:r w:rsidR="002A6109" w:rsidRPr="002A6109">
        <w:t xml:space="preserve"> </w:t>
      </w:r>
      <w:hyperlink r:id="rId7" w:history="1">
        <w:r w:rsidR="002A6109" w:rsidRPr="001703DA">
          <w:rPr>
            <w:rStyle w:val="Hyperlink"/>
            <w:rFonts w:ascii="Book Antiqua" w:eastAsia="Calibri" w:hAnsi="Book Antiqua" w:cs="Arial"/>
            <w:sz w:val="18"/>
            <w:szCs w:val="18"/>
          </w:rPr>
          <w:t>ariana@unhas.ac.id</w:t>
        </w:r>
      </w:hyperlink>
      <w:r w:rsidR="002A6109">
        <w:rPr>
          <w:rFonts w:ascii="Book Antiqua" w:eastAsia="Calibri" w:hAnsi="Book Antiqua" w:cs="Arial"/>
          <w:sz w:val="18"/>
          <w:szCs w:val="18"/>
        </w:rPr>
        <w:t xml:space="preserve">   </w:t>
      </w:r>
    </w:p>
    <w:p w14:paraId="74AE6D56" w14:textId="0031D7F0" w:rsidR="00916449" w:rsidRDefault="00916449" w:rsidP="00916449">
      <w:pPr>
        <w:jc w:val="center"/>
        <w:rPr>
          <w:rFonts w:ascii="Book Antiqua" w:eastAsia="Calibri" w:hAnsi="Book Antiqua" w:cs="Arial"/>
          <w:lang w:val="id-ID"/>
        </w:rPr>
      </w:pPr>
    </w:p>
    <w:p w14:paraId="2DD64E9C" w14:textId="77777777" w:rsidR="00916449" w:rsidRPr="00916449" w:rsidRDefault="00916449" w:rsidP="00916449">
      <w:pPr>
        <w:spacing w:after="0" w:line="240" w:lineRule="auto"/>
        <w:jc w:val="center"/>
        <w:rPr>
          <w:rFonts w:ascii="Book Antiqua" w:eastAsia="Calibri" w:hAnsi="Book Antiqua" w:cs="Arial"/>
          <w:b/>
          <w:bCs/>
          <w:sz w:val="20"/>
          <w:szCs w:val="20"/>
          <w:lang w:val="id-ID"/>
        </w:rPr>
      </w:pPr>
      <w:r w:rsidRPr="00916449">
        <w:rPr>
          <w:rFonts w:ascii="Book Antiqua" w:eastAsia="Calibri" w:hAnsi="Book Antiqua" w:cs="Arial"/>
          <w:b/>
          <w:bCs/>
          <w:sz w:val="20"/>
          <w:szCs w:val="20"/>
          <w:lang w:val="id-ID"/>
        </w:rPr>
        <w:t>Abstract</w:t>
      </w:r>
    </w:p>
    <w:p w14:paraId="119290D0" w14:textId="3AEA08E8" w:rsidR="00916449" w:rsidRPr="00916449" w:rsidRDefault="00EC4AB7" w:rsidP="00916449">
      <w:pPr>
        <w:spacing w:after="0" w:line="240" w:lineRule="auto"/>
        <w:jc w:val="both"/>
        <w:rPr>
          <w:rFonts w:ascii="Book Antiqua" w:eastAsia="Calibri" w:hAnsi="Book Antiqua" w:cs="Arial"/>
          <w:sz w:val="20"/>
          <w:szCs w:val="20"/>
          <w:lang w:val="id-ID"/>
        </w:rPr>
      </w:pPr>
      <w:r w:rsidRPr="00EC4AB7">
        <w:rPr>
          <w:rFonts w:ascii="Book Antiqua" w:eastAsia="Calibri" w:hAnsi="Book Antiqua" w:cs="Arial"/>
          <w:sz w:val="20"/>
          <w:szCs w:val="20"/>
          <w:lang w:val="id-ID"/>
        </w:rPr>
        <w:t>The prolonged crisis resulting from the COVID-19 pandemic has generated mobilization and expanded alternative political participation from grassroots communities in rural Indonesia. This article analyzes the village government's policy scheme for overcoming the crisis and how grassroots people mobilize and participate. This research is based on case studies in two Sigi and Central Sulawesi villages. This article argues that crisis management policy schemes have increased citizen participation but, at the same time, have strengthened government dominance in the policy arena. Two alternative movements emerged in Sigi during the crisis: helping residents from the kitchen and Roa Jaga Roa. This movement was carried out voluntarily by relying on community participation. Ultimately, this alternative movement encourages alternative mobilization and participation from citizens to build social resilience in helping citizens during the COVID-19 pandemic. The case study in Sigi is an excellent example of how to understand the context of strengthening alternative mobilization and participation in responding to the policy process during the crisis in rural communities.</w:t>
      </w:r>
    </w:p>
    <w:p w14:paraId="1146572D" w14:textId="77777777" w:rsidR="00916449" w:rsidRPr="00916449" w:rsidRDefault="00916449" w:rsidP="00916449">
      <w:pPr>
        <w:spacing w:after="0" w:line="240" w:lineRule="auto"/>
        <w:jc w:val="both"/>
        <w:rPr>
          <w:rFonts w:ascii="Book Antiqua" w:eastAsia="Calibri" w:hAnsi="Book Antiqua" w:cs="Arial"/>
          <w:b/>
          <w:bCs/>
          <w:sz w:val="20"/>
          <w:szCs w:val="20"/>
          <w:lang w:val="id-ID"/>
        </w:rPr>
      </w:pPr>
    </w:p>
    <w:p w14:paraId="61CEFDFB" w14:textId="505165FD" w:rsidR="00916449" w:rsidRDefault="00916449" w:rsidP="00916449">
      <w:pPr>
        <w:jc w:val="both"/>
        <w:rPr>
          <w:rFonts w:ascii="Book Antiqua" w:eastAsia="Calibri" w:hAnsi="Book Antiqua" w:cs="Arial"/>
          <w:sz w:val="20"/>
          <w:szCs w:val="20"/>
          <w:lang w:val="id-ID"/>
        </w:rPr>
      </w:pPr>
      <w:r w:rsidRPr="00916449">
        <w:rPr>
          <w:rFonts w:ascii="Book Antiqua" w:eastAsia="Calibri" w:hAnsi="Book Antiqua" w:cs="Arial"/>
          <w:b/>
          <w:bCs/>
          <w:sz w:val="20"/>
          <w:szCs w:val="20"/>
          <w:lang w:val="id-ID"/>
        </w:rPr>
        <w:t>Keywords</w:t>
      </w:r>
      <w:r w:rsidRPr="00916449">
        <w:rPr>
          <w:rFonts w:ascii="Book Antiqua" w:eastAsia="Calibri" w:hAnsi="Book Antiqua" w:cs="Arial"/>
          <w:sz w:val="20"/>
          <w:szCs w:val="20"/>
          <w:lang w:val="id-ID"/>
        </w:rPr>
        <w:t xml:space="preserve">: </w:t>
      </w:r>
      <w:r w:rsidR="00EC4AB7" w:rsidRPr="00EC4AB7">
        <w:rPr>
          <w:rFonts w:ascii="Book Antiqua" w:eastAsia="Calibri" w:hAnsi="Book Antiqua" w:cs="Arial"/>
          <w:sz w:val="20"/>
          <w:szCs w:val="20"/>
          <w:lang w:val="id-ID"/>
        </w:rPr>
        <w:t>Social Protection Policy; Social movement; Social Resilience; Politics of Participation.</w:t>
      </w:r>
    </w:p>
    <w:p w14:paraId="7ADC50C1" w14:textId="383A69E6" w:rsidR="00916449" w:rsidRPr="00916449" w:rsidRDefault="00916449" w:rsidP="00916449">
      <w:pPr>
        <w:spacing w:after="0" w:line="240" w:lineRule="auto"/>
        <w:jc w:val="center"/>
        <w:rPr>
          <w:rFonts w:ascii="Book Antiqua" w:eastAsia="Calibri" w:hAnsi="Book Antiqua" w:cs="Arial"/>
          <w:b/>
          <w:bCs/>
          <w:sz w:val="20"/>
          <w:szCs w:val="20"/>
        </w:rPr>
      </w:pPr>
      <w:proofErr w:type="spellStart"/>
      <w:r w:rsidRPr="00916449">
        <w:rPr>
          <w:rFonts w:ascii="Book Antiqua" w:eastAsia="Calibri" w:hAnsi="Book Antiqua" w:cs="Arial"/>
          <w:b/>
          <w:bCs/>
          <w:sz w:val="20"/>
          <w:szCs w:val="20"/>
        </w:rPr>
        <w:t>Abstrak</w:t>
      </w:r>
      <w:proofErr w:type="spellEnd"/>
    </w:p>
    <w:p w14:paraId="5CF27587" w14:textId="7874E6EF" w:rsidR="00916449" w:rsidRPr="00916449" w:rsidRDefault="00EC4AB7" w:rsidP="00916449">
      <w:pPr>
        <w:spacing w:after="0" w:line="240" w:lineRule="auto"/>
        <w:jc w:val="both"/>
        <w:rPr>
          <w:rFonts w:ascii="Book Antiqua" w:eastAsia="Calibri" w:hAnsi="Book Antiqua" w:cs="Arial"/>
          <w:sz w:val="20"/>
          <w:szCs w:val="20"/>
          <w:lang w:val="id-ID"/>
        </w:rPr>
      </w:pPr>
      <w:r w:rsidRPr="00EC4AB7">
        <w:rPr>
          <w:rFonts w:ascii="Book Antiqua" w:eastAsia="Calibri" w:hAnsi="Book Antiqua" w:cs="Arial"/>
          <w:sz w:val="20"/>
          <w:szCs w:val="20"/>
          <w:lang w:val="id-ID"/>
        </w:rPr>
        <w:t>Krisis yang berkepanjangan akibat Pandemi Covid-19 telah membangkitkan mobilisasi sukarela dan memperluas partisipasi politik alternatif dari masyarakat akar rumput di pedesaan Indonesia. Artikel ini bertujuan menganalisis bagaimana skema kebijakan pemerintahan desa untuk menanggulangi krisis dan bagaimana mobilisasi dan partisipasi dari akar rumput untuk terlibat didalamnya. Penelitian ini berdasarkan studi kasus di dua desa di Sigi, Sulawesi Tengah. Artikel ini berpendapat bahwa skema kebijakan penaggulangan krisis telah meningkatkan partisipasi warga, tetapi disaat yang bersamaan semakin mengukuhkan dominasi pemerintah dalam arena kebijakan. Ada dua gerakan alternatif yang muncul di Sigi selama masa krisis: bantu warga dari dapur dan roa jaga roa. Gerakan ini dilakukan secara sukarela dengan mengandalkan partisipasi masyarakat. Pada akhirnya, gerakan alternatif tersebut mendorong mobilisasi dan partisipasi alternatif dari warga untuk membangun ketahanan sosial dalam membantu warga selama Pandemi Covid-19. Studi kasus di Sigi sebagai contoh yang baik untuk bisa memahami konteks menguatnya mobilisasi dan partisipasi alternatif dalam menyikapi proses kebijakan selama krisis berlangsung di masyarakat pedesaan.</w:t>
      </w:r>
    </w:p>
    <w:p w14:paraId="78391464" w14:textId="77777777" w:rsidR="00844C49" w:rsidRDefault="00844C49" w:rsidP="00916449">
      <w:pPr>
        <w:spacing w:after="0" w:line="240" w:lineRule="auto"/>
        <w:jc w:val="both"/>
        <w:rPr>
          <w:rFonts w:ascii="Book Antiqua" w:eastAsia="Calibri" w:hAnsi="Book Antiqua" w:cs="Arial"/>
          <w:b/>
          <w:bCs/>
          <w:sz w:val="20"/>
          <w:szCs w:val="20"/>
          <w:lang w:val="id-ID"/>
        </w:rPr>
      </w:pPr>
    </w:p>
    <w:p w14:paraId="1335BF5F" w14:textId="46F9CCF8" w:rsidR="00916449" w:rsidRPr="00916449" w:rsidRDefault="00916449" w:rsidP="00916449">
      <w:pPr>
        <w:spacing w:after="0" w:line="240" w:lineRule="auto"/>
        <w:jc w:val="both"/>
        <w:rPr>
          <w:rFonts w:ascii="Book Antiqua" w:eastAsia="Calibri" w:hAnsi="Book Antiqua" w:cs="Arial"/>
          <w:sz w:val="20"/>
          <w:szCs w:val="20"/>
          <w:lang w:val="id-ID"/>
        </w:rPr>
      </w:pPr>
      <w:r w:rsidRPr="00916449">
        <w:rPr>
          <w:rFonts w:ascii="Book Antiqua" w:eastAsia="Calibri" w:hAnsi="Book Antiqua" w:cs="Arial"/>
          <w:b/>
          <w:bCs/>
          <w:sz w:val="20"/>
          <w:szCs w:val="20"/>
          <w:lang w:val="id-ID"/>
        </w:rPr>
        <w:t>Kata Kunci</w:t>
      </w:r>
      <w:r w:rsidRPr="00916449">
        <w:rPr>
          <w:rFonts w:ascii="Book Antiqua" w:eastAsia="Calibri" w:hAnsi="Book Antiqua" w:cs="Arial"/>
          <w:sz w:val="20"/>
          <w:szCs w:val="20"/>
          <w:lang w:val="id-ID"/>
        </w:rPr>
        <w:t xml:space="preserve">: </w:t>
      </w:r>
      <w:r w:rsidR="00EC4AB7" w:rsidRPr="00EC4AB7">
        <w:rPr>
          <w:rFonts w:ascii="Book Antiqua" w:eastAsia="Calibri" w:hAnsi="Book Antiqua" w:cs="Arial"/>
          <w:sz w:val="20"/>
          <w:szCs w:val="20"/>
          <w:lang w:val="id-ID"/>
        </w:rPr>
        <w:t>Kebijakan Perlindungan Sosial; Gerakan Sosial; Ketahanan Sosial; Politik Partisipasi.</w:t>
      </w:r>
    </w:p>
    <w:p w14:paraId="7F9E8A70" w14:textId="33FD660F" w:rsidR="00916449" w:rsidRDefault="00916449" w:rsidP="00916449">
      <w:pPr>
        <w:jc w:val="center"/>
        <w:rPr>
          <w:rFonts w:ascii="Book Antiqua" w:eastAsia="Calibri" w:hAnsi="Book Antiqua" w:cs="Arial"/>
          <w:lang w:val="id-ID"/>
        </w:rPr>
      </w:pPr>
    </w:p>
    <w:p w14:paraId="1B412E8F" w14:textId="5041A764" w:rsidR="00916449" w:rsidRDefault="00916449" w:rsidP="00916449">
      <w:pPr>
        <w:spacing w:after="0" w:line="276" w:lineRule="auto"/>
        <w:jc w:val="both"/>
        <w:rPr>
          <w:rFonts w:ascii="Book Antiqua" w:eastAsia="Calibri" w:hAnsi="Book Antiqua" w:cs="Times New Roman"/>
          <w:lang w:val="id-ID"/>
        </w:rPr>
      </w:pPr>
      <w:r w:rsidRPr="006F0F22">
        <w:rPr>
          <w:rFonts w:ascii="Book Antiqua" w:eastAsia="Calibri" w:hAnsi="Book Antiqua" w:cs="Times New Roman"/>
          <w:b/>
          <w:lang w:val="id-ID"/>
        </w:rPr>
        <w:lastRenderedPageBreak/>
        <w:t>INTRODUCTION</w:t>
      </w:r>
      <w:r w:rsidRPr="006F0F22">
        <w:rPr>
          <w:rFonts w:ascii="Book Antiqua" w:eastAsia="Calibri" w:hAnsi="Book Antiqua" w:cs="Times New Roman"/>
          <w:lang w:val="id-ID"/>
        </w:rPr>
        <w:t xml:space="preserve"> </w:t>
      </w:r>
    </w:p>
    <w:p w14:paraId="0EEC4F5F" w14:textId="77777777" w:rsidR="00586A9F" w:rsidRPr="00586A9F" w:rsidRDefault="00586A9F" w:rsidP="00146A24">
      <w:pPr>
        <w:spacing w:after="0" w:line="276" w:lineRule="auto"/>
        <w:ind w:firstLine="720"/>
        <w:jc w:val="both"/>
        <w:rPr>
          <w:rFonts w:ascii="Book Antiqua" w:hAnsi="Book Antiqua"/>
          <w:szCs w:val="20"/>
        </w:rPr>
      </w:pPr>
      <w:r w:rsidRPr="00586A9F">
        <w:rPr>
          <w:rFonts w:ascii="Book Antiqua" w:hAnsi="Book Antiqua"/>
          <w:szCs w:val="20"/>
        </w:rPr>
        <w:t xml:space="preserve">Unlike most other villages in Indonesia, COVID-19, which has hit </w:t>
      </w:r>
      <w:proofErr w:type="spellStart"/>
      <w:r w:rsidRPr="00586A9F">
        <w:rPr>
          <w:rFonts w:ascii="Book Antiqua" w:hAnsi="Book Antiqua"/>
          <w:szCs w:val="20"/>
        </w:rPr>
        <w:t>Sigi</w:t>
      </w:r>
      <w:proofErr w:type="spellEnd"/>
      <w:r w:rsidRPr="00586A9F">
        <w:rPr>
          <w:rFonts w:ascii="Book Antiqua" w:hAnsi="Book Antiqua"/>
          <w:szCs w:val="20"/>
        </w:rPr>
        <w:t xml:space="preserve"> Regency, means several villages have to carry a double burden—on the one hand, trying to get out and rise from the social downturn caused by the earthquake that hit in 2018 and on the other hand having to shoulder new burdens, trying to get out of the socio-economic crisis caused by Covid-19. The situation then attracted the author's attention to see how government policy intervention in villages in </w:t>
      </w:r>
      <w:proofErr w:type="spellStart"/>
      <w:r w:rsidRPr="00586A9F">
        <w:rPr>
          <w:rFonts w:ascii="Book Antiqua" w:hAnsi="Book Antiqua"/>
          <w:szCs w:val="20"/>
        </w:rPr>
        <w:t>Sigi</w:t>
      </w:r>
      <w:proofErr w:type="spellEnd"/>
      <w:r w:rsidRPr="00586A9F">
        <w:rPr>
          <w:rFonts w:ascii="Book Antiqua" w:hAnsi="Book Antiqua"/>
          <w:szCs w:val="20"/>
        </w:rPr>
        <w:t>, as well as to illustrate the extent to which grassroots community involvement was involved in overcoming the crisis problem. To answer this question, this research pays greater attention to aspects of political agency in public policy. The main research question is how poor rural communities are involved in policy schemes for handling the post-pandemic crisis. Two aspects will be highlighted in this article: the first is about how the impact of policies triggered activism movements in rural communities, and the second is looking at community involvement (both individually and institutionally) and voluntary mobilization as a response from grassroots communities in rural areas to deal with the crisis during the pandemic. This article explores the concepts of political participation and mobilization in public policy.</w:t>
      </w:r>
    </w:p>
    <w:p w14:paraId="1AADB233" w14:textId="77777777" w:rsidR="00586A9F" w:rsidRPr="00586A9F" w:rsidRDefault="00586A9F" w:rsidP="00146A24">
      <w:pPr>
        <w:spacing w:after="0" w:line="276" w:lineRule="auto"/>
        <w:ind w:firstLine="720"/>
        <w:jc w:val="both"/>
        <w:rPr>
          <w:rFonts w:ascii="Book Antiqua" w:hAnsi="Book Antiqua"/>
          <w:szCs w:val="20"/>
        </w:rPr>
      </w:pPr>
      <w:r w:rsidRPr="00586A9F">
        <w:rPr>
          <w:rFonts w:ascii="Book Antiqua" w:hAnsi="Book Antiqua"/>
          <w:szCs w:val="20"/>
        </w:rPr>
        <w:t>Several studies in several countries have attempted to explain the ideal policy schemes for increasing the social resilience of society after the pandemic (</w:t>
      </w:r>
      <w:proofErr w:type="spellStart"/>
      <w:r w:rsidRPr="00586A9F">
        <w:rPr>
          <w:rFonts w:ascii="Book Antiqua" w:hAnsi="Book Antiqua"/>
          <w:szCs w:val="20"/>
        </w:rPr>
        <w:t>Bhorat</w:t>
      </w:r>
      <w:proofErr w:type="spellEnd"/>
      <w:r w:rsidRPr="00586A9F">
        <w:rPr>
          <w:rFonts w:ascii="Book Antiqua" w:hAnsi="Book Antiqua"/>
          <w:szCs w:val="20"/>
        </w:rPr>
        <w:t xml:space="preserve"> et al., 2021; Devereux, 2021; </w:t>
      </w:r>
      <w:proofErr w:type="spellStart"/>
      <w:r w:rsidRPr="00586A9F">
        <w:rPr>
          <w:rFonts w:ascii="Book Antiqua" w:hAnsi="Book Antiqua"/>
          <w:szCs w:val="20"/>
        </w:rPr>
        <w:t>Pongutta</w:t>
      </w:r>
      <w:proofErr w:type="spellEnd"/>
      <w:r w:rsidRPr="00586A9F">
        <w:rPr>
          <w:rFonts w:ascii="Book Antiqua" w:hAnsi="Book Antiqua"/>
          <w:szCs w:val="20"/>
        </w:rPr>
        <w:t xml:space="preserve"> et al., 2021; Summerton, 2020; </w:t>
      </w:r>
      <w:proofErr w:type="spellStart"/>
      <w:r w:rsidRPr="00586A9F">
        <w:rPr>
          <w:rFonts w:ascii="Book Antiqua" w:hAnsi="Book Antiqua"/>
          <w:szCs w:val="20"/>
        </w:rPr>
        <w:t>Yuda</w:t>
      </w:r>
      <w:proofErr w:type="spellEnd"/>
      <w:r w:rsidRPr="00586A9F">
        <w:rPr>
          <w:rFonts w:ascii="Book Antiqua" w:hAnsi="Book Antiqua"/>
          <w:szCs w:val="20"/>
        </w:rPr>
        <w:t xml:space="preserve"> et al., </w:t>
      </w:r>
      <w:proofErr w:type="gramStart"/>
      <w:r w:rsidRPr="00586A9F">
        <w:rPr>
          <w:rFonts w:ascii="Book Antiqua" w:hAnsi="Book Antiqua"/>
          <w:szCs w:val="20"/>
        </w:rPr>
        <w:t>2022 )</w:t>
      </w:r>
      <w:proofErr w:type="gramEnd"/>
      <w:r w:rsidRPr="00586A9F">
        <w:rPr>
          <w:rFonts w:ascii="Book Antiqua" w:hAnsi="Book Antiqua"/>
          <w:szCs w:val="20"/>
        </w:rPr>
        <w:t xml:space="preserve">. Including in Indonesia, the issue of post-pandemic policy schemes has attracted quite serious debate among scholars (Adams et al., 2021; Damayanti et al., 2022; </w:t>
      </w:r>
      <w:proofErr w:type="spellStart"/>
      <w:r w:rsidRPr="00586A9F">
        <w:rPr>
          <w:rFonts w:ascii="Book Antiqua" w:hAnsi="Book Antiqua"/>
          <w:szCs w:val="20"/>
        </w:rPr>
        <w:t>Handayani</w:t>
      </w:r>
      <w:proofErr w:type="spellEnd"/>
      <w:r w:rsidRPr="00586A9F">
        <w:rPr>
          <w:rFonts w:ascii="Book Antiqua" w:hAnsi="Book Antiqua"/>
          <w:szCs w:val="20"/>
        </w:rPr>
        <w:t>, 2021; Rahman, 2023). Based on the existing debate, at least two main axes are being developed. First, a study that sees that post-pandemic policy schemes are appropriate for getting out of the crisis by focusing attention on strengthening social spending. A social spending scheme channeled through government agencies down to the lower levels. This scheme is believed to stimulate economic growth in rural communities. Through social spending, which is realized in the form of BLT, the economic turnaround is hoped to be faster. The second axis is those who focus on investment-friendly policies. This party's concern is especially considering that during the COVID-19 pandemic, around 72,983 residents lost their jobs. However, the country needed help providing jobs after the pandemic because its resources were limited. Investment is expected to create more excellent employment opportunities for the community.</w:t>
      </w:r>
    </w:p>
    <w:p w14:paraId="149A1B55" w14:textId="77777777" w:rsidR="00586A9F" w:rsidRPr="00586A9F" w:rsidRDefault="00586A9F" w:rsidP="00146A24">
      <w:pPr>
        <w:spacing w:after="0" w:line="276" w:lineRule="auto"/>
        <w:ind w:firstLine="720"/>
        <w:jc w:val="both"/>
        <w:rPr>
          <w:rFonts w:ascii="Book Antiqua" w:hAnsi="Book Antiqua"/>
          <w:szCs w:val="20"/>
        </w:rPr>
      </w:pPr>
      <w:r w:rsidRPr="00586A9F">
        <w:rPr>
          <w:rFonts w:ascii="Book Antiqua" w:hAnsi="Book Antiqua"/>
          <w:szCs w:val="20"/>
        </w:rPr>
        <w:t xml:space="preserve">In general, the handling of crises portrayed by scholars in Indonesia mostly sees crisis handling within a policy framework that marginalizes political aspects, especially political participation from the community. In the end, the viewpoint that was developed gave more of a portion to government activity while at the same time leaving little room for social activism at the grassroots. The domino effect is that the </w:t>
      </w:r>
      <w:r w:rsidRPr="00586A9F">
        <w:rPr>
          <w:rFonts w:ascii="Book Antiqua" w:hAnsi="Book Antiqua"/>
          <w:szCs w:val="20"/>
        </w:rPr>
        <w:lastRenderedPageBreak/>
        <w:t xml:space="preserve">proposed settlement agreement with a bureaucratic scheme is more straightforward. This simplification then ignores other, more political aspects, as </w:t>
      </w:r>
      <w:proofErr w:type="spellStart"/>
      <w:r w:rsidRPr="00586A9F">
        <w:rPr>
          <w:rFonts w:ascii="Book Antiqua" w:hAnsi="Book Antiqua"/>
          <w:szCs w:val="20"/>
        </w:rPr>
        <w:t>Mudhoffir</w:t>
      </w:r>
      <w:proofErr w:type="spellEnd"/>
      <w:r w:rsidRPr="00586A9F">
        <w:rPr>
          <w:rFonts w:ascii="Book Antiqua" w:hAnsi="Book Antiqua"/>
          <w:szCs w:val="20"/>
        </w:rPr>
        <w:t xml:space="preserve"> and </w:t>
      </w:r>
      <w:proofErr w:type="spellStart"/>
      <w:r w:rsidRPr="00586A9F">
        <w:rPr>
          <w:rFonts w:ascii="Book Antiqua" w:hAnsi="Book Antiqua"/>
          <w:szCs w:val="20"/>
        </w:rPr>
        <w:t>Aklin</w:t>
      </w:r>
      <w:proofErr w:type="spellEnd"/>
      <w:r w:rsidRPr="00586A9F">
        <w:rPr>
          <w:rFonts w:ascii="Book Antiqua" w:hAnsi="Book Antiqua"/>
          <w:szCs w:val="20"/>
        </w:rPr>
        <w:t xml:space="preserve"> have said that the Covid-19 pandemic has revealed the existence of an unequal relationship between the government and society at the grassroots (</w:t>
      </w:r>
      <w:proofErr w:type="spellStart"/>
      <w:r w:rsidRPr="00586A9F">
        <w:rPr>
          <w:rFonts w:ascii="Book Antiqua" w:hAnsi="Book Antiqua"/>
          <w:szCs w:val="20"/>
        </w:rPr>
        <w:t>Aklin</w:t>
      </w:r>
      <w:proofErr w:type="spellEnd"/>
      <w:r w:rsidRPr="00586A9F">
        <w:rPr>
          <w:rFonts w:ascii="Book Antiqua" w:hAnsi="Book Antiqua"/>
          <w:szCs w:val="20"/>
        </w:rPr>
        <w:t xml:space="preserve"> et al., 2021; </w:t>
      </w:r>
      <w:proofErr w:type="spellStart"/>
      <w:r w:rsidRPr="00586A9F">
        <w:rPr>
          <w:rFonts w:ascii="Book Antiqua" w:hAnsi="Book Antiqua"/>
          <w:szCs w:val="20"/>
        </w:rPr>
        <w:t>Mudhoffir</w:t>
      </w:r>
      <w:proofErr w:type="spellEnd"/>
      <w:r w:rsidRPr="00586A9F">
        <w:rPr>
          <w:rFonts w:ascii="Book Antiqua" w:hAnsi="Book Antiqua"/>
          <w:szCs w:val="20"/>
        </w:rPr>
        <w:t xml:space="preserve"> &amp; </w:t>
      </w:r>
      <w:proofErr w:type="spellStart"/>
      <w:r w:rsidRPr="00586A9F">
        <w:rPr>
          <w:rFonts w:ascii="Book Antiqua" w:hAnsi="Book Antiqua"/>
          <w:szCs w:val="20"/>
        </w:rPr>
        <w:t>Hadiz</w:t>
      </w:r>
      <w:proofErr w:type="spellEnd"/>
      <w:r w:rsidRPr="00586A9F">
        <w:rPr>
          <w:rFonts w:ascii="Book Antiqua" w:hAnsi="Book Antiqua"/>
          <w:szCs w:val="20"/>
        </w:rPr>
        <w:t xml:space="preserve">, </w:t>
      </w:r>
      <w:proofErr w:type="gramStart"/>
      <w:r w:rsidRPr="00586A9F">
        <w:rPr>
          <w:rFonts w:ascii="Book Antiqua" w:hAnsi="Book Antiqua"/>
          <w:szCs w:val="20"/>
        </w:rPr>
        <w:t>2021 )</w:t>
      </w:r>
      <w:proofErr w:type="gramEnd"/>
      <w:r w:rsidRPr="00586A9F">
        <w:rPr>
          <w:rFonts w:ascii="Book Antiqua" w:hAnsi="Book Antiqua"/>
          <w:szCs w:val="20"/>
        </w:rPr>
        <w:t>. So, in the context of overcoming post-pandemic crisis problems, intervening only through policy without highlighting the ongoing political actor relationships will not significantly impact society, especially in rural areas. Moreover, unequal power relations from the start have conditioned the poorest communities in rural areas as the most vulnerable group not to be involved in the formulation and monitoring of the implementation of policies made by the government (</w:t>
      </w:r>
      <w:proofErr w:type="spellStart"/>
      <w:r w:rsidRPr="00586A9F">
        <w:rPr>
          <w:rFonts w:ascii="Book Antiqua" w:hAnsi="Book Antiqua"/>
          <w:szCs w:val="20"/>
        </w:rPr>
        <w:t>Aklin</w:t>
      </w:r>
      <w:proofErr w:type="spellEnd"/>
      <w:r w:rsidRPr="00586A9F">
        <w:rPr>
          <w:rFonts w:ascii="Book Antiqua" w:hAnsi="Book Antiqua"/>
          <w:szCs w:val="20"/>
        </w:rPr>
        <w:t xml:space="preserve"> et al., 2021; </w:t>
      </w:r>
      <w:proofErr w:type="spellStart"/>
      <w:r w:rsidRPr="00586A9F">
        <w:rPr>
          <w:rFonts w:ascii="Book Antiqua" w:hAnsi="Book Antiqua"/>
          <w:szCs w:val="20"/>
        </w:rPr>
        <w:t>Mudhoffir</w:t>
      </w:r>
      <w:proofErr w:type="spellEnd"/>
      <w:r w:rsidRPr="00586A9F">
        <w:rPr>
          <w:rFonts w:ascii="Book Antiqua" w:hAnsi="Book Antiqua"/>
          <w:szCs w:val="20"/>
        </w:rPr>
        <w:t xml:space="preserve"> &amp; </w:t>
      </w:r>
      <w:proofErr w:type="spellStart"/>
      <w:r w:rsidRPr="00586A9F">
        <w:rPr>
          <w:rFonts w:ascii="Book Antiqua" w:hAnsi="Book Antiqua"/>
          <w:szCs w:val="20"/>
        </w:rPr>
        <w:t>Hadiz</w:t>
      </w:r>
      <w:proofErr w:type="spellEnd"/>
      <w:r w:rsidRPr="00586A9F">
        <w:rPr>
          <w:rFonts w:ascii="Book Antiqua" w:hAnsi="Book Antiqua"/>
          <w:szCs w:val="20"/>
        </w:rPr>
        <w:t>, 2021). As a result, handling the post-pandemic with a policy scheme to increase social resilience will increase the social distance between the government and the rural poor, whose domino effect could increase the vulnerability of low-income people in rural areas.</w:t>
      </w:r>
    </w:p>
    <w:p w14:paraId="1C54F23B" w14:textId="5A5AAE47" w:rsidR="00586A9F" w:rsidRDefault="00586A9F" w:rsidP="00146A24">
      <w:pPr>
        <w:spacing w:after="0" w:line="276" w:lineRule="auto"/>
        <w:ind w:firstLine="720"/>
        <w:jc w:val="both"/>
        <w:rPr>
          <w:rFonts w:ascii="Book Antiqua" w:hAnsi="Book Antiqua"/>
          <w:szCs w:val="20"/>
        </w:rPr>
      </w:pPr>
      <w:r w:rsidRPr="00586A9F">
        <w:rPr>
          <w:rFonts w:ascii="Book Antiqua" w:hAnsi="Book Antiqua"/>
          <w:szCs w:val="20"/>
        </w:rPr>
        <w:t>Apart from that, existing studies have yet to pay much attention to political institutions in rural areas. In fact, with material conditions like in Indonesia, grassroots activism, such as social movements initiated by individuals or collectives, became an everyday phenomenon when COVID-19 hit Indonesia (</w:t>
      </w:r>
      <w:proofErr w:type="spellStart"/>
      <w:r w:rsidRPr="00586A9F">
        <w:rPr>
          <w:rFonts w:ascii="Book Antiqua" w:hAnsi="Book Antiqua"/>
          <w:szCs w:val="20"/>
        </w:rPr>
        <w:t>Yuda</w:t>
      </w:r>
      <w:proofErr w:type="spellEnd"/>
      <w:r w:rsidRPr="00586A9F">
        <w:rPr>
          <w:rFonts w:ascii="Book Antiqua" w:hAnsi="Book Antiqua"/>
          <w:szCs w:val="20"/>
        </w:rPr>
        <w:t xml:space="preserve"> et al., 2021). Some of these include food solidarity initiated by the </w:t>
      </w:r>
      <w:proofErr w:type="spellStart"/>
      <w:r w:rsidRPr="00586A9F">
        <w:rPr>
          <w:rFonts w:ascii="Book Antiqua" w:hAnsi="Book Antiqua"/>
          <w:szCs w:val="20"/>
        </w:rPr>
        <w:t>Habis</w:t>
      </w:r>
      <w:proofErr w:type="spellEnd"/>
      <w:r w:rsidRPr="00586A9F">
        <w:rPr>
          <w:rFonts w:ascii="Book Antiqua" w:hAnsi="Book Antiqua"/>
          <w:szCs w:val="20"/>
        </w:rPr>
        <w:t xml:space="preserve"> </w:t>
      </w:r>
      <w:proofErr w:type="spellStart"/>
      <w:r w:rsidRPr="00586A9F">
        <w:rPr>
          <w:rFonts w:ascii="Book Antiqua" w:hAnsi="Book Antiqua"/>
          <w:szCs w:val="20"/>
        </w:rPr>
        <w:t>Gelap</w:t>
      </w:r>
      <w:proofErr w:type="spellEnd"/>
      <w:r w:rsidRPr="00586A9F">
        <w:rPr>
          <w:rFonts w:ascii="Book Antiqua" w:hAnsi="Book Antiqua"/>
          <w:szCs w:val="20"/>
        </w:rPr>
        <w:t xml:space="preserve"> </w:t>
      </w:r>
      <w:proofErr w:type="spellStart"/>
      <w:r w:rsidRPr="00586A9F">
        <w:rPr>
          <w:rFonts w:ascii="Book Antiqua" w:hAnsi="Book Antiqua"/>
          <w:szCs w:val="20"/>
        </w:rPr>
        <w:t>Terbitlah</w:t>
      </w:r>
      <w:proofErr w:type="spellEnd"/>
      <w:r w:rsidRPr="00586A9F">
        <w:rPr>
          <w:rFonts w:ascii="Book Antiqua" w:hAnsi="Book Antiqua"/>
          <w:szCs w:val="20"/>
        </w:rPr>
        <w:t xml:space="preserve"> </w:t>
      </w:r>
      <w:proofErr w:type="spellStart"/>
      <w:r w:rsidRPr="00586A9F">
        <w:rPr>
          <w:rFonts w:ascii="Book Antiqua" w:hAnsi="Book Antiqua"/>
          <w:szCs w:val="20"/>
        </w:rPr>
        <w:t>Terang</w:t>
      </w:r>
      <w:proofErr w:type="spellEnd"/>
      <w:r w:rsidRPr="00586A9F">
        <w:rPr>
          <w:rFonts w:ascii="Book Antiqua" w:hAnsi="Book Antiqua"/>
          <w:szCs w:val="20"/>
        </w:rPr>
        <w:t xml:space="preserve"> (HGTT) Community in Malang, </w:t>
      </w:r>
      <w:proofErr w:type="spellStart"/>
      <w:r w:rsidRPr="00586A9F">
        <w:rPr>
          <w:rFonts w:ascii="Book Antiqua" w:hAnsi="Book Antiqua"/>
          <w:szCs w:val="20"/>
        </w:rPr>
        <w:t>Solidaritas</w:t>
      </w:r>
      <w:proofErr w:type="spellEnd"/>
      <w:r w:rsidRPr="00586A9F">
        <w:rPr>
          <w:rFonts w:ascii="Book Antiqua" w:hAnsi="Book Antiqua"/>
          <w:szCs w:val="20"/>
        </w:rPr>
        <w:t xml:space="preserve"> </w:t>
      </w:r>
      <w:proofErr w:type="spellStart"/>
      <w:r w:rsidRPr="00586A9F">
        <w:rPr>
          <w:rFonts w:ascii="Book Antiqua" w:hAnsi="Book Antiqua"/>
          <w:szCs w:val="20"/>
        </w:rPr>
        <w:t>Pangan</w:t>
      </w:r>
      <w:proofErr w:type="spellEnd"/>
      <w:r w:rsidRPr="00586A9F">
        <w:rPr>
          <w:rFonts w:ascii="Book Antiqua" w:hAnsi="Book Antiqua"/>
          <w:szCs w:val="20"/>
        </w:rPr>
        <w:t xml:space="preserve"> Jogja (SPJ), which provides public kitchens for residents, the </w:t>
      </w:r>
      <w:proofErr w:type="spellStart"/>
      <w:r w:rsidRPr="00586A9F">
        <w:rPr>
          <w:rFonts w:ascii="Book Antiqua" w:hAnsi="Book Antiqua"/>
          <w:szCs w:val="20"/>
        </w:rPr>
        <w:t>Karang</w:t>
      </w:r>
      <w:proofErr w:type="spellEnd"/>
      <w:r w:rsidRPr="00586A9F">
        <w:rPr>
          <w:rFonts w:ascii="Book Antiqua" w:hAnsi="Book Antiqua"/>
          <w:szCs w:val="20"/>
        </w:rPr>
        <w:t xml:space="preserve"> Tina house in Banjarmasin, which was initiated by the social community, as well as food donations for migrant workers in Sumatra held by villagers (</w:t>
      </w:r>
      <w:proofErr w:type="spellStart"/>
      <w:r w:rsidRPr="00586A9F">
        <w:rPr>
          <w:rFonts w:ascii="Book Antiqua" w:hAnsi="Book Antiqua"/>
          <w:szCs w:val="20"/>
        </w:rPr>
        <w:t>Yuda</w:t>
      </w:r>
      <w:proofErr w:type="spellEnd"/>
      <w:r w:rsidRPr="00586A9F">
        <w:rPr>
          <w:rFonts w:ascii="Book Antiqua" w:hAnsi="Book Antiqua"/>
          <w:szCs w:val="20"/>
        </w:rPr>
        <w:t xml:space="preserve"> et al., 2021). Especially in </w:t>
      </w:r>
      <w:proofErr w:type="spellStart"/>
      <w:r w:rsidRPr="00586A9F">
        <w:rPr>
          <w:rFonts w:ascii="Book Antiqua" w:hAnsi="Book Antiqua"/>
          <w:szCs w:val="20"/>
        </w:rPr>
        <w:t>Palu</w:t>
      </w:r>
      <w:proofErr w:type="spellEnd"/>
      <w:r w:rsidRPr="00586A9F">
        <w:rPr>
          <w:rFonts w:ascii="Book Antiqua" w:hAnsi="Book Antiqua"/>
          <w:szCs w:val="20"/>
        </w:rPr>
        <w:t>, the 2018 earthquake disaster has left empirical experience for residents to get out of the crisis by relying on movements that prioritize social capital.</w:t>
      </w:r>
    </w:p>
    <w:p w14:paraId="63DCBE45" w14:textId="267C4D29" w:rsidR="00146A24" w:rsidRDefault="00146A24" w:rsidP="00146A24">
      <w:pPr>
        <w:spacing w:after="0" w:line="276" w:lineRule="auto"/>
        <w:jc w:val="both"/>
        <w:rPr>
          <w:rFonts w:ascii="Book Antiqua" w:hAnsi="Book Antiqua"/>
          <w:szCs w:val="20"/>
        </w:rPr>
      </w:pPr>
    </w:p>
    <w:p w14:paraId="09A8ED8C" w14:textId="5AFA32A6" w:rsidR="00146A24" w:rsidRPr="00146A24" w:rsidRDefault="00146A24" w:rsidP="00146A24">
      <w:pPr>
        <w:spacing w:after="0" w:line="276" w:lineRule="auto"/>
        <w:jc w:val="both"/>
        <w:rPr>
          <w:rFonts w:ascii="Book Antiqua" w:hAnsi="Book Antiqua"/>
          <w:b/>
          <w:bCs/>
          <w:szCs w:val="20"/>
        </w:rPr>
      </w:pPr>
      <w:r w:rsidRPr="00146A24">
        <w:rPr>
          <w:rFonts w:ascii="Book Antiqua" w:hAnsi="Book Antiqua"/>
          <w:b/>
          <w:bCs/>
          <w:szCs w:val="20"/>
        </w:rPr>
        <w:t>RESEARCH METHOD</w:t>
      </w:r>
    </w:p>
    <w:p w14:paraId="628724AF" w14:textId="77777777" w:rsidR="00146A24" w:rsidRPr="00146A24" w:rsidRDefault="00146A24" w:rsidP="00146A24">
      <w:pPr>
        <w:spacing w:after="0" w:line="276" w:lineRule="auto"/>
        <w:ind w:firstLine="720"/>
        <w:jc w:val="both"/>
        <w:rPr>
          <w:rFonts w:ascii="Book Antiqua" w:hAnsi="Book Antiqua"/>
          <w:szCs w:val="20"/>
        </w:rPr>
      </w:pPr>
      <w:r w:rsidRPr="00146A24">
        <w:rPr>
          <w:rFonts w:ascii="Book Antiqua" w:hAnsi="Book Antiqua"/>
          <w:szCs w:val="20"/>
        </w:rPr>
        <w:t xml:space="preserve">This research is field research using qualitative methods. The research location occurred in two villages in </w:t>
      </w:r>
      <w:proofErr w:type="spellStart"/>
      <w:r w:rsidRPr="00146A24">
        <w:rPr>
          <w:rFonts w:ascii="Book Antiqua" w:hAnsi="Book Antiqua"/>
          <w:szCs w:val="20"/>
        </w:rPr>
        <w:t>Sigi</w:t>
      </w:r>
      <w:proofErr w:type="spellEnd"/>
      <w:r w:rsidRPr="00146A24">
        <w:rPr>
          <w:rFonts w:ascii="Book Antiqua" w:hAnsi="Book Antiqua"/>
          <w:szCs w:val="20"/>
        </w:rPr>
        <w:t xml:space="preserve"> Regency, Central Sulawesi. The villages were determined by considering the criteria: villages with the highest COVID-19 cases during the pandemic and villages affected by the largest earthquake in </w:t>
      </w:r>
      <w:proofErr w:type="spellStart"/>
      <w:r w:rsidRPr="00146A24">
        <w:rPr>
          <w:rFonts w:ascii="Book Antiqua" w:hAnsi="Book Antiqua"/>
          <w:szCs w:val="20"/>
        </w:rPr>
        <w:t>Sigi</w:t>
      </w:r>
      <w:proofErr w:type="spellEnd"/>
      <w:r w:rsidRPr="00146A24">
        <w:rPr>
          <w:rFonts w:ascii="Book Antiqua" w:hAnsi="Book Antiqua"/>
          <w:szCs w:val="20"/>
        </w:rPr>
        <w:t xml:space="preserve"> in 2018. Based on these criteria, we chose </w:t>
      </w:r>
      <w:proofErr w:type="spellStart"/>
      <w:r w:rsidRPr="00146A24">
        <w:rPr>
          <w:rFonts w:ascii="Book Antiqua" w:hAnsi="Book Antiqua"/>
          <w:szCs w:val="20"/>
        </w:rPr>
        <w:t>Kalubula</w:t>
      </w:r>
      <w:proofErr w:type="spellEnd"/>
      <w:r w:rsidRPr="00146A24">
        <w:rPr>
          <w:rFonts w:ascii="Book Antiqua" w:hAnsi="Book Antiqua"/>
          <w:szCs w:val="20"/>
        </w:rPr>
        <w:t xml:space="preserve"> village. The </w:t>
      </w:r>
      <w:proofErr w:type="spellStart"/>
      <w:r w:rsidRPr="00146A24">
        <w:rPr>
          <w:rFonts w:ascii="Book Antiqua" w:hAnsi="Book Antiqua"/>
          <w:szCs w:val="20"/>
        </w:rPr>
        <w:t>Sigi</w:t>
      </w:r>
      <w:proofErr w:type="spellEnd"/>
      <w:r w:rsidRPr="00146A24">
        <w:rPr>
          <w:rFonts w:ascii="Book Antiqua" w:hAnsi="Book Antiqua"/>
          <w:szCs w:val="20"/>
        </w:rPr>
        <w:t xml:space="preserve"> Regent's circular, No. 440/800-453/</w:t>
      </w:r>
      <w:proofErr w:type="spellStart"/>
      <w:r w:rsidRPr="00146A24">
        <w:rPr>
          <w:rFonts w:ascii="Book Antiqua" w:hAnsi="Book Antiqua"/>
          <w:szCs w:val="20"/>
        </w:rPr>
        <w:t>Kep-Dinkes</w:t>
      </w:r>
      <w:proofErr w:type="spellEnd"/>
      <w:r w:rsidRPr="00146A24">
        <w:rPr>
          <w:rFonts w:ascii="Book Antiqua" w:hAnsi="Book Antiqua"/>
          <w:szCs w:val="20"/>
        </w:rPr>
        <w:t xml:space="preserve">, places </w:t>
      </w:r>
      <w:proofErr w:type="spellStart"/>
      <w:r w:rsidRPr="00146A24">
        <w:rPr>
          <w:rFonts w:ascii="Book Antiqua" w:hAnsi="Book Antiqua"/>
          <w:szCs w:val="20"/>
        </w:rPr>
        <w:t>Kalubula</w:t>
      </w:r>
      <w:proofErr w:type="spellEnd"/>
      <w:r w:rsidRPr="00146A24">
        <w:rPr>
          <w:rFonts w:ascii="Book Antiqua" w:hAnsi="Book Antiqua"/>
          <w:szCs w:val="20"/>
        </w:rPr>
        <w:t xml:space="preserve"> village as one of the villages with the highest cases of COVID-19 spread in </w:t>
      </w:r>
      <w:proofErr w:type="spellStart"/>
      <w:r w:rsidRPr="00146A24">
        <w:rPr>
          <w:rFonts w:ascii="Book Antiqua" w:hAnsi="Book Antiqua"/>
          <w:szCs w:val="20"/>
        </w:rPr>
        <w:t>Sigi</w:t>
      </w:r>
      <w:proofErr w:type="spellEnd"/>
      <w:r w:rsidRPr="00146A24">
        <w:rPr>
          <w:rFonts w:ascii="Book Antiqua" w:hAnsi="Book Antiqua"/>
          <w:szCs w:val="20"/>
        </w:rPr>
        <w:t xml:space="preserve"> Regency. Meanwhile, </w:t>
      </w:r>
      <w:proofErr w:type="spellStart"/>
      <w:r w:rsidRPr="00146A24">
        <w:rPr>
          <w:rFonts w:ascii="Book Antiqua" w:hAnsi="Book Antiqua"/>
          <w:szCs w:val="20"/>
        </w:rPr>
        <w:t>Ampanau</w:t>
      </w:r>
      <w:proofErr w:type="spellEnd"/>
      <w:r w:rsidRPr="00146A24">
        <w:rPr>
          <w:rFonts w:ascii="Book Antiqua" w:hAnsi="Book Antiqua"/>
          <w:szCs w:val="20"/>
        </w:rPr>
        <w:t xml:space="preserve"> village represents villages with characteristics that were quite badly affected by the earthquake in </w:t>
      </w:r>
      <w:proofErr w:type="spellStart"/>
      <w:r w:rsidRPr="00146A24">
        <w:rPr>
          <w:rFonts w:ascii="Book Antiqua" w:hAnsi="Book Antiqua"/>
          <w:szCs w:val="20"/>
        </w:rPr>
        <w:t>Sigi</w:t>
      </w:r>
      <w:proofErr w:type="spellEnd"/>
      <w:r w:rsidRPr="00146A24">
        <w:rPr>
          <w:rFonts w:ascii="Book Antiqua" w:hAnsi="Book Antiqua"/>
          <w:szCs w:val="20"/>
        </w:rPr>
        <w:t>.</w:t>
      </w:r>
    </w:p>
    <w:p w14:paraId="7BA190DC" w14:textId="77777777" w:rsidR="00146A24" w:rsidRDefault="00146A24" w:rsidP="00146A24">
      <w:pPr>
        <w:spacing w:after="0" w:line="276" w:lineRule="auto"/>
        <w:ind w:firstLine="720"/>
        <w:jc w:val="both"/>
        <w:rPr>
          <w:rFonts w:ascii="Book Antiqua" w:hAnsi="Book Antiqua"/>
          <w:szCs w:val="20"/>
        </w:rPr>
      </w:pPr>
      <w:r w:rsidRPr="00146A24">
        <w:rPr>
          <w:rFonts w:ascii="Book Antiqua" w:hAnsi="Book Antiqua"/>
          <w:szCs w:val="20"/>
        </w:rPr>
        <w:t xml:space="preserve">Data collection was carried out in several ways, including direct observation. In direct observation, the researcher interacts directly with the informant. Observe closely all the informant's activities and responses. This direct observation process is </w:t>
      </w:r>
      <w:r w:rsidRPr="00146A24">
        <w:rPr>
          <w:rFonts w:ascii="Book Antiqua" w:hAnsi="Book Antiqua"/>
          <w:szCs w:val="20"/>
        </w:rPr>
        <w:lastRenderedPageBreak/>
        <w:t xml:space="preserve">carried out especially when observing community and NGO informants, such as how the community mobilizes and participates politically. In addition, data collection was carried out through semi-structured interviews. We prepared several critical questions as a guide and then improvised these questions according to the conditions of the informants we were dealing with. The duration of the interviews we conducted for each informant ranged from 45 to 70 minutes. The informants we interviewed consisted of the head of </w:t>
      </w:r>
      <w:proofErr w:type="spellStart"/>
      <w:r w:rsidRPr="00146A24">
        <w:rPr>
          <w:rFonts w:ascii="Book Antiqua" w:hAnsi="Book Antiqua"/>
          <w:szCs w:val="20"/>
        </w:rPr>
        <w:t>Ampanau</w:t>
      </w:r>
      <w:proofErr w:type="spellEnd"/>
      <w:r w:rsidRPr="00146A24">
        <w:rPr>
          <w:rFonts w:ascii="Book Antiqua" w:hAnsi="Book Antiqua"/>
          <w:szCs w:val="20"/>
        </w:rPr>
        <w:t xml:space="preserve"> Village, the Development Planning Section in </w:t>
      </w:r>
      <w:proofErr w:type="spellStart"/>
      <w:r w:rsidRPr="00146A24">
        <w:rPr>
          <w:rFonts w:ascii="Book Antiqua" w:hAnsi="Book Antiqua"/>
          <w:szCs w:val="20"/>
        </w:rPr>
        <w:t>Ampanau</w:t>
      </w:r>
      <w:proofErr w:type="spellEnd"/>
      <w:r w:rsidRPr="00146A24">
        <w:rPr>
          <w:rFonts w:ascii="Book Antiqua" w:hAnsi="Book Antiqua"/>
          <w:szCs w:val="20"/>
        </w:rPr>
        <w:t xml:space="preserve"> Village, the Head of </w:t>
      </w:r>
      <w:proofErr w:type="spellStart"/>
      <w:r w:rsidRPr="00146A24">
        <w:rPr>
          <w:rFonts w:ascii="Book Antiqua" w:hAnsi="Book Antiqua"/>
          <w:szCs w:val="20"/>
        </w:rPr>
        <w:t>Kalubula</w:t>
      </w:r>
      <w:proofErr w:type="spellEnd"/>
      <w:r w:rsidRPr="00146A24">
        <w:rPr>
          <w:rFonts w:ascii="Book Antiqua" w:hAnsi="Book Antiqua"/>
          <w:szCs w:val="20"/>
        </w:rPr>
        <w:t xml:space="preserve"> Village, the Secretary of </w:t>
      </w:r>
      <w:proofErr w:type="spellStart"/>
      <w:r w:rsidRPr="00146A24">
        <w:rPr>
          <w:rFonts w:ascii="Book Antiqua" w:hAnsi="Book Antiqua"/>
          <w:szCs w:val="20"/>
        </w:rPr>
        <w:t>Kalubula</w:t>
      </w:r>
      <w:proofErr w:type="spellEnd"/>
      <w:r w:rsidRPr="00146A24">
        <w:rPr>
          <w:rFonts w:ascii="Book Antiqua" w:hAnsi="Book Antiqua"/>
          <w:szCs w:val="20"/>
        </w:rPr>
        <w:t xml:space="preserve"> Village, the Head of </w:t>
      </w:r>
      <w:proofErr w:type="spellStart"/>
      <w:r w:rsidRPr="00146A24">
        <w:rPr>
          <w:rFonts w:ascii="Book Antiqua" w:hAnsi="Book Antiqua"/>
          <w:szCs w:val="20"/>
        </w:rPr>
        <w:t>Kalubula</w:t>
      </w:r>
      <w:proofErr w:type="spellEnd"/>
      <w:r w:rsidRPr="00146A24">
        <w:rPr>
          <w:rFonts w:ascii="Book Antiqua" w:hAnsi="Book Antiqua"/>
          <w:szCs w:val="20"/>
        </w:rPr>
        <w:t xml:space="preserve"> Government, the </w:t>
      </w:r>
      <w:proofErr w:type="spellStart"/>
      <w:r w:rsidRPr="00146A24">
        <w:rPr>
          <w:rFonts w:ascii="Book Antiqua" w:hAnsi="Book Antiqua"/>
          <w:szCs w:val="20"/>
        </w:rPr>
        <w:t>Roa</w:t>
      </w:r>
      <w:proofErr w:type="spellEnd"/>
      <w:r w:rsidRPr="00146A24">
        <w:rPr>
          <w:rFonts w:ascii="Book Antiqua" w:hAnsi="Book Antiqua"/>
          <w:szCs w:val="20"/>
        </w:rPr>
        <w:t xml:space="preserve"> Jaga </w:t>
      </w:r>
      <w:proofErr w:type="spellStart"/>
      <w:r w:rsidRPr="00146A24">
        <w:rPr>
          <w:rFonts w:ascii="Book Antiqua" w:hAnsi="Book Antiqua"/>
          <w:szCs w:val="20"/>
        </w:rPr>
        <w:t>Roa</w:t>
      </w:r>
      <w:proofErr w:type="spellEnd"/>
      <w:r w:rsidRPr="00146A24">
        <w:rPr>
          <w:rFonts w:ascii="Book Antiqua" w:hAnsi="Book Antiqua"/>
          <w:szCs w:val="20"/>
        </w:rPr>
        <w:t xml:space="preserve"> Community (NGO), the Expert Staff of the Chair of the Provincial DPRD, the Women's Community. We also interviewed people in two villages randomly with unlimited numbers. For convenience, we use anonymized names for each informant. We did field visits for two periods—the first period, April-May 2022, and the second in March-April 2023. Finally, we visited the </w:t>
      </w:r>
      <w:proofErr w:type="spellStart"/>
      <w:r w:rsidRPr="00146A24">
        <w:rPr>
          <w:rFonts w:ascii="Book Antiqua" w:hAnsi="Book Antiqua"/>
          <w:szCs w:val="20"/>
        </w:rPr>
        <w:t>Balaroa</w:t>
      </w:r>
      <w:proofErr w:type="spellEnd"/>
      <w:r w:rsidRPr="00146A24">
        <w:rPr>
          <w:rFonts w:ascii="Book Antiqua" w:hAnsi="Book Antiqua"/>
          <w:szCs w:val="20"/>
        </w:rPr>
        <w:t xml:space="preserve"> Memorial Wall monument to find several documents and archives related to the 2018 earthquake.</w:t>
      </w:r>
    </w:p>
    <w:p w14:paraId="45FD5A95" w14:textId="45EBA18E" w:rsidR="00146A24" w:rsidRPr="00146A24" w:rsidRDefault="00146A24" w:rsidP="00146A24">
      <w:pPr>
        <w:spacing w:after="0" w:line="276" w:lineRule="auto"/>
        <w:ind w:firstLine="720"/>
        <w:jc w:val="both"/>
        <w:rPr>
          <w:rFonts w:ascii="Book Antiqua" w:hAnsi="Book Antiqua"/>
          <w:szCs w:val="20"/>
        </w:rPr>
      </w:pPr>
      <w:r w:rsidRPr="00146A24">
        <w:rPr>
          <w:rFonts w:ascii="Book Antiqua" w:hAnsi="Book Antiqua"/>
          <w:szCs w:val="20"/>
        </w:rPr>
        <w:t>Next, we grouped the data. There are three categories of data grouping. The first category is grouping data with policy keywords. All documents, archives, and interview results containing transcripts about policies are grouped into this category. They were second, grouping data using the keywords implementation and distribution of aid. Like the first category, all information and data related to the implementation and distribution of aid is included in the second category. Finally, they group the data using the keywords mobilization and political participation.</w:t>
      </w:r>
    </w:p>
    <w:p w14:paraId="04BB513F" w14:textId="2CEA481F" w:rsidR="00146A24" w:rsidRDefault="00146A24" w:rsidP="00146A24">
      <w:pPr>
        <w:spacing w:after="0" w:line="276" w:lineRule="auto"/>
        <w:jc w:val="both"/>
        <w:rPr>
          <w:rFonts w:ascii="Book Antiqua" w:hAnsi="Book Antiqua"/>
          <w:szCs w:val="20"/>
        </w:rPr>
      </w:pPr>
      <w:r w:rsidRPr="00146A24">
        <w:rPr>
          <w:rFonts w:ascii="Book Antiqua" w:hAnsi="Book Antiqua"/>
          <w:szCs w:val="20"/>
        </w:rPr>
        <w:t xml:space="preserve">Finally, we look for patterns between data groups one, two, and three. This process begins by determining the dependent variable first. The policy is the dependent variable, while the independent variables are implementation and distribution, political mobilization, and participation. Then, we analyze the causal relationship between the dependent and independent variables. The framework that has been developed by </w:t>
      </w:r>
      <w:proofErr w:type="spellStart"/>
      <w:r w:rsidRPr="00146A24">
        <w:rPr>
          <w:rFonts w:ascii="Book Antiqua" w:hAnsi="Book Antiqua"/>
          <w:szCs w:val="20"/>
        </w:rPr>
        <w:t>Mudhoffir</w:t>
      </w:r>
      <w:proofErr w:type="spellEnd"/>
      <w:r w:rsidRPr="00146A24">
        <w:rPr>
          <w:rFonts w:ascii="Book Antiqua" w:hAnsi="Book Antiqua"/>
          <w:szCs w:val="20"/>
        </w:rPr>
        <w:t xml:space="preserve"> regarding "social resilience" as an analytical tool used to understand the dependent variable "policy" (</w:t>
      </w:r>
      <w:proofErr w:type="spellStart"/>
      <w:r w:rsidRPr="00146A24">
        <w:rPr>
          <w:rFonts w:ascii="Book Antiqua" w:hAnsi="Book Antiqua"/>
          <w:szCs w:val="20"/>
        </w:rPr>
        <w:t>Mudhoffir</w:t>
      </w:r>
      <w:proofErr w:type="spellEnd"/>
      <w:r w:rsidRPr="00146A24">
        <w:rPr>
          <w:rFonts w:ascii="Book Antiqua" w:hAnsi="Book Antiqua"/>
          <w:szCs w:val="20"/>
        </w:rPr>
        <w:t xml:space="preserve"> &amp; </w:t>
      </w:r>
      <w:proofErr w:type="spellStart"/>
      <w:r w:rsidRPr="00146A24">
        <w:rPr>
          <w:rFonts w:ascii="Book Antiqua" w:hAnsi="Book Antiqua"/>
          <w:szCs w:val="20"/>
        </w:rPr>
        <w:t>Hadiz</w:t>
      </w:r>
      <w:proofErr w:type="spellEnd"/>
      <w:r w:rsidRPr="00146A24">
        <w:rPr>
          <w:rFonts w:ascii="Book Antiqua" w:hAnsi="Book Antiqua"/>
          <w:szCs w:val="20"/>
        </w:rPr>
        <w:t xml:space="preserve">, 2021) for implementation and distribution as well as mobilization and participation adopts the results of </w:t>
      </w:r>
      <w:proofErr w:type="spellStart"/>
      <w:r w:rsidRPr="00146A24">
        <w:rPr>
          <w:rFonts w:ascii="Book Antiqua" w:hAnsi="Book Antiqua"/>
          <w:szCs w:val="20"/>
        </w:rPr>
        <w:t>Kowalewski's</w:t>
      </w:r>
      <w:proofErr w:type="spellEnd"/>
      <w:r w:rsidRPr="00146A24">
        <w:rPr>
          <w:rFonts w:ascii="Book Antiqua" w:hAnsi="Book Antiqua"/>
          <w:szCs w:val="20"/>
        </w:rPr>
        <w:t xml:space="preserve"> work on political participation and voluntary mobilization (</w:t>
      </w:r>
      <w:proofErr w:type="spellStart"/>
      <w:r w:rsidRPr="00146A24">
        <w:rPr>
          <w:rFonts w:ascii="Book Antiqua" w:hAnsi="Book Antiqua"/>
          <w:szCs w:val="20"/>
        </w:rPr>
        <w:t>Kowalewski</w:t>
      </w:r>
      <w:proofErr w:type="spellEnd"/>
      <w:r w:rsidRPr="00146A24">
        <w:rPr>
          <w:rFonts w:ascii="Book Antiqua" w:hAnsi="Book Antiqua"/>
          <w:szCs w:val="20"/>
        </w:rPr>
        <w:t>, 2021).</w:t>
      </w:r>
    </w:p>
    <w:p w14:paraId="32DD9C89" w14:textId="33A81FF9" w:rsidR="00146A24" w:rsidRDefault="00FD0033" w:rsidP="00146A24">
      <w:pPr>
        <w:spacing w:after="0" w:line="276" w:lineRule="auto"/>
        <w:jc w:val="both"/>
        <w:rPr>
          <w:rFonts w:ascii="Book Antiqua" w:hAnsi="Book Antiqua"/>
          <w:b/>
          <w:bCs/>
          <w:szCs w:val="20"/>
        </w:rPr>
      </w:pPr>
      <w:r w:rsidRPr="00FD0033">
        <w:rPr>
          <w:rFonts w:ascii="Book Antiqua" w:hAnsi="Book Antiqua"/>
          <w:b/>
          <w:bCs/>
          <w:szCs w:val="20"/>
        </w:rPr>
        <w:t>RESULTS, DISCUSSION, AND ANALYSIS</w:t>
      </w:r>
    </w:p>
    <w:p w14:paraId="55724955" w14:textId="77777777" w:rsidR="00FD0033" w:rsidRPr="00FD0033" w:rsidRDefault="00FD0033" w:rsidP="00FD0033">
      <w:pPr>
        <w:spacing w:after="0" w:line="276" w:lineRule="auto"/>
        <w:jc w:val="both"/>
        <w:rPr>
          <w:rFonts w:ascii="Book Antiqua" w:hAnsi="Book Antiqua"/>
          <w:b/>
          <w:bCs/>
          <w:i/>
          <w:iCs/>
          <w:szCs w:val="20"/>
        </w:rPr>
      </w:pPr>
      <w:r w:rsidRPr="00FD0033">
        <w:rPr>
          <w:rFonts w:ascii="Book Antiqua" w:hAnsi="Book Antiqua"/>
          <w:b/>
          <w:bCs/>
          <w:i/>
          <w:iCs/>
          <w:szCs w:val="20"/>
        </w:rPr>
        <w:t>Socioeconomic Crisis in Central Sulawesi, From Earthquake to Pandemic</w:t>
      </w:r>
    </w:p>
    <w:p w14:paraId="1C741A5F" w14:textId="77777777" w:rsidR="00FD0033" w:rsidRPr="00FD0033" w:rsidRDefault="00FD0033" w:rsidP="00FD0033">
      <w:pPr>
        <w:spacing w:after="0" w:line="276" w:lineRule="auto"/>
        <w:ind w:firstLine="720"/>
        <w:jc w:val="both"/>
        <w:rPr>
          <w:rFonts w:ascii="Book Antiqua" w:hAnsi="Book Antiqua"/>
          <w:szCs w:val="20"/>
        </w:rPr>
      </w:pPr>
      <w:r w:rsidRPr="00FD0033">
        <w:rPr>
          <w:rFonts w:ascii="Book Antiqua" w:hAnsi="Book Antiqua"/>
          <w:szCs w:val="20"/>
        </w:rPr>
        <w:t xml:space="preserve">Not even a year after the crisis, Central Sulawesi has to face the threat of a new crisis: the COVID-19 pandemic. Looking back, this is not the first time Central Sulawesi has faced a socioeconomic crisis. Before the COVID-19 pandemic, this area had been affected by a severe crisis due to a significant natural disaster in 2018. The combination of earthquake, tsunami, and meltdown that occurred in Central Sulawesi </w:t>
      </w:r>
      <w:r w:rsidRPr="00FD0033">
        <w:rPr>
          <w:rFonts w:ascii="Book Antiqua" w:hAnsi="Book Antiqua"/>
          <w:szCs w:val="20"/>
        </w:rPr>
        <w:lastRenderedPageBreak/>
        <w:t>claimed the lives of 2,256 people; 1,039 people were missing, 4,612 people were injured, and as many as 223,751 people had to evacuate. The total material losses due to this incident reached IDR 13.82 trillion, with details in the productive economic sector experiencing losses reaching IDR 1.66 trillion, settlements reaching IDR 7.95 trillion, the social sector IDR 3.13 trillion, infrastructure IDR 701.8 billion, and across sectors reaching IDR 378 billion (See Table 1).</w:t>
      </w:r>
    </w:p>
    <w:p w14:paraId="2D2475D8" w14:textId="77777777" w:rsidR="00FD0033" w:rsidRPr="00FD0033" w:rsidRDefault="00FD0033" w:rsidP="00FD0033">
      <w:pPr>
        <w:spacing w:after="0" w:line="276" w:lineRule="auto"/>
        <w:ind w:firstLine="851"/>
        <w:jc w:val="both"/>
        <w:rPr>
          <w:rFonts w:ascii="Book Antiqua" w:hAnsi="Book Antiqua"/>
          <w:szCs w:val="20"/>
        </w:rPr>
      </w:pPr>
    </w:p>
    <w:p w14:paraId="6AC9B64F" w14:textId="2A93D9C3" w:rsidR="00FD0033" w:rsidRDefault="00FD0033" w:rsidP="00FD0033">
      <w:pPr>
        <w:spacing w:after="0" w:line="276" w:lineRule="auto"/>
        <w:jc w:val="center"/>
        <w:rPr>
          <w:rFonts w:ascii="Book Antiqua" w:hAnsi="Book Antiqua"/>
          <w:szCs w:val="20"/>
        </w:rPr>
      </w:pPr>
      <w:r w:rsidRPr="00FD0033">
        <w:rPr>
          <w:rFonts w:ascii="Book Antiqua" w:hAnsi="Book Antiqua"/>
          <w:szCs w:val="20"/>
        </w:rPr>
        <w:t>Table 1. Casualties and Large Losses Due to the 2018 Earthquake, Tsunami and Liquidation.</w:t>
      </w:r>
    </w:p>
    <w:tbl>
      <w:tblPr>
        <w:tblStyle w:val="TableGrid"/>
        <w:tblW w:w="0" w:type="auto"/>
        <w:tblLook w:val="04A0" w:firstRow="1" w:lastRow="0" w:firstColumn="1" w:lastColumn="0" w:noHBand="0" w:noVBand="1"/>
      </w:tblPr>
      <w:tblGrid>
        <w:gridCol w:w="2306"/>
        <w:gridCol w:w="2974"/>
        <w:gridCol w:w="2991"/>
      </w:tblGrid>
      <w:tr w:rsidR="00FD0033" w:rsidRPr="00FD0033" w14:paraId="3D25809D" w14:textId="77777777" w:rsidTr="00FD0033">
        <w:trPr>
          <w:trHeight w:val="18"/>
        </w:trPr>
        <w:tc>
          <w:tcPr>
            <w:tcW w:w="2306" w:type="dxa"/>
            <w:tcBorders>
              <w:left w:val="nil"/>
              <w:right w:val="nil"/>
            </w:tcBorders>
            <w:vAlign w:val="center"/>
          </w:tcPr>
          <w:p w14:paraId="6E5F80DE" w14:textId="77777777" w:rsidR="00FD0033" w:rsidRPr="00FD0033" w:rsidRDefault="00FD0033" w:rsidP="00FE4891">
            <w:pPr>
              <w:jc w:val="center"/>
              <w:rPr>
                <w:rFonts w:ascii="Book Antiqua" w:hAnsi="Book Antiqua" w:cs="Times New Roman"/>
                <w:b/>
              </w:rPr>
            </w:pPr>
            <w:r w:rsidRPr="00FD0033">
              <w:rPr>
                <w:rFonts w:ascii="Book Antiqua" w:hAnsi="Book Antiqua" w:cs="Times New Roman"/>
                <w:b/>
              </w:rPr>
              <w:t>Loss</w:t>
            </w:r>
          </w:p>
        </w:tc>
        <w:tc>
          <w:tcPr>
            <w:tcW w:w="2974" w:type="dxa"/>
            <w:tcBorders>
              <w:left w:val="nil"/>
              <w:right w:val="nil"/>
            </w:tcBorders>
            <w:vAlign w:val="center"/>
          </w:tcPr>
          <w:p w14:paraId="60DFAA53" w14:textId="77777777" w:rsidR="00FD0033" w:rsidRPr="00FD0033" w:rsidRDefault="00FD0033" w:rsidP="00FE4891">
            <w:pPr>
              <w:jc w:val="center"/>
              <w:rPr>
                <w:rFonts w:ascii="Book Antiqua" w:hAnsi="Book Antiqua" w:cs="Times New Roman"/>
                <w:b/>
              </w:rPr>
            </w:pPr>
            <w:r w:rsidRPr="00FD0033">
              <w:rPr>
                <w:rFonts w:ascii="Book Antiqua" w:hAnsi="Book Antiqua" w:cs="Times New Roman"/>
                <w:b/>
              </w:rPr>
              <w:t>Impact</w:t>
            </w:r>
          </w:p>
        </w:tc>
        <w:tc>
          <w:tcPr>
            <w:tcW w:w="2991" w:type="dxa"/>
            <w:tcBorders>
              <w:left w:val="nil"/>
              <w:right w:val="nil"/>
            </w:tcBorders>
            <w:vAlign w:val="center"/>
          </w:tcPr>
          <w:p w14:paraId="7F961EB8" w14:textId="77777777" w:rsidR="00FD0033" w:rsidRPr="00FD0033" w:rsidRDefault="00FD0033" w:rsidP="00FE4891">
            <w:pPr>
              <w:jc w:val="center"/>
              <w:rPr>
                <w:rFonts w:ascii="Book Antiqua" w:hAnsi="Book Antiqua" w:cs="Times New Roman"/>
                <w:b/>
              </w:rPr>
            </w:pPr>
            <w:r w:rsidRPr="00FD0033">
              <w:rPr>
                <w:rFonts w:ascii="Book Antiqua" w:hAnsi="Book Antiqua" w:cs="Times New Roman"/>
                <w:b/>
              </w:rPr>
              <w:t>Amount</w:t>
            </w:r>
          </w:p>
        </w:tc>
      </w:tr>
      <w:tr w:rsidR="00FD0033" w:rsidRPr="00FD0033" w14:paraId="0494EDC4" w14:textId="77777777" w:rsidTr="00FD0033">
        <w:trPr>
          <w:trHeight w:val="18"/>
        </w:trPr>
        <w:tc>
          <w:tcPr>
            <w:tcW w:w="2306" w:type="dxa"/>
            <w:vMerge w:val="restart"/>
            <w:tcBorders>
              <w:left w:val="nil"/>
              <w:right w:val="nil"/>
            </w:tcBorders>
            <w:vAlign w:val="center"/>
          </w:tcPr>
          <w:p w14:paraId="62C3E5F8"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Fatalities</w:t>
            </w:r>
          </w:p>
        </w:tc>
        <w:tc>
          <w:tcPr>
            <w:tcW w:w="2974" w:type="dxa"/>
            <w:tcBorders>
              <w:left w:val="nil"/>
              <w:right w:val="nil"/>
            </w:tcBorders>
            <w:vAlign w:val="center"/>
          </w:tcPr>
          <w:p w14:paraId="105A3A42"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Die</w:t>
            </w:r>
          </w:p>
        </w:tc>
        <w:tc>
          <w:tcPr>
            <w:tcW w:w="2991" w:type="dxa"/>
            <w:tcBorders>
              <w:left w:val="nil"/>
              <w:right w:val="nil"/>
            </w:tcBorders>
            <w:vAlign w:val="center"/>
          </w:tcPr>
          <w:p w14:paraId="70799D50" w14:textId="77777777" w:rsidR="00FD0033" w:rsidRPr="00FD0033" w:rsidRDefault="00FD0033" w:rsidP="00FE4891">
            <w:pPr>
              <w:jc w:val="center"/>
              <w:rPr>
                <w:rFonts w:ascii="Book Antiqua" w:hAnsi="Book Antiqua" w:cs="Times New Roman"/>
              </w:rPr>
            </w:pPr>
            <w:proofErr w:type="gramStart"/>
            <w:r w:rsidRPr="00FD0033">
              <w:rPr>
                <w:rFonts w:ascii="Book Antiqua" w:hAnsi="Book Antiqua" w:cs="Times New Roman"/>
              </w:rPr>
              <w:t>2.256  people</w:t>
            </w:r>
            <w:proofErr w:type="gramEnd"/>
          </w:p>
        </w:tc>
      </w:tr>
      <w:tr w:rsidR="00FD0033" w:rsidRPr="00FD0033" w14:paraId="2690AE8E" w14:textId="77777777" w:rsidTr="00FD0033">
        <w:trPr>
          <w:trHeight w:val="18"/>
        </w:trPr>
        <w:tc>
          <w:tcPr>
            <w:tcW w:w="2306" w:type="dxa"/>
            <w:vMerge/>
            <w:tcBorders>
              <w:left w:val="nil"/>
              <w:right w:val="nil"/>
            </w:tcBorders>
            <w:vAlign w:val="center"/>
          </w:tcPr>
          <w:p w14:paraId="60723AAA" w14:textId="77777777" w:rsidR="00FD0033" w:rsidRPr="00FD0033" w:rsidRDefault="00FD0033" w:rsidP="00FE4891">
            <w:pPr>
              <w:jc w:val="center"/>
              <w:rPr>
                <w:rFonts w:ascii="Book Antiqua" w:hAnsi="Book Antiqua" w:cs="Times New Roman"/>
              </w:rPr>
            </w:pPr>
          </w:p>
        </w:tc>
        <w:tc>
          <w:tcPr>
            <w:tcW w:w="2974" w:type="dxa"/>
            <w:tcBorders>
              <w:left w:val="nil"/>
              <w:right w:val="nil"/>
            </w:tcBorders>
            <w:vAlign w:val="center"/>
          </w:tcPr>
          <w:p w14:paraId="19416A05"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Is lost</w:t>
            </w:r>
          </w:p>
        </w:tc>
        <w:tc>
          <w:tcPr>
            <w:tcW w:w="2991" w:type="dxa"/>
            <w:tcBorders>
              <w:left w:val="nil"/>
              <w:right w:val="nil"/>
            </w:tcBorders>
            <w:vAlign w:val="center"/>
          </w:tcPr>
          <w:p w14:paraId="7D8D089F"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1.039 people</w:t>
            </w:r>
          </w:p>
        </w:tc>
      </w:tr>
      <w:tr w:rsidR="00FD0033" w:rsidRPr="00FD0033" w14:paraId="58078D60" w14:textId="77777777" w:rsidTr="00FD0033">
        <w:trPr>
          <w:trHeight w:val="18"/>
        </w:trPr>
        <w:tc>
          <w:tcPr>
            <w:tcW w:w="2306" w:type="dxa"/>
            <w:vMerge/>
            <w:tcBorders>
              <w:left w:val="nil"/>
              <w:right w:val="nil"/>
            </w:tcBorders>
            <w:vAlign w:val="center"/>
          </w:tcPr>
          <w:p w14:paraId="17853B8E" w14:textId="77777777" w:rsidR="00FD0033" w:rsidRPr="00FD0033" w:rsidRDefault="00FD0033" w:rsidP="00FE4891">
            <w:pPr>
              <w:jc w:val="center"/>
              <w:rPr>
                <w:rFonts w:ascii="Book Antiqua" w:hAnsi="Book Antiqua" w:cs="Times New Roman"/>
              </w:rPr>
            </w:pPr>
          </w:p>
        </w:tc>
        <w:tc>
          <w:tcPr>
            <w:tcW w:w="2974" w:type="dxa"/>
            <w:tcBorders>
              <w:left w:val="nil"/>
              <w:right w:val="nil"/>
            </w:tcBorders>
            <w:vAlign w:val="center"/>
          </w:tcPr>
          <w:p w14:paraId="6D4A7260"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Wounds</w:t>
            </w:r>
          </w:p>
        </w:tc>
        <w:tc>
          <w:tcPr>
            <w:tcW w:w="2991" w:type="dxa"/>
            <w:tcBorders>
              <w:left w:val="nil"/>
              <w:right w:val="nil"/>
            </w:tcBorders>
            <w:vAlign w:val="center"/>
          </w:tcPr>
          <w:p w14:paraId="5C12CB21"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4.612 people</w:t>
            </w:r>
          </w:p>
        </w:tc>
      </w:tr>
      <w:tr w:rsidR="00FD0033" w:rsidRPr="00FD0033" w14:paraId="0D348C53" w14:textId="77777777" w:rsidTr="00FD0033">
        <w:trPr>
          <w:trHeight w:val="18"/>
        </w:trPr>
        <w:tc>
          <w:tcPr>
            <w:tcW w:w="2306" w:type="dxa"/>
            <w:vMerge/>
            <w:tcBorders>
              <w:left w:val="nil"/>
              <w:right w:val="nil"/>
            </w:tcBorders>
            <w:vAlign w:val="center"/>
          </w:tcPr>
          <w:p w14:paraId="34C7744B" w14:textId="77777777" w:rsidR="00FD0033" w:rsidRPr="00FD0033" w:rsidRDefault="00FD0033" w:rsidP="00FE4891">
            <w:pPr>
              <w:jc w:val="center"/>
              <w:rPr>
                <w:rFonts w:ascii="Book Antiqua" w:hAnsi="Book Antiqua" w:cs="Times New Roman"/>
              </w:rPr>
            </w:pPr>
          </w:p>
        </w:tc>
        <w:tc>
          <w:tcPr>
            <w:tcW w:w="2974" w:type="dxa"/>
            <w:tcBorders>
              <w:left w:val="nil"/>
              <w:right w:val="nil"/>
            </w:tcBorders>
            <w:vAlign w:val="center"/>
          </w:tcPr>
          <w:p w14:paraId="62C5219C"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Evacuate</w:t>
            </w:r>
          </w:p>
        </w:tc>
        <w:tc>
          <w:tcPr>
            <w:tcW w:w="2991" w:type="dxa"/>
            <w:tcBorders>
              <w:left w:val="nil"/>
              <w:right w:val="nil"/>
            </w:tcBorders>
            <w:vAlign w:val="center"/>
          </w:tcPr>
          <w:p w14:paraId="3FA738A3"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223.751 people</w:t>
            </w:r>
          </w:p>
        </w:tc>
      </w:tr>
      <w:tr w:rsidR="00FD0033" w:rsidRPr="00FD0033" w14:paraId="53F678E1" w14:textId="77777777" w:rsidTr="00FD0033">
        <w:trPr>
          <w:trHeight w:val="18"/>
        </w:trPr>
        <w:tc>
          <w:tcPr>
            <w:tcW w:w="2306" w:type="dxa"/>
            <w:tcBorders>
              <w:left w:val="nil"/>
              <w:right w:val="nil"/>
            </w:tcBorders>
            <w:vAlign w:val="center"/>
          </w:tcPr>
          <w:p w14:paraId="33F80E17"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Total</w:t>
            </w:r>
          </w:p>
        </w:tc>
        <w:tc>
          <w:tcPr>
            <w:tcW w:w="2974" w:type="dxa"/>
            <w:tcBorders>
              <w:left w:val="nil"/>
              <w:right w:val="nil"/>
            </w:tcBorders>
            <w:vAlign w:val="center"/>
          </w:tcPr>
          <w:p w14:paraId="4E415C33" w14:textId="77777777" w:rsidR="00FD0033" w:rsidRPr="00FD0033" w:rsidRDefault="00FD0033" w:rsidP="00FE4891">
            <w:pPr>
              <w:jc w:val="center"/>
              <w:rPr>
                <w:rFonts w:ascii="Book Antiqua" w:hAnsi="Book Antiqua" w:cs="Times New Roman"/>
              </w:rPr>
            </w:pPr>
          </w:p>
        </w:tc>
        <w:tc>
          <w:tcPr>
            <w:tcW w:w="2991" w:type="dxa"/>
            <w:tcBorders>
              <w:left w:val="nil"/>
              <w:right w:val="nil"/>
            </w:tcBorders>
            <w:vAlign w:val="center"/>
          </w:tcPr>
          <w:p w14:paraId="3C7AF42F"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231.658</w:t>
            </w:r>
          </w:p>
        </w:tc>
      </w:tr>
      <w:tr w:rsidR="00FD0033" w:rsidRPr="00FD0033" w14:paraId="557C32C5" w14:textId="77777777" w:rsidTr="00FD0033">
        <w:trPr>
          <w:trHeight w:val="18"/>
        </w:trPr>
        <w:tc>
          <w:tcPr>
            <w:tcW w:w="2306" w:type="dxa"/>
            <w:vMerge w:val="restart"/>
            <w:tcBorders>
              <w:left w:val="nil"/>
              <w:right w:val="nil"/>
            </w:tcBorders>
            <w:vAlign w:val="center"/>
          </w:tcPr>
          <w:p w14:paraId="3188265B"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Damage</w:t>
            </w:r>
          </w:p>
        </w:tc>
        <w:tc>
          <w:tcPr>
            <w:tcW w:w="2974" w:type="dxa"/>
            <w:tcBorders>
              <w:left w:val="nil"/>
              <w:right w:val="nil"/>
            </w:tcBorders>
            <w:vAlign w:val="center"/>
          </w:tcPr>
          <w:p w14:paraId="4F3449FF"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Settlement Sector</w:t>
            </w:r>
          </w:p>
        </w:tc>
        <w:tc>
          <w:tcPr>
            <w:tcW w:w="2991" w:type="dxa"/>
            <w:tcBorders>
              <w:left w:val="nil"/>
              <w:right w:val="nil"/>
            </w:tcBorders>
            <w:vAlign w:val="center"/>
          </w:tcPr>
          <w:p w14:paraId="2407ACC8"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Rp 7,95 Trillion</w:t>
            </w:r>
          </w:p>
        </w:tc>
      </w:tr>
      <w:tr w:rsidR="00FD0033" w:rsidRPr="00FD0033" w14:paraId="514E36DA" w14:textId="77777777" w:rsidTr="00FD0033">
        <w:trPr>
          <w:trHeight w:val="18"/>
        </w:trPr>
        <w:tc>
          <w:tcPr>
            <w:tcW w:w="2306" w:type="dxa"/>
            <w:vMerge/>
            <w:tcBorders>
              <w:left w:val="nil"/>
              <w:right w:val="nil"/>
            </w:tcBorders>
            <w:vAlign w:val="center"/>
          </w:tcPr>
          <w:p w14:paraId="18B49FA9" w14:textId="77777777" w:rsidR="00FD0033" w:rsidRPr="00FD0033" w:rsidRDefault="00FD0033" w:rsidP="00FE4891">
            <w:pPr>
              <w:jc w:val="center"/>
              <w:rPr>
                <w:rFonts w:ascii="Book Antiqua" w:hAnsi="Book Antiqua" w:cs="Times New Roman"/>
              </w:rPr>
            </w:pPr>
          </w:p>
        </w:tc>
        <w:tc>
          <w:tcPr>
            <w:tcW w:w="2974" w:type="dxa"/>
            <w:tcBorders>
              <w:left w:val="nil"/>
              <w:right w:val="nil"/>
            </w:tcBorders>
            <w:vAlign w:val="center"/>
          </w:tcPr>
          <w:p w14:paraId="645DE60B"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Infrastructure Sector</w:t>
            </w:r>
          </w:p>
        </w:tc>
        <w:tc>
          <w:tcPr>
            <w:tcW w:w="2991" w:type="dxa"/>
            <w:tcBorders>
              <w:left w:val="nil"/>
              <w:right w:val="nil"/>
            </w:tcBorders>
            <w:vAlign w:val="center"/>
          </w:tcPr>
          <w:p w14:paraId="014F1110"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Rp 701,8 Billion</w:t>
            </w:r>
          </w:p>
        </w:tc>
      </w:tr>
      <w:tr w:rsidR="00FD0033" w:rsidRPr="00FD0033" w14:paraId="706B725E" w14:textId="77777777" w:rsidTr="00FD0033">
        <w:trPr>
          <w:trHeight w:val="18"/>
        </w:trPr>
        <w:tc>
          <w:tcPr>
            <w:tcW w:w="2306" w:type="dxa"/>
            <w:vMerge/>
            <w:tcBorders>
              <w:left w:val="nil"/>
              <w:right w:val="nil"/>
            </w:tcBorders>
            <w:vAlign w:val="center"/>
          </w:tcPr>
          <w:p w14:paraId="409B3132" w14:textId="77777777" w:rsidR="00FD0033" w:rsidRPr="00FD0033" w:rsidRDefault="00FD0033" w:rsidP="00FE4891">
            <w:pPr>
              <w:jc w:val="center"/>
              <w:rPr>
                <w:rFonts w:ascii="Book Antiqua" w:hAnsi="Book Antiqua" w:cs="Times New Roman"/>
              </w:rPr>
            </w:pPr>
          </w:p>
        </w:tc>
        <w:tc>
          <w:tcPr>
            <w:tcW w:w="2974" w:type="dxa"/>
            <w:tcBorders>
              <w:left w:val="nil"/>
              <w:right w:val="nil"/>
            </w:tcBorders>
            <w:vAlign w:val="center"/>
          </w:tcPr>
          <w:p w14:paraId="1CBB34F7"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Productive Economic Sector</w:t>
            </w:r>
          </w:p>
        </w:tc>
        <w:tc>
          <w:tcPr>
            <w:tcW w:w="2991" w:type="dxa"/>
            <w:tcBorders>
              <w:left w:val="nil"/>
              <w:right w:val="nil"/>
            </w:tcBorders>
            <w:vAlign w:val="center"/>
          </w:tcPr>
          <w:p w14:paraId="54EBAD7D"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Rp 1,66 Trillion</w:t>
            </w:r>
          </w:p>
        </w:tc>
      </w:tr>
      <w:tr w:rsidR="00FD0033" w:rsidRPr="00FD0033" w14:paraId="6439C022" w14:textId="77777777" w:rsidTr="00FD0033">
        <w:trPr>
          <w:trHeight w:val="18"/>
        </w:trPr>
        <w:tc>
          <w:tcPr>
            <w:tcW w:w="2306" w:type="dxa"/>
            <w:vMerge/>
            <w:tcBorders>
              <w:left w:val="nil"/>
              <w:right w:val="nil"/>
            </w:tcBorders>
            <w:vAlign w:val="center"/>
          </w:tcPr>
          <w:p w14:paraId="650F77CF" w14:textId="77777777" w:rsidR="00FD0033" w:rsidRPr="00FD0033" w:rsidRDefault="00FD0033" w:rsidP="00FE4891">
            <w:pPr>
              <w:jc w:val="center"/>
              <w:rPr>
                <w:rFonts w:ascii="Book Antiqua" w:hAnsi="Book Antiqua" w:cs="Times New Roman"/>
              </w:rPr>
            </w:pPr>
          </w:p>
        </w:tc>
        <w:tc>
          <w:tcPr>
            <w:tcW w:w="2974" w:type="dxa"/>
            <w:tcBorders>
              <w:left w:val="nil"/>
              <w:right w:val="nil"/>
            </w:tcBorders>
            <w:vAlign w:val="center"/>
          </w:tcPr>
          <w:p w14:paraId="1D741D30"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Social Sector</w:t>
            </w:r>
          </w:p>
        </w:tc>
        <w:tc>
          <w:tcPr>
            <w:tcW w:w="2991" w:type="dxa"/>
            <w:tcBorders>
              <w:left w:val="nil"/>
              <w:right w:val="nil"/>
            </w:tcBorders>
            <w:vAlign w:val="center"/>
          </w:tcPr>
          <w:p w14:paraId="0A907DE0"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Rp 3,13 Trillion</w:t>
            </w:r>
          </w:p>
        </w:tc>
      </w:tr>
      <w:tr w:rsidR="00FD0033" w:rsidRPr="00FD0033" w14:paraId="11EB39B6" w14:textId="77777777" w:rsidTr="00FD0033">
        <w:trPr>
          <w:trHeight w:val="18"/>
        </w:trPr>
        <w:tc>
          <w:tcPr>
            <w:tcW w:w="2306" w:type="dxa"/>
            <w:vMerge/>
            <w:tcBorders>
              <w:left w:val="nil"/>
              <w:right w:val="nil"/>
            </w:tcBorders>
            <w:vAlign w:val="center"/>
          </w:tcPr>
          <w:p w14:paraId="168CB651" w14:textId="77777777" w:rsidR="00FD0033" w:rsidRPr="00FD0033" w:rsidRDefault="00FD0033" w:rsidP="00FE4891">
            <w:pPr>
              <w:jc w:val="center"/>
              <w:rPr>
                <w:rFonts w:ascii="Book Antiqua" w:hAnsi="Book Antiqua" w:cs="Times New Roman"/>
              </w:rPr>
            </w:pPr>
          </w:p>
        </w:tc>
        <w:tc>
          <w:tcPr>
            <w:tcW w:w="2974" w:type="dxa"/>
            <w:tcBorders>
              <w:left w:val="nil"/>
              <w:right w:val="nil"/>
            </w:tcBorders>
            <w:vAlign w:val="center"/>
          </w:tcPr>
          <w:p w14:paraId="2F3AEC5C"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Cross-Sector</w:t>
            </w:r>
          </w:p>
        </w:tc>
        <w:tc>
          <w:tcPr>
            <w:tcW w:w="2991" w:type="dxa"/>
            <w:tcBorders>
              <w:left w:val="nil"/>
              <w:right w:val="nil"/>
            </w:tcBorders>
            <w:vAlign w:val="center"/>
          </w:tcPr>
          <w:p w14:paraId="028A6256"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Rp 378 Billion</w:t>
            </w:r>
          </w:p>
        </w:tc>
      </w:tr>
    </w:tbl>
    <w:p w14:paraId="0515D5DA" w14:textId="1060F4AB" w:rsidR="00FD0033" w:rsidRDefault="00FD0033" w:rsidP="00FD0033">
      <w:pPr>
        <w:spacing w:after="0" w:line="276" w:lineRule="auto"/>
        <w:rPr>
          <w:rFonts w:ascii="Book Antiqua" w:hAnsi="Book Antiqua"/>
          <w:szCs w:val="20"/>
        </w:rPr>
      </w:pPr>
      <w:r w:rsidRPr="00FD0033">
        <w:rPr>
          <w:rFonts w:ascii="Book Antiqua" w:hAnsi="Book Antiqua"/>
          <w:szCs w:val="20"/>
        </w:rPr>
        <w:t>Source: bnpb.go.id/berita/kerugian-dan-corusan-dampak-bencana-di-sulawesi-tengah-mencapai-1382-trillion-rupiah</w:t>
      </w:r>
    </w:p>
    <w:p w14:paraId="7296FC9D" w14:textId="77777777" w:rsidR="00FD0033" w:rsidRPr="00FD0033" w:rsidRDefault="00FD0033" w:rsidP="00FD0033">
      <w:pPr>
        <w:spacing w:after="0" w:line="276" w:lineRule="auto"/>
        <w:rPr>
          <w:rFonts w:ascii="Book Antiqua" w:hAnsi="Book Antiqua"/>
          <w:szCs w:val="20"/>
        </w:rPr>
      </w:pPr>
    </w:p>
    <w:p w14:paraId="292B305C" w14:textId="77777777" w:rsidR="00FD0033" w:rsidRPr="00FD0033" w:rsidRDefault="00FD0033" w:rsidP="00FD0033">
      <w:pPr>
        <w:spacing w:after="0" w:line="276" w:lineRule="auto"/>
        <w:ind w:firstLine="720"/>
        <w:jc w:val="both"/>
        <w:rPr>
          <w:rFonts w:ascii="Book Antiqua" w:hAnsi="Book Antiqua"/>
          <w:szCs w:val="20"/>
        </w:rPr>
      </w:pPr>
      <w:proofErr w:type="spellStart"/>
      <w:r w:rsidRPr="00FD0033">
        <w:rPr>
          <w:rFonts w:ascii="Book Antiqua" w:hAnsi="Book Antiqua"/>
          <w:szCs w:val="20"/>
        </w:rPr>
        <w:t>Sigi</w:t>
      </w:r>
      <w:proofErr w:type="spellEnd"/>
      <w:r w:rsidRPr="00FD0033">
        <w:rPr>
          <w:rFonts w:ascii="Book Antiqua" w:hAnsi="Book Antiqua"/>
          <w:szCs w:val="20"/>
        </w:rPr>
        <w:t xml:space="preserve"> was recorded as the area most affected by earthquakes, tsunamis, and liquefaction in Central Sulawesi after the city of </w:t>
      </w:r>
      <w:proofErr w:type="spellStart"/>
      <w:r w:rsidRPr="00FD0033">
        <w:rPr>
          <w:rFonts w:ascii="Book Antiqua" w:hAnsi="Book Antiqua"/>
          <w:szCs w:val="20"/>
        </w:rPr>
        <w:t>Palu</w:t>
      </w:r>
      <w:proofErr w:type="spellEnd"/>
      <w:r w:rsidRPr="00FD0033">
        <w:rPr>
          <w:rFonts w:ascii="Book Antiqua" w:hAnsi="Book Antiqua"/>
          <w:szCs w:val="20"/>
        </w:rPr>
        <w:t>. Material and building losses reached IDR 4.28 trillion, and 336 people died.</w:t>
      </w:r>
    </w:p>
    <w:p w14:paraId="4BABBB3F" w14:textId="25661197" w:rsidR="00FD0033" w:rsidRDefault="00FD0033" w:rsidP="00FD0033">
      <w:pPr>
        <w:spacing w:after="0" w:line="276" w:lineRule="auto"/>
        <w:jc w:val="center"/>
        <w:rPr>
          <w:rFonts w:ascii="Book Antiqua" w:hAnsi="Book Antiqua"/>
          <w:szCs w:val="20"/>
        </w:rPr>
      </w:pPr>
      <w:r w:rsidRPr="00FD0033">
        <w:rPr>
          <w:rFonts w:ascii="Book Antiqua" w:hAnsi="Book Antiqua"/>
          <w:szCs w:val="20"/>
        </w:rPr>
        <w:t>Table 2 Material Losses Due to Earthquake, Tsunami and Liquidation Based on Districts in Central Sulawesi</w:t>
      </w:r>
    </w:p>
    <w:tbl>
      <w:tblPr>
        <w:tblStyle w:val="TableGrid"/>
        <w:tblW w:w="9347" w:type="dxa"/>
        <w:tblBorders>
          <w:left w:val="none" w:sz="0" w:space="0" w:color="auto"/>
          <w:right w:val="none" w:sz="0" w:space="0" w:color="auto"/>
        </w:tblBorders>
        <w:tblLayout w:type="fixed"/>
        <w:tblLook w:val="04A0" w:firstRow="1" w:lastRow="0" w:firstColumn="1" w:lastColumn="0" w:noHBand="0" w:noVBand="1"/>
      </w:tblPr>
      <w:tblGrid>
        <w:gridCol w:w="954"/>
        <w:gridCol w:w="2419"/>
        <w:gridCol w:w="2636"/>
        <w:gridCol w:w="3338"/>
      </w:tblGrid>
      <w:tr w:rsidR="00FD0033" w:rsidRPr="00FD0033" w14:paraId="15BD4F67" w14:textId="77777777" w:rsidTr="00FE4891">
        <w:trPr>
          <w:trHeight w:val="304"/>
        </w:trPr>
        <w:tc>
          <w:tcPr>
            <w:tcW w:w="954" w:type="dxa"/>
            <w:tcBorders>
              <w:right w:val="nil"/>
            </w:tcBorders>
          </w:tcPr>
          <w:p w14:paraId="3A949C33" w14:textId="77777777" w:rsidR="00FD0033" w:rsidRPr="00FD0033" w:rsidRDefault="00FD0033" w:rsidP="00FE4891">
            <w:pPr>
              <w:jc w:val="center"/>
              <w:rPr>
                <w:rFonts w:ascii="Book Antiqua" w:hAnsi="Book Antiqua" w:cs="Times New Roman"/>
                <w:b/>
              </w:rPr>
            </w:pPr>
            <w:r w:rsidRPr="00FD0033">
              <w:rPr>
                <w:rFonts w:ascii="Book Antiqua" w:hAnsi="Book Antiqua" w:cs="Times New Roman"/>
                <w:b/>
              </w:rPr>
              <w:t>No</w:t>
            </w:r>
          </w:p>
        </w:tc>
        <w:tc>
          <w:tcPr>
            <w:tcW w:w="2419" w:type="dxa"/>
            <w:tcBorders>
              <w:left w:val="nil"/>
              <w:right w:val="nil"/>
            </w:tcBorders>
          </w:tcPr>
          <w:p w14:paraId="7239305C" w14:textId="77777777" w:rsidR="00FD0033" w:rsidRPr="00FD0033" w:rsidRDefault="00FD0033" w:rsidP="00FE4891">
            <w:pPr>
              <w:jc w:val="center"/>
              <w:rPr>
                <w:rFonts w:ascii="Book Antiqua" w:hAnsi="Book Antiqua" w:cs="Times New Roman"/>
                <w:b/>
              </w:rPr>
            </w:pPr>
            <w:r w:rsidRPr="00FD0033">
              <w:rPr>
                <w:rFonts w:ascii="Book Antiqua" w:hAnsi="Book Antiqua" w:cs="Times New Roman"/>
                <w:b/>
              </w:rPr>
              <w:t>Regency/City</w:t>
            </w:r>
          </w:p>
        </w:tc>
        <w:tc>
          <w:tcPr>
            <w:tcW w:w="2636" w:type="dxa"/>
            <w:tcBorders>
              <w:left w:val="nil"/>
              <w:right w:val="nil"/>
            </w:tcBorders>
          </w:tcPr>
          <w:p w14:paraId="17011F7A" w14:textId="77777777" w:rsidR="00FD0033" w:rsidRPr="00FD0033" w:rsidRDefault="00FD0033" w:rsidP="00FE4891">
            <w:pPr>
              <w:jc w:val="center"/>
              <w:rPr>
                <w:rFonts w:ascii="Book Antiqua" w:hAnsi="Book Antiqua" w:cs="Times New Roman"/>
                <w:b/>
              </w:rPr>
            </w:pPr>
            <w:r w:rsidRPr="00FD0033">
              <w:rPr>
                <w:rFonts w:ascii="Book Antiqua" w:hAnsi="Book Antiqua" w:cs="Times New Roman"/>
                <w:b/>
              </w:rPr>
              <w:t>Fatalities</w:t>
            </w:r>
          </w:p>
        </w:tc>
        <w:tc>
          <w:tcPr>
            <w:tcW w:w="3338" w:type="dxa"/>
            <w:tcBorders>
              <w:left w:val="nil"/>
            </w:tcBorders>
          </w:tcPr>
          <w:p w14:paraId="21214E15" w14:textId="77777777" w:rsidR="00FD0033" w:rsidRPr="00FD0033" w:rsidRDefault="00FD0033" w:rsidP="00FE4891">
            <w:pPr>
              <w:jc w:val="center"/>
              <w:rPr>
                <w:rFonts w:ascii="Book Antiqua" w:hAnsi="Book Antiqua" w:cs="Times New Roman"/>
                <w:b/>
              </w:rPr>
            </w:pPr>
            <w:r w:rsidRPr="00FD0033">
              <w:rPr>
                <w:rFonts w:ascii="Book Antiqua" w:hAnsi="Book Antiqua" w:cs="Times New Roman"/>
                <w:b/>
              </w:rPr>
              <w:t>Loss</w:t>
            </w:r>
          </w:p>
        </w:tc>
      </w:tr>
      <w:tr w:rsidR="00FD0033" w:rsidRPr="00FD0033" w14:paraId="2F9D09AE" w14:textId="77777777" w:rsidTr="00FE4891">
        <w:trPr>
          <w:trHeight w:val="359"/>
        </w:trPr>
        <w:tc>
          <w:tcPr>
            <w:tcW w:w="954" w:type="dxa"/>
            <w:tcBorders>
              <w:right w:val="nil"/>
            </w:tcBorders>
          </w:tcPr>
          <w:p w14:paraId="1A9BD8BE"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1</w:t>
            </w:r>
          </w:p>
        </w:tc>
        <w:tc>
          <w:tcPr>
            <w:tcW w:w="2419" w:type="dxa"/>
            <w:tcBorders>
              <w:left w:val="nil"/>
              <w:right w:val="nil"/>
            </w:tcBorders>
          </w:tcPr>
          <w:p w14:paraId="67D6BEF2" w14:textId="77777777" w:rsidR="00FD0033" w:rsidRPr="00FD0033" w:rsidRDefault="00FD0033" w:rsidP="00FE4891">
            <w:pPr>
              <w:jc w:val="center"/>
              <w:rPr>
                <w:rFonts w:ascii="Book Antiqua" w:hAnsi="Book Antiqua" w:cs="Times New Roman"/>
              </w:rPr>
            </w:pPr>
            <w:proofErr w:type="spellStart"/>
            <w:r w:rsidRPr="00FD0033">
              <w:rPr>
                <w:rFonts w:ascii="Book Antiqua" w:hAnsi="Book Antiqua" w:cs="Times New Roman"/>
              </w:rPr>
              <w:t>Palu</w:t>
            </w:r>
            <w:proofErr w:type="spellEnd"/>
          </w:p>
        </w:tc>
        <w:tc>
          <w:tcPr>
            <w:tcW w:w="2636" w:type="dxa"/>
            <w:tcBorders>
              <w:left w:val="nil"/>
              <w:right w:val="nil"/>
            </w:tcBorders>
          </w:tcPr>
          <w:p w14:paraId="34684685"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1,703 people</w:t>
            </w:r>
          </w:p>
        </w:tc>
        <w:tc>
          <w:tcPr>
            <w:tcW w:w="3338" w:type="dxa"/>
            <w:tcBorders>
              <w:left w:val="nil"/>
            </w:tcBorders>
          </w:tcPr>
          <w:p w14:paraId="1F6638C8"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Rp 7, 63 Trillion</w:t>
            </w:r>
          </w:p>
        </w:tc>
      </w:tr>
      <w:tr w:rsidR="00FD0033" w:rsidRPr="00FD0033" w14:paraId="1F6D178F" w14:textId="77777777" w:rsidTr="00FE4891">
        <w:trPr>
          <w:trHeight w:val="341"/>
        </w:trPr>
        <w:tc>
          <w:tcPr>
            <w:tcW w:w="954" w:type="dxa"/>
            <w:tcBorders>
              <w:right w:val="nil"/>
            </w:tcBorders>
          </w:tcPr>
          <w:p w14:paraId="36891474"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2</w:t>
            </w:r>
          </w:p>
        </w:tc>
        <w:tc>
          <w:tcPr>
            <w:tcW w:w="2419" w:type="dxa"/>
            <w:tcBorders>
              <w:left w:val="nil"/>
              <w:right w:val="nil"/>
            </w:tcBorders>
          </w:tcPr>
          <w:p w14:paraId="43E2817A" w14:textId="77777777" w:rsidR="00FD0033" w:rsidRPr="00FD0033" w:rsidRDefault="00FD0033" w:rsidP="00FE4891">
            <w:pPr>
              <w:jc w:val="center"/>
              <w:rPr>
                <w:rFonts w:ascii="Book Antiqua" w:hAnsi="Book Antiqua" w:cs="Times New Roman"/>
              </w:rPr>
            </w:pPr>
            <w:proofErr w:type="spellStart"/>
            <w:r w:rsidRPr="00FD0033">
              <w:rPr>
                <w:rFonts w:ascii="Book Antiqua" w:hAnsi="Book Antiqua" w:cs="Times New Roman"/>
              </w:rPr>
              <w:t>Sigi</w:t>
            </w:r>
            <w:proofErr w:type="spellEnd"/>
          </w:p>
        </w:tc>
        <w:tc>
          <w:tcPr>
            <w:tcW w:w="2636" w:type="dxa"/>
            <w:tcBorders>
              <w:left w:val="nil"/>
              <w:right w:val="nil"/>
            </w:tcBorders>
          </w:tcPr>
          <w:p w14:paraId="638E0F44"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366 people</w:t>
            </w:r>
          </w:p>
        </w:tc>
        <w:tc>
          <w:tcPr>
            <w:tcW w:w="3338" w:type="dxa"/>
            <w:tcBorders>
              <w:left w:val="nil"/>
            </w:tcBorders>
          </w:tcPr>
          <w:p w14:paraId="5BEC9DC3"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Rp 4,28 Trillion</w:t>
            </w:r>
          </w:p>
        </w:tc>
      </w:tr>
      <w:tr w:rsidR="00FD0033" w:rsidRPr="00FD0033" w14:paraId="0600DD30" w14:textId="77777777" w:rsidTr="00FE4891">
        <w:trPr>
          <w:trHeight w:val="269"/>
        </w:trPr>
        <w:tc>
          <w:tcPr>
            <w:tcW w:w="954" w:type="dxa"/>
            <w:tcBorders>
              <w:right w:val="nil"/>
            </w:tcBorders>
          </w:tcPr>
          <w:p w14:paraId="372D9AFF"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3</w:t>
            </w:r>
          </w:p>
        </w:tc>
        <w:tc>
          <w:tcPr>
            <w:tcW w:w="2419" w:type="dxa"/>
            <w:tcBorders>
              <w:left w:val="nil"/>
              <w:right w:val="nil"/>
            </w:tcBorders>
          </w:tcPr>
          <w:p w14:paraId="6B9FFE81" w14:textId="77777777" w:rsidR="00FD0033" w:rsidRPr="00FD0033" w:rsidRDefault="00FD0033" w:rsidP="00FE4891">
            <w:pPr>
              <w:jc w:val="center"/>
              <w:rPr>
                <w:rFonts w:ascii="Book Antiqua" w:hAnsi="Book Antiqua" w:cs="Times New Roman"/>
              </w:rPr>
            </w:pPr>
            <w:proofErr w:type="spellStart"/>
            <w:r w:rsidRPr="00FD0033">
              <w:rPr>
                <w:rFonts w:ascii="Book Antiqua" w:hAnsi="Book Antiqua" w:cs="Times New Roman"/>
              </w:rPr>
              <w:t>Donggala</w:t>
            </w:r>
            <w:proofErr w:type="spellEnd"/>
          </w:p>
        </w:tc>
        <w:tc>
          <w:tcPr>
            <w:tcW w:w="2636" w:type="dxa"/>
            <w:tcBorders>
              <w:left w:val="nil"/>
              <w:right w:val="nil"/>
            </w:tcBorders>
          </w:tcPr>
          <w:p w14:paraId="73F37AD8"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171 people</w:t>
            </w:r>
          </w:p>
        </w:tc>
        <w:tc>
          <w:tcPr>
            <w:tcW w:w="3338" w:type="dxa"/>
            <w:tcBorders>
              <w:left w:val="nil"/>
            </w:tcBorders>
          </w:tcPr>
          <w:p w14:paraId="5EBCA488"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Rp 1,61 Trillion</w:t>
            </w:r>
          </w:p>
        </w:tc>
      </w:tr>
      <w:tr w:rsidR="00FD0033" w:rsidRPr="00FD0033" w14:paraId="7A6CB2EC" w14:textId="77777777" w:rsidTr="00FE4891">
        <w:trPr>
          <w:trHeight w:val="110"/>
        </w:trPr>
        <w:tc>
          <w:tcPr>
            <w:tcW w:w="954" w:type="dxa"/>
            <w:tcBorders>
              <w:right w:val="nil"/>
            </w:tcBorders>
          </w:tcPr>
          <w:p w14:paraId="6A321D80"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4</w:t>
            </w:r>
          </w:p>
        </w:tc>
        <w:tc>
          <w:tcPr>
            <w:tcW w:w="2419" w:type="dxa"/>
            <w:tcBorders>
              <w:left w:val="nil"/>
              <w:right w:val="nil"/>
            </w:tcBorders>
          </w:tcPr>
          <w:p w14:paraId="1FA2B801" w14:textId="77777777" w:rsidR="00FD0033" w:rsidRPr="00FD0033" w:rsidRDefault="00FD0033" w:rsidP="00FE4891">
            <w:pPr>
              <w:jc w:val="center"/>
              <w:rPr>
                <w:rFonts w:ascii="Book Antiqua" w:hAnsi="Book Antiqua" w:cs="Times New Roman"/>
              </w:rPr>
            </w:pPr>
            <w:proofErr w:type="spellStart"/>
            <w:r w:rsidRPr="00FD0033">
              <w:rPr>
                <w:rFonts w:ascii="Book Antiqua" w:hAnsi="Book Antiqua" w:cs="Times New Roman"/>
              </w:rPr>
              <w:t>Moutong</w:t>
            </w:r>
            <w:proofErr w:type="spellEnd"/>
          </w:p>
        </w:tc>
        <w:tc>
          <w:tcPr>
            <w:tcW w:w="2636" w:type="dxa"/>
            <w:tcBorders>
              <w:left w:val="nil"/>
              <w:right w:val="nil"/>
            </w:tcBorders>
          </w:tcPr>
          <w:p w14:paraId="4079C58C"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15 people</w:t>
            </w:r>
          </w:p>
        </w:tc>
        <w:tc>
          <w:tcPr>
            <w:tcW w:w="3338" w:type="dxa"/>
            <w:tcBorders>
              <w:left w:val="nil"/>
            </w:tcBorders>
          </w:tcPr>
          <w:p w14:paraId="1A9C54C4" w14:textId="77777777" w:rsidR="00FD0033" w:rsidRPr="00FD0033" w:rsidRDefault="00FD0033" w:rsidP="00FE4891">
            <w:pPr>
              <w:jc w:val="center"/>
              <w:rPr>
                <w:rFonts w:ascii="Book Antiqua" w:hAnsi="Book Antiqua" w:cs="Times New Roman"/>
              </w:rPr>
            </w:pPr>
            <w:r w:rsidRPr="00FD0033">
              <w:rPr>
                <w:rFonts w:ascii="Book Antiqua" w:hAnsi="Book Antiqua" w:cs="Times New Roman"/>
              </w:rPr>
              <w:t>Rp 393 Billion</w:t>
            </w:r>
          </w:p>
        </w:tc>
      </w:tr>
    </w:tbl>
    <w:p w14:paraId="57BD9FC0" w14:textId="01817B83" w:rsidR="00FD0033" w:rsidRDefault="00FD0033" w:rsidP="00FD0033">
      <w:pPr>
        <w:spacing w:after="0" w:line="276" w:lineRule="auto"/>
        <w:rPr>
          <w:rFonts w:ascii="Book Antiqua" w:hAnsi="Book Antiqua"/>
          <w:szCs w:val="20"/>
        </w:rPr>
      </w:pPr>
      <w:r w:rsidRPr="00FD0033">
        <w:rPr>
          <w:rFonts w:ascii="Book Antiqua" w:hAnsi="Book Antiqua"/>
          <w:szCs w:val="20"/>
        </w:rPr>
        <w:t>Source: bnpb.go.id/berita/kerugian-dan-corusan-dampak-bencana-di-sulawesi-tengah-mencapai-1382-trillion-rupiah</w:t>
      </w:r>
    </w:p>
    <w:p w14:paraId="0C476F49" w14:textId="77777777" w:rsidR="007E5484" w:rsidRDefault="007E5484" w:rsidP="007E5484">
      <w:pPr>
        <w:spacing w:after="0" w:line="276" w:lineRule="auto"/>
        <w:ind w:firstLine="720"/>
        <w:jc w:val="both"/>
        <w:rPr>
          <w:rFonts w:ascii="Book Antiqua" w:hAnsi="Book Antiqua"/>
          <w:szCs w:val="20"/>
        </w:rPr>
      </w:pPr>
    </w:p>
    <w:p w14:paraId="79BA8E6A" w14:textId="19667FF4" w:rsidR="00FD0033" w:rsidRPr="00FD0033" w:rsidRDefault="00FD0033" w:rsidP="007E5484">
      <w:pPr>
        <w:spacing w:after="0" w:line="276" w:lineRule="auto"/>
        <w:ind w:firstLine="720"/>
        <w:jc w:val="both"/>
        <w:rPr>
          <w:rFonts w:ascii="Book Antiqua" w:hAnsi="Book Antiqua"/>
          <w:szCs w:val="20"/>
        </w:rPr>
      </w:pPr>
      <w:r w:rsidRPr="00FD0033">
        <w:rPr>
          <w:rFonts w:ascii="Book Antiqua" w:hAnsi="Book Antiqua"/>
          <w:szCs w:val="20"/>
        </w:rPr>
        <w:t xml:space="preserve">Then, during the rehabilitation and reconstruction process after the 2018 earthquake, at the beginning of 2020, this area had to face a new problem: the COVID-19 pandemic. In Central Sulawesi, the first COVID-19 case was confirmed on Thursday, March 26, 2020, or around 20 days after the announcement of the first case </w:t>
      </w:r>
      <w:r w:rsidRPr="00FD0033">
        <w:rPr>
          <w:rFonts w:ascii="Book Antiqua" w:hAnsi="Book Antiqua"/>
          <w:szCs w:val="20"/>
        </w:rPr>
        <w:lastRenderedPageBreak/>
        <w:t>in Indonesia (</w:t>
      </w:r>
      <w:proofErr w:type="spellStart"/>
      <w:r w:rsidRPr="00FD0033">
        <w:rPr>
          <w:rFonts w:ascii="Book Antiqua" w:hAnsi="Book Antiqua"/>
          <w:szCs w:val="20"/>
        </w:rPr>
        <w:t>Qadri</w:t>
      </w:r>
      <w:proofErr w:type="spellEnd"/>
      <w:r w:rsidRPr="00FD0033">
        <w:rPr>
          <w:rFonts w:ascii="Book Antiqua" w:hAnsi="Book Antiqua"/>
          <w:szCs w:val="20"/>
        </w:rPr>
        <w:t xml:space="preserve">, 2020). </w:t>
      </w:r>
      <w:proofErr w:type="spellStart"/>
      <w:r w:rsidRPr="00FD0033">
        <w:rPr>
          <w:rFonts w:ascii="Book Antiqua" w:hAnsi="Book Antiqua"/>
          <w:szCs w:val="20"/>
        </w:rPr>
        <w:t>Sigi</w:t>
      </w:r>
      <w:proofErr w:type="spellEnd"/>
      <w:r w:rsidRPr="00FD0033">
        <w:rPr>
          <w:rFonts w:ascii="Book Antiqua" w:hAnsi="Book Antiqua"/>
          <w:szCs w:val="20"/>
        </w:rPr>
        <w:t xml:space="preserve"> has the highest transmission rate in Central Sulawesi (</w:t>
      </w:r>
      <w:proofErr w:type="spellStart"/>
      <w:r w:rsidRPr="00FD0033">
        <w:rPr>
          <w:rFonts w:ascii="Book Antiqua" w:hAnsi="Book Antiqua"/>
          <w:szCs w:val="20"/>
        </w:rPr>
        <w:t>Darmawan</w:t>
      </w:r>
      <w:proofErr w:type="spellEnd"/>
      <w:r w:rsidRPr="00FD0033">
        <w:rPr>
          <w:rFonts w:ascii="Book Antiqua" w:hAnsi="Book Antiqua"/>
          <w:szCs w:val="20"/>
        </w:rPr>
        <w:t xml:space="preserve">, 2022). This situation was then responded to quickly by the </w:t>
      </w:r>
      <w:proofErr w:type="spellStart"/>
      <w:r w:rsidRPr="00FD0033">
        <w:rPr>
          <w:rFonts w:ascii="Book Antiqua" w:hAnsi="Book Antiqua"/>
          <w:szCs w:val="20"/>
        </w:rPr>
        <w:t>Sigi</w:t>
      </w:r>
      <w:proofErr w:type="spellEnd"/>
      <w:r w:rsidRPr="00FD0033">
        <w:rPr>
          <w:rFonts w:ascii="Book Antiqua" w:hAnsi="Book Antiqua"/>
          <w:szCs w:val="20"/>
        </w:rPr>
        <w:t xml:space="preserve"> Regency government. A month after the first case in Central Sulawesi, on April 20, 2020, the government revised the 2020 APBN through Regent Regulation No. 9 of 2020. As a result, several budget items experienced very significant changes. However, what attracted the most attention was that of the ten items that experienced changes, only two items experienced an increase in allocation, and the rest decreased (See Table 3). First, IDR was allocated to unexpected expenditure items, whereas the previously running principal APBN was allocated. 1,800,000,000, becomes 7,300,000,000 or an addition of IDR 5,500,000,000. Second, from the previous 548,610,765,000, social assistance spending has increased by IDR 1,135,000,000 to IDR 549,745,765,000.</w:t>
      </w:r>
    </w:p>
    <w:p w14:paraId="76584368" w14:textId="77777777" w:rsidR="007E5484" w:rsidRDefault="007E5484" w:rsidP="007E5484">
      <w:pPr>
        <w:spacing w:after="0" w:line="276" w:lineRule="auto"/>
        <w:jc w:val="both"/>
        <w:rPr>
          <w:rFonts w:ascii="Book Antiqua" w:hAnsi="Book Antiqua"/>
          <w:szCs w:val="20"/>
        </w:rPr>
      </w:pPr>
    </w:p>
    <w:p w14:paraId="7DC11873" w14:textId="28D1340E" w:rsidR="00FD0033" w:rsidRDefault="00FD0033" w:rsidP="007E5484">
      <w:pPr>
        <w:spacing w:after="0" w:line="276" w:lineRule="auto"/>
        <w:jc w:val="center"/>
        <w:rPr>
          <w:rFonts w:ascii="Book Antiqua" w:hAnsi="Book Antiqua"/>
          <w:szCs w:val="20"/>
        </w:rPr>
      </w:pPr>
      <w:r w:rsidRPr="00FD0033">
        <w:rPr>
          <w:rFonts w:ascii="Book Antiqua" w:hAnsi="Book Antiqua"/>
          <w:szCs w:val="20"/>
        </w:rPr>
        <w:t xml:space="preserve">Table 3. Changes to the 2020 </w:t>
      </w:r>
      <w:proofErr w:type="spellStart"/>
      <w:r w:rsidRPr="00FD0033">
        <w:rPr>
          <w:rFonts w:ascii="Book Antiqua" w:hAnsi="Book Antiqua"/>
          <w:szCs w:val="20"/>
        </w:rPr>
        <w:t>Sigi</w:t>
      </w:r>
      <w:proofErr w:type="spellEnd"/>
      <w:r w:rsidRPr="00FD0033">
        <w:rPr>
          <w:rFonts w:ascii="Book Antiqua" w:hAnsi="Book Antiqua"/>
          <w:szCs w:val="20"/>
        </w:rPr>
        <w:t xml:space="preserve"> Regency APBN</w:t>
      </w:r>
    </w:p>
    <w:tbl>
      <w:tblPr>
        <w:tblStyle w:val="TableGrid"/>
        <w:tblW w:w="8183" w:type="dxa"/>
        <w:tblInd w:w="108" w:type="dxa"/>
        <w:tblBorders>
          <w:left w:val="none" w:sz="0" w:space="0" w:color="auto"/>
          <w:right w:val="none" w:sz="0" w:space="0" w:color="auto"/>
        </w:tblBorders>
        <w:tblLayout w:type="fixed"/>
        <w:tblLook w:val="04A0" w:firstRow="1" w:lastRow="0" w:firstColumn="1" w:lastColumn="0" w:noHBand="0" w:noVBand="1"/>
      </w:tblPr>
      <w:tblGrid>
        <w:gridCol w:w="1926"/>
        <w:gridCol w:w="1711"/>
        <w:gridCol w:w="1362"/>
        <w:gridCol w:w="1512"/>
        <w:gridCol w:w="1672"/>
      </w:tblGrid>
      <w:tr w:rsidR="004D6B5F" w:rsidRPr="004D6B5F" w14:paraId="6B794E9A" w14:textId="77777777" w:rsidTr="004D6B5F">
        <w:trPr>
          <w:trHeight w:val="103"/>
        </w:trPr>
        <w:tc>
          <w:tcPr>
            <w:tcW w:w="1926" w:type="dxa"/>
            <w:tcBorders>
              <w:right w:val="nil"/>
            </w:tcBorders>
          </w:tcPr>
          <w:p w14:paraId="716CC812" w14:textId="77777777" w:rsidR="004D6B5F" w:rsidRPr="004D6B5F" w:rsidRDefault="004D6B5F" w:rsidP="00FE4891">
            <w:pPr>
              <w:jc w:val="center"/>
              <w:rPr>
                <w:rFonts w:ascii="Book Antiqua" w:hAnsi="Book Antiqua" w:cs="Times New Roman"/>
                <w:b/>
              </w:rPr>
            </w:pPr>
            <w:r w:rsidRPr="004D6B5F">
              <w:rPr>
                <w:rFonts w:ascii="Book Antiqua" w:hAnsi="Book Antiqua" w:cs="Times New Roman"/>
                <w:b/>
              </w:rPr>
              <w:t>Item</w:t>
            </w:r>
          </w:p>
        </w:tc>
        <w:tc>
          <w:tcPr>
            <w:tcW w:w="1711" w:type="dxa"/>
            <w:tcBorders>
              <w:left w:val="nil"/>
              <w:right w:val="nil"/>
            </w:tcBorders>
          </w:tcPr>
          <w:p w14:paraId="75445532" w14:textId="77777777" w:rsidR="004D6B5F" w:rsidRPr="004D6B5F" w:rsidRDefault="004D6B5F" w:rsidP="00FE4891">
            <w:pPr>
              <w:jc w:val="center"/>
              <w:rPr>
                <w:rFonts w:ascii="Book Antiqua" w:hAnsi="Book Antiqua" w:cs="Times New Roman"/>
                <w:b/>
              </w:rPr>
            </w:pPr>
            <w:r w:rsidRPr="004D6B5F">
              <w:rPr>
                <w:rFonts w:ascii="Book Antiqua" w:hAnsi="Book Antiqua" w:cs="Times New Roman"/>
                <w:b/>
              </w:rPr>
              <w:t>Initial Allocation</w:t>
            </w:r>
          </w:p>
        </w:tc>
        <w:tc>
          <w:tcPr>
            <w:tcW w:w="1362" w:type="dxa"/>
            <w:tcBorders>
              <w:left w:val="nil"/>
              <w:right w:val="nil"/>
            </w:tcBorders>
          </w:tcPr>
          <w:p w14:paraId="59854657" w14:textId="77777777" w:rsidR="004D6B5F" w:rsidRPr="004D6B5F" w:rsidRDefault="004D6B5F" w:rsidP="00FE4891">
            <w:pPr>
              <w:jc w:val="center"/>
              <w:rPr>
                <w:rFonts w:ascii="Book Antiqua" w:hAnsi="Book Antiqua" w:cs="Times New Roman"/>
                <w:b/>
              </w:rPr>
            </w:pPr>
            <w:r w:rsidRPr="004D6B5F">
              <w:rPr>
                <w:rFonts w:ascii="Book Antiqua" w:hAnsi="Book Antiqua" w:cs="Times New Roman"/>
                <w:b/>
              </w:rPr>
              <w:t>Increase</w:t>
            </w:r>
          </w:p>
        </w:tc>
        <w:tc>
          <w:tcPr>
            <w:tcW w:w="1512" w:type="dxa"/>
            <w:tcBorders>
              <w:left w:val="nil"/>
              <w:right w:val="nil"/>
            </w:tcBorders>
          </w:tcPr>
          <w:p w14:paraId="68E85616" w14:textId="77777777" w:rsidR="004D6B5F" w:rsidRPr="004D6B5F" w:rsidRDefault="004D6B5F" w:rsidP="00FE4891">
            <w:pPr>
              <w:jc w:val="center"/>
              <w:rPr>
                <w:rFonts w:ascii="Book Antiqua" w:hAnsi="Book Antiqua" w:cs="Times New Roman"/>
                <w:b/>
              </w:rPr>
            </w:pPr>
            <w:r w:rsidRPr="004D6B5F">
              <w:rPr>
                <w:rFonts w:ascii="Book Antiqua" w:hAnsi="Book Antiqua" w:cs="Times New Roman"/>
                <w:b/>
              </w:rPr>
              <w:t>Reduce</w:t>
            </w:r>
          </w:p>
        </w:tc>
        <w:tc>
          <w:tcPr>
            <w:tcW w:w="1672" w:type="dxa"/>
            <w:tcBorders>
              <w:left w:val="nil"/>
            </w:tcBorders>
          </w:tcPr>
          <w:p w14:paraId="343B8C12" w14:textId="77777777" w:rsidR="004D6B5F" w:rsidRPr="004D6B5F" w:rsidRDefault="004D6B5F" w:rsidP="00FE4891">
            <w:pPr>
              <w:jc w:val="center"/>
              <w:rPr>
                <w:rFonts w:ascii="Book Antiqua" w:hAnsi="Book Antiqua" w:cs="Times New Roman"/>
                <w:b/>
              </w:rPr>
            </w:pPr>
            <w:r w:rsidRPr="004D6B5F">
              <w:rPr>
                <w:rFonts w:ascii="Book Antiqua" w:hAnsi="Book Antiqua" w:cs="Times New Roman"/>
                <w:b/>
              </w:rPr>
              <w:t>Allocation After Change</w:t>
            </w:r>
          </w:p>
        </w:tc>
      </w:tr>
      <w:tr w:rsidR="004D6B5F" w:rsidRPr="004D6B5F" w14:paraId="5BD136FA" w14:textId="77777777" w:rsidTr="004D6B5F">
        <w:trPr>
          <w:trHeight w:val="103"/>
        </w:trPr>
        <w:tc>
          <w:tcPr>
            <w:tcW w:w="1926" w:type="dxa"/>
            <w:tcBorders>
              <w:right w:val="nil"/>
            </w:tcBorders>
          </w:tcPr>
          <w:p w14:paraId="27C94F66" w14:textId="77777777" w:rsidR="004D6B5F" w:rsidRPr="004D6B5F" w:rsidRDefault="004D6B5F" w:rsidP="00FE4891">
            <w:pPr>
              <w:jc w:val="both"/>
              <w:rPr>
                <w:rFonts w:ascii="Book Antiqua" w:hAnsi="Book Antiqua" w:cs="Times New Roman"/>
              </w:rPr>
            </w:pPr>
            <w:r w:rsidRPr="004D6B5F">
              <w:rPr>
                <w:rFonts w:ascii="Book Antiqua" w:hAnsi="Book Antiqua" w:cs="Times New Roman"/>
              </w:rPr>
              <w:t xml:space="preserve">Dana </w:t>
            </w:r>
            <w:proofErr w:type="spellStart"/>
            <w:r w:rsidRPr="004D6B5F">
              <w:rPr>
                <w:rFonts w:ascii="Book Antiqua" w:hAnsi="Book Antiqua" w:cs="Times New Roman"/>
              </w:rPr>
              <w:t>Perimbangan</w:t>
            </w:r>
            <w:proofErr w:type="spellEnd"/>
          </w:p>
        </w:tc>
        <w:tc>
          <w:tcPr>
            <w:tcW w:w="1711" w:type="dxa"/>
            <w:tcBorders>
              <w:left w:val="nil"/>
              <w:right w:val="nil"/>
            </w:tcBorders>
          </w:tcPr>
          <w:p w14:paraId="70F7D3CB"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957.071.883.000</w:t>
            </w:r>
          </w:p>
        </w:tc>
        <w:tc>
          <w:tcPr>
            <w:tcW w:w="1362" w:type="dxa"/>
            <w:tcBorders>
              <w:left w:val="nil"/>
              <w:right w:val="nil"/>
            </w:tcBorders>
          </w:tcPr>
          <w:p w14:paraId="6E85077B" w14:textId="77777777" w:rsidR="004D6B5F" w:rsidRPr="004D6B5F" w:rsidRDefault="004D6B5F" w:rsidP="00FE4891">
            <w:pPr>
              <w:jc w:val="center"/>
              <w:rPr>
                <w:rFonts w:ascii="Book Antiqua" w:hAnsi="Book Antiqua" w:cs="Times New Roman"/>
              </w:rPr>
            </w:pPr>
          </w:p>
        </w:tc>
        <w:tc>
          <w:tcPr>
            <w:tcW w:w="1512" w:type="dxa"/>
            <w:tcBorders>
              <w:left w:val="nil"/>
              <w:right w:val="nil"/>
            </w:tcBorders>
          </w:tcPr>
          <w:p w14:paraId="007CF9E4"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187.115.739.001</w:t>
            </w:r>
          </w:p>
        </w:tc>
        <w:tc>
          <w:tcPr>
            <w:tcW w:w="1672" w:type="dxa"/>
            <w:tcBorders>
              <w:left w:val="nil"/>
            </w:tcBorders>
          </w:tcPr>
          <w:p w14:paraId="558B4B36"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769.956.143.999</w:t>
            </w:r>
          </w:p>
        </w:tc>
      </w:tr>
      <w:tr w:rsidR="004D6B5F" w:rsidRPr="004D6B5F" w14:paraId="1C9434CD" w14:textId="77777777" w:rsidTr="004D6B5F">
        <w:trPr>
          <w:trHeight w:val="103"/>
        </w:trPr>
        <w:tc>
          <w:tcPr>
            <w:tcW w:w="1926" w:type="dxa"/>
            <w:tcBorders>
              <w:right w:val="nil"/>
            </w:tcBorders>
          </w:tcPr>
          <w:p w14:paraId="0436EA64" w14:textId="77777777" w:rsidR="004D6B5F" w:rsidRPr="004D6B5F" w:rsidRDefault="004D6B5F" w:rsidP="00FE4891">
            <w:pPr>
              <w:jc w:val="both"/>
              <w:rPr>
                <w:rFonts w:ascii="Book Antiqua" w:hAnsi="Book Antiqua" w:cs="Times New Roman"/>
              </w:rPr>
            </w:pPr>
            <w:r w:rsidRPr="004D6B5F">
              <w:rPr>
                <w:rFonts w:ascii="Book Antiqua" w:hAnsi="Book Antiqua" w:cs="Times New Roman"/>
              </w:rPr>
              <w:t xml:space="preserve">Lain-lain </w:t>
            </w:r>
            <w:proofErr w:type="spellStart"/>
            <w:r w:rsidRPr="004D6B5F">
              <w:rPr>
                <w:rFonts w:ascii="Book Antiqua" w:hAnsi="Book Antiqua" w:cs="Times New Roman"/>
              </w:rPr>
              <w:t>Pendapatan</w:t>
            </w:r>
            <w:proofErr w:type="spellEnd"/>
            <w:r w:rsidRPr="004D6B5F">
              <w:rPr>
                <w:rFonts w:ascii="Book Antiqua" w:hAnsi="Book Antiqua" w:cs="Times New Roman"/>
              </w:rPr>
              <w:t xml:space="preserve"> Daerah yang </w:t>
            </w:r>
            <w:proofErr w:type="spellStart"/>
            <w:r w:rsidRPr="004D6B5F">
              <w:rPr>
                <w:rFonts w:ascii="Book Antiqua" w:hAnsi="Book Antiqua" w:cs="Times New Roman"/>
              </w:rPr>
              <w:t>sah</w:t>
            </w:r>
            <w:proofErr w:type="spellEnd"/>
          </w:p>
        </w:tc>
        <w:tc>
          <w:tcPr>
            <w:tcW w:w="1711" w:type="dxa"/>
            <w:tcBorders>
              <w:left w:val="nil"/>
              <w:right w:val="nil"/>
            </w:tcBorders>
          </w:tcPr>
          <w:p w14:paraId="49CAC270"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222.016.024.495</w:t>
            </w:r>
          </w:p>
        </w:tc>
        <w:tc>
          <w:tcPr>
            <w:tcW w:w="1362" w:type="dxa"/>
            <w:tcBorders>
              <w:left w:val="nil"/>
              <w:right w:val="nil"/>
            </w:tcBorders>
          </w:tcPr>
          <w:p w14:paraId="029220CD" w14:textId="77777777" w:rsidR="004D6B5F" w:rsidRPr="004D6B5F" w:rsidRDefault="004D6B5F" w:rsidP="00FE4891">
            <w:pPr>
              <w:jc w:val="center"/>
              <w:rPr>
                <w:rFonts w:ascii="Book Antiqua" w:hAnsi="Book Antiqua" w:cs="Times New Roman"/>
              </w:rPr>
            </w:pPr>
          </w:p>
        </w:tc>
        <w:tc>
          <w:tcPr>
            <w:tcW w:w="1512" w:type="dxa"/>
            <w:tcBorders>
              <w:left w:val="nil"/>
              <w:right w:val="nil"/>
            </w:tcBorders>
          </w:tcPr>
          <w:p w14:paraId="3B011158"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1.483.268.000</w:t>
            </w:r>
          </w:p>
        </w:tc>
        <w:tc>
          <w:tcPr>
            <w:tcW w:w="1672" w:type="dxa"/>
            <w:tcBorders>
              <w:left w:val="nil"/>
            </w:tcBorders>
          </w:tcPr>
          <w:p w14:paraId="330331A4"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220.532.756.495</w:t>
            </w:r>
          </w:p>
        </w:tc>
      </w:tr>
      <w:tr w:rsidR="004D6B5F" w:rsidRPr="004D6B5F" w14:paraId="7ADF0183" w14:textId="77777777" w:rsidTr="004D6B5F">
        <w:trPr>
          <w:trHeight w:val="103"/>
        </w:trPr>
        <w:tc>
          <w:tcPr>
            <w:tcW w:w="1926" w:type="dxa"/>
            <w:tcBorders>
              <w:right w:val="nil"/>
            </w:tcBorders>
          </w:tcPr>
          <w:p w14:paraId="7CBA563D" w14:textId="77777777" w:rsidR="004D6B5F" w:rsidRPr="004D6B5F" w:rsidRDefault="004D6B5F" w:rsidP="00FE4891">
            <w:pPr>
              <w:jc w:val="both"/>
              <w:rPr>
                <w:rFonts w:ascii="Book Antiqua" w:hAnsi="Book Antiqua" w:cs="Times New Roman"/>
              </w:rPr>
            </w:pPr>
            <w:proofErr w:type="spellStart"/>
            <w:r w:rsidRPr="004D6B5F">
              <w:rPr>
                <w:rFonts w:ascii="Book Antiqua" w:hAnsi="Book Antiqua" w:cs="Times New Roman"/>
              </w:rPr>
              <w:t>Belanja</w:t>
            </w:r>
            <w:proofErr w:type="spellEnd"/>
            <w:r w:rsidRPr="004D6B5F">
              <w:rPr>
                <w:rFonts w:ascii="Book Antiqua" w:hAnsi="Book Antiqua" w:cs="Times New Roman"/>
              </w:rPr>
              <w:t xml:space="preserve"> </w:t>
            </w:r>
            <w:proofErr w:type="spellStart"/>
            <w:r w:rsidRPr="004D6B5F">
              <w:rPr>
                <w:rFonts w:ascii="Book Antiqua" w:hAnsi="Book Antiqua" w:cs="Times New Roman"/>
              </w:rPr>
              <w:t>Pegawai</w:t>
            </w:r>
            <w:proofErr w:type="spellEnd"/>
          </w:p>
        </w:tc>
        <w:tc>
          <w:tcPr>
            <w:tcW w:w="1711" w:type="dxa"/>
            <w:tcBorders>
              <w:left w:val="nil"/>
              <w:right w:val="nil"/>
            </w:tcBorders>
          </w:tcPr>
          <w:p w14:paraId="138B6417"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470.474.618.251</w:t>
            </w:r>
          </w:p>
        </w:tc>
        <w:tc>
          <w:tcPr>
            <w:tcW w:w="1362" w:type="dxa"/>
            <w:tcBorders>
              <w:left w:val="nil"/>
              <w:right w:val="nil"/>
            </w:tcBorders>
          </w:tcPr>
          <w:p w14:paraId="658B78A1" w14:textId="77777777" w:rsidR="004D6B5F" w:rsidRPr="004D6B5F" w:rsidRDefault="004D6B5F" w:rsidP="00FE4891">
            <w:pPr>
              <w:jc w:val="center"/>
              <w:rPr>
                <w:rFonts w:ascii="Book Antiqua" w:hAnsi="Book Antiqua" w:cs="Times New Roman"/>
              </w:rPr>
            </w:pPr>
          </w:p>
        </w:tc>
        <w:tc>
          <w:tcPr>
            <w:tcW w:w="1512" w:type="dxa"/>
            <w:tcBorders>
              <w:left w:val="nil"/>
              <w:right w:val="nil"/>
            </w:tcBorders>
          </w:tcPr>
          <w:p w14:paraId="329FB41F"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19.598.728.356</w:t>
            </w:r>
          </w:p>
        </w:tc>
        <w:tc>
          <w:tcPr>
            <w:tcW w:w="1672" w:type="dxa"/>
            <w:tcBorders>
              <w:left w:val="nil"/>
            </w:tcBorders>
          </w:tcPr>
          <w:p w14:paraId="33CDD7DD"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450.875.889.894</w:t>
            </w:r>
          </w:p>
        </w:tc>
      </w:tr>
      <w:tr w:rsidR="004D6B5F" w:rsidRPr="004D6B5F" w14:paraId="655A5971" w14:textId="77777777" w:rsidTr="004D6B5F">
        <w:trPr>
          <w:trHeight w:val="103"/>
        </w:trPr>
        <w:tc>
          <w:tcPr>
            <w:tcW w:w="1926" w:type="dxa"/>
            <w:tcBorders>
              <w:right w:val="nil"/>
            </w:tcBorders>
          </w:tcPr>
          <w:p w14:paraId="584A02B0" w14:textId="77777777" w:rsidR="004D6B5F" w:rsidRPr="004D6B5F" w:rsidRDefault="004D6B5F" w:rsidP="00FE4891">
            <w:pPr>
              <w:jc w:val="both"/>
              <w:rPr>
                <w:rFonts w:ascii="Book Antiqua" w:hAnsi="Book Antiqua" w:cs="Times New Roman"/>
              </w:rPr>
            </w:pPr>
            <w:proofErr w:type="spellStart"/>
            <w:r w:rsidRPr="004D6B5F">
              <w:rPr>
                <w:rFonts w:ascii="Book Antiqua" w:hAnsi="Book Antiqua" w:cs="Times New Roman"/>
              </w:rPr>
              <w:t>Belanja</w:t>
            </w:r>
            <w:proofErr w:type="spellEnd"/>
            <w:r w:rsidRPr="004D6B5F">
              <w:rPr>
                <w:rFonts w:ascii="Book Antiqua" w:hAnsi="Book Antiqua" w:cs="Times New Roman"/>
              </w:rPr>
              <w:t xml:space="preserve"> </w:t>
            </w:r>
            <w:proofErr w:type="spellStart"/>
            <w:r w:rsidRPr="004D6B5F">
              <w:rPr>
                <w:rFonts w:ascii="Book Antiqua" w:hAnsi="Book Antiqua" w:cs="Times New Roman"/>
              </w:rPr>
              <w:t>Hibah</w:t>
            </w:r>
            <w:proofErr w:type="spellEnd"/>
          </w:p>
        </w:tc>
        <w:tc>
          <w:tcPr>
            <w:tcW w:w="1711" w:type="dxa"/>
            <w:tcBorders>
              <w:left w:val="nil"/>
              <w:right w:val="nil"/>
            </w:tcBorders>
          </w:tcPr>
          <w:p w14:paraId="2A55FCC5"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53.522.500.000</w:t>
            </w:r>
          </w:p>
        </w:tc>
        <w:tc>
          <w:tcPr>
            <w:tcW w:w="1362" w:type="dxa"/>
            <w:tcBorders>
              <w:left w:val="nil"/>
              <w:right w:val="nil"/>
            </w:tcBorders>
          </w:tcPr>
          <w:p w14:paraId="3FCEDB72" w14:textId="77777777" w:rsidR="004D6B5F" w:rsidRPr="004D6B5F" w:rsidRDefault="004D6B5F" w:rsidP="00FE4891">
            <w:pPr>
              <w:jc w:val="center"/>
              <w:rPr>
                <w:rFonts w:ascii="Book Antiqua" w:hAnsi="Book Antiqua" w:cs="Times New Roman"/>
              </w:rPr>
            </w:pPr>
          </w:p>
        </w:tc>
        <w:tc>
          <w:tcPr>
            <w:tcW w:w="1512" w:type="dxa"/>
            <w:tcBorders>
              <w:left w:val="nil"/>
              <w:right w:val="nil"/>
            </w:tcBorders>
          </w:tcPr>
          <w:p w14:paraId="7DC581FF"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1.061.300.000</w:t>
            </w:r>
          </w:p>
        </w:tc>
        <w:tc>
          <w:tcPr>
            <w:tcW w:w="1672" w:type="dxa"/>
            <w:tcBorders>
              <w:left w:val="nil"/>
            </w:tcBorders>
          </w:tcPr>
          <w:p w14:paraId="1D190ED2"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52.461.200.000</w:t>
            </w:r>
          </w:p>
        </w:tc>
      </w:tr>
      <w:tr w:rsidR="004D6B5F" w:rsidRPr="004D6B5F" w14:paraId="2F83E532" w14:textId="77777777" w:rsidTr="004D6B5F">
        <w:trPr>
          <w:trHeight w:val="103"/>
        </w:trPr>
        <w:tc>
          <w:tcPr>
            <w:tcW w:w="1926" w:type="dxa"/>
            <w:tcBorders>
              <w:right w:val="nil"/>
            </w:tcBorders>
          </w:tcPr>
          <w:p w14:paraId="56262502" w14:textId="77777777" w:rsidR="004D6B5F" w:rsidRPr="004D6B5F" w:rsidRDefault="004D6B5F" w:rsidP="00FE4891">
            <w:pPr>
              <w:jc w:val="both"/>
              <w:rPr>
                <w:rFonts w:ascii="Book Antiqua" w:hAnsi="Book Antiqua" w:cs="Times New Roman"/>
              </w:rPr>
            </w:pPr>
            <w:proofErr w:type="spellStart"/>
            <w:r w:rsidRPr="004D6B5F">
              <w:rPr>
                <w:rFonts w:ascii="Book Antiqua" w:hAnsi="Book Antiqua" w:cs="Times New Roman"/>
              </w:rPr>
              <w:t>Belanja</w:t>
            </w:r>
            <w:proofErr w:type="spellEnd"/>
            <w:r w:rsidRPr="004D6B5F">
              <w:rPr>
                <w:rFonts w:ascii="Book Antiqua" w:hAnsi="Book Antiqua" w:cs="Times New Roman"/>
              </w:rPr>
              <w:t xml:space="preserve"> </w:t>
            </w:r>
            <w:proofErr w:type="spellStart"/>
            <w:r w:rsidRPr="004D6B5F">
              <w:rPr>
                <w:rFonts w:ascii="Book Antiqua" w:hAnsi="Book Antiqua" w:cs="Times New Roman"/>
              </w:rPr>
              <w:t>Bantuan</w:t>
            </w:r>
            <w:proofErr w:type="spellEnd"/>
            <w:r w:rsidRPr="004D6B5F">
              <w:rPr>
                <w:rFonts w:ascii="Book Antiqua" w:hAnsi="Book Antiqua" w:cs="Times New Roman"/>
              </w:rPr>
              <w:t xml:space="preserve"> </w:t>
            </w:r>
            <w:proofErr w:type="spellStart"/>
            <w:r w:rsidRPr="004D6B5F">
              <w:rPr>
                <w:rFonts w:ascii="Book Antiqua" w:hAnsi="Book Antiqua" w:cs="Times New Roman"/>
              </w:rPr>
              <w:t>Sosial</w:t>
            </w:r>
            <w:proofErr w:type="spellEnd"/>
          </w:p>
        </w:tc>
        <w:tc>
          <w:tcPr>
            <w:tcW w:w="1711" w:type="dxa"/>
            <w:tcBorders>
              <w:left w:val="nil"/>
              <w:right w:val="nil"/>
            </w:tcBorders>
          </w:tcPr>
          <w:p w14:paraId="10669938"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548.610.765.000</w:t>
            </w:r>
          </w:p>
        </w:tc>
        <w:tc>
          <w:tcPr>
            <w:tcW w:w="1362" w:type="dxa"/>
            <w:tcBorders>
              <w:left w:val="nil"/>
              <w:right w:val="nil"/>
            </w:tcBorders>
          </w:tcPr>
          <w:p w14:paraId="4B10A481"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1.135.000.000</w:t>
            </w:r>
          </w:p>
        </w:tc>
        <w:tc>
          <w:tcPr>
            <w:tcW w:w="1512" w:type="dxa"/>
            <w:tcBorders>
              <w:left w:val="nil"/>
              <w:right w:val="nil"/>
            </w:tcBorders>
          </w:tcPr>
          <w:p w14:paraId="5883B451" w14:textId="77777777" w:rsidR="004D6B5F" w:rsidRPr="004D6B5F" w:rsidRDefault="004D6B5F" w:rsidP="00FE4891">
            <w:pPr>
              <w:jc w:val="center"/>
              <w:rPr>
                <w:rFonts w:ascii="Book Antiqua" w:hAnsi="Book Antiqua" w:cs="Times New Roman"/>
              </w:rPr>
            </w:pPr>
          </w:p>
        </w:tc>
        <w:tc>
          <w:tcPr>
            <w:tcW w:w="1672" w:type="dxa"/>
            <w:tcBorders>
              <w:left w:val="nil"/>
            </w:tcBorders>
          </w:tcPr>
          <w:p w14:paraId="4FA95DE4"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549.745.765.000</w:t>
            </w:r>
          </w:p>
        </w:tc>
      </w:tr>
      <w:tr w:rsidR="004D6B5F" w:rsidRPr="004D6B5F" w14:paraId="6DAA7889" w14:textId="77777777" w:rsidTr="004D6B5F">
        <w:trPr>
          <w:trHeight w:val="103"/>
        </w:trPr>
        <w:tc>
          <w:tcPr>
            <w:tcW w:w="1926" w:type="dxa"/>
            <w:tcBorders>
              <w:right w:val="nil"/>
            </w:tcBorders>
          </w:tcPr>
          <w:p w14:paraId="71FC822F" w14:textId="77777777" w:rsidR="004D6B5F" w:rsidRPr="004D6B5F" w:rsidRDefault="004D6B5F" w:rsidP="00FE4891">
            <w:pPr>
              <w:jc w:val="both"/>
              <w:rPr>
                <w:rFonts w:ascii="Book Antiqua" w:hAnsi="Book Antiqua" w:cs="Times New Roman"/>
              </w:rPr>
            </w:pPr>
            <w:proofErr w:type="spellStart"/>
            <w:r w:rsidRPr="004D6B5F">
              <w:rPr>
                <w:rFonts w:ascii="Book Antiqua" w:hAnsi="Book Antiqua" w:cs="Times New Roman"/>
              </w:rPr>
              <w:t>Belanja</w:t>
            </w:r>
            <w:proofErr w:type="spellEnd"/>
            <w:r w:rsidRPr="004D6B5F">
              <w:rPr>
                <w:rFonts w:ascii="Book Antiqua" w:hAnsi="Book Antiqua" w:cs="Times New Roman"/>
              </w:rPr>
              <w:t xml:space="preserve"> </w:t>
            </w:r>
            <w:proofErr w:type="spellStart"/>
            <w:r w:rsidRPr="004D6B5F">
              <w:rPr>
                <w:rFonts w:ascii="Book Antiqua" w:hAnsi="Book Antiqua" w:cs="Times New Roman"/>
              </w:rPr>
              <w:t>Bantuan</w:t>
            </w:r>
            <w:proofErr w:type="spellEnd"/>
            <w:r w:rsidRPr="004D6B5F">
              <w:rPr>
                <w:rFonts w:ascii="Book Antiqua" w:hAnsi="Book Antiqua" w:cs="Times New Roman"/>
              </w:rPr>
              <w:t xml:space="preserve"> </w:t>
            </w:r>
            <w:proofErr w:type="spellStart"/>
            <w:r w:rsidRPr="004D6B5F">
              <w:rPr>
                <w:rFonts w:ascii="Book Antiqua" w:hAnsi="Book Antiqua" w:cs="Times New Roman"/>
              </w:rPr>
              <w:t>Keuangan</w:t>
            </w:r>
            <w:proofErr w:type="spellEnd"/>
          </w:p>
        </w:tc>
        <w:tc>
          <w:tcPr>
            <w:tcW w:w="1711" w:type="dxa"/>
            <w:tcBorders>
              <w:left w:val="nil"/>
              <w:right w:val="nil"/>
            </w:tcBorders>
          </w:tcPr>
          <w:p w14:paraId="7F1B28CD"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217.137.285.000</w:t>
            </w:r>
          </w:p>
        </w:tc>
        <w:tc>
          <w:tcPr>
            <w:tcW w:w="1362" w:type="dxa"/>
            <w:tcBorders>
              <w:left w:val="nil"/>
              <w:right w:val="nil"/>
            </w:tcBorders>
          </w:tcPr>
          <w:p w14:paraId="4FF937AF" w14:textId="77777777" w:rsidR="004D6B5F" w:rsidRPr="004D6B5F" w:rsidRDefault="004D6B5F" w:rsidP="00FE4891">
            <w:pPr>
              <w:jc w:val="center"/>
              <w:rPr>
                <w:rFonts w:ascii="Book Antiqua" w:hAnsi="Book Antiqua" w:cs="Times New Roman"/>
              </w:rPr>
            </w:pPr>
          </w:p>
        </w:tc>
        <w:tc>
          <w:tcPr>
            <w:tcW w:w="1512" w:type="dxa"/>
            <w:tcBorders>
              <w:left w:val="nil"/>
              <w:right w:val="nil"/>
            </w:tcBorders>
          </w:tcPr>
          <w:p w14:paraId="26DA0E1E"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8.887.585.100</w:t>
            </w:r>
          </w:p>
        </w:tc>
        <w:tc>
          <w:tcPr>
            <w:tcW w:w="1672" w:type="dxa"/>
            <w:tcBorders>
              <w:left w:val="nil"/>
            </w:tcBorders>
          </w:tcPr>
          <w:p w14:paraId="165C4AB3"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208.249.699.900</w:t>
            </w:r>
          </w:p>
        </w:tc>
      </w:tr>
      <w:tr w:rsidR="004D6B5F" w:rsidRPr="004D6B5F" w14:paraId="2D4A81AE" w14:textId="77777777" w:rsidTr="004D6B5F">
        <w:trPr>
          <w:trHeight w:val="103"/>
        </w:trPr>
        <w:tc>
          <w:tcPr>
            <w:tcW w:w="1926" w:type="dxa"/>
            <w:tcBorders>
              <w:right w:val="nil"/>
            </w:tcBorders>
          </w:tcPr>
          <w:p w14:paraId="3FDF12DC" w14:textId="77777777" w:rsidR="004D6B5F" w:rsidRPr="004D6B5F" w:rsidRDefault="004D6B5F" w:rsidP="00FE4891">
            <w:pPr>
              <w:jc w:val="both"/>
              <w:rPr>
                <w:rFonts w:ascii="Book Antiqua" w:hAnsi="Book Antiqua" w:cs="Times New Roman"/>
              </w:rPr>
            </w:pPr>
            <w:proofErr w:type="spellStart"/>
            <w:r w:rsidRPr="004D6B5F">
              <w:rPr>
                <w:rFonts w:ascii="Book Antiqua" w:hAnsi="Book Antiqua" w:cs="Times New Roman"/>
              </w:rPr>
              <w:t>Belanja</w:t>
            </w:r>
            <w:proofErr w:type="spellEnd"/>
            <w:r w:rsidRPr="004D6B5F">
              <w:rPr>
                <w:rFonts w:ascii="Book Antiqua" w:hAnsi="Book Antiqua" w:cs="Times New Roman"/>
              </w:rPr>
              <w:t xml:space="preserve"> </w:t>
            </w:r>
            <w:proofErr w:type="spellStart"/>
            <w:r w:rsidRPr="004D6B5F">
              <w:rPr>
                <w:rFonts w:ascii="Book Antiqua" w:hAnsi="Book Antiqua" w:cs="Times New Roman"/>
              </w:rPr>
              <w:t>Tidak</w:t>
            </w:r>
            <w:proofErr w:type="spellEnd"/>
            <w:r w:rsidRPr="004D6B5F">
              <w:rPr>
                <w:rFonts w:ascii="Book Antiqua" w:hAnsi="Book Antiqua" w:cs="Times New Roman"/>
              </w:rPr>
              <w:t xml:space="preserve"> </w:t>
            </w:r>
            <w:proofErr w:type="spellStart"/>
            <w:r w:rsidRPr="004D6B5F">
              <w:rPr>
                <w:rFonts w:ascii="Book Antiqua" w:hAnsi="Book Antiqua" w:cs="Times New Roman"/>
              </w:rPr>
              <w:t>terduga</w:t>
            </w:r>
            <w:proofErr w:type="spellEnd"/>
          </w:p>
        </w:tc>
        <w:tc>
          <w:tcPr>
            <w:tcW w:w="1711" w:type="dxa"/>
            <w:tcBorders>
              <w:left w:val="nil"/>
              <w:right w:val="nil"/>
            </w:tcBorders>
          </w:tcPr>
          <w:p w14:paraId="6BE35BC2"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1.800.000.000</w:t>
            </w:r>
          </w:p>
        </w:tc>
        <w:tc>
          <w:tcPr>
            <w:tcW w:w="1362" w:type="dxa"/>
            <w:tcBorders>
              <w:left w:val="nil"/>
              <w:right w:val="nil"/>
            </w:tcBorders>
          </w:tcPr>
          <w:p w14:paraId="0C441984"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5.500.000.000</w:t>
            </w:r>
          </w:p>
        </w:tc>
        <w:tc>
          <w:tcPr>
            <w:tcW w:w="1512" w:type="dxa"/>
            <w:tcBorders>
              <w:left w:val="nil"/>
              <w:right w:val="nil"/>
            </w:tcBorders>
          </w:tcPr>
          <w:p w14:paraId="2B939021" w14:textId="77777777" w:rsidR="004D6B5F" w:rsidRPr="004D6B5F" w:rsidRDefault="004D6B5F" w:rsidP="00FE4891">
            <w:pPr>
              <w:jc w:val="center"/>
              <w:rPr>
                <w:rFonts w:ascii="Book Antiqua" w:hAnsi="Book Antiqua" w:cs="Times New Roman"/>
              </w:rPr>
            </w:pPr>
          </w:p>
        </w:tc>
        <w:tc>
          <w:tcPr>
            <w:tcW w:w="1672" w:type="dxa"/>
            <w:tcBorders>
              <w:left w:val="nil"/>
            </w:tcBorders>
          </w:tcPr>
          <w:p w14:paraId="570D1E26"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7.300.000.000</w:t>
            </w:r>
          </w:p>
        </w:tc>
      </w:tr>
      <w:tr w:rsidR="004D6B5F" w:rsidRPr="004D6B5F" w14:paraId="7E7FD269" w14:textId="77777777" w:rsidTr="004D6B5F">
        <w:trPr>
          <w:trHeight w:val="103"/>
        </w:trPr>
        <w:tc>
          <w:tcPr>
            <w:tcW w:w="1926" w:type="dxa"/>
            <w:tcBorders>
              <w:right w:val="nil"/>
            </w:tcBorders>
          </w:tcPr>
          <w:p w14:paraId="1E5DBCF1" w14:textId="77777777" w:rsidR="004D6B5F" w:rsidRPr="004D6B5F" w:rsidRDefault="004D6B5F" w:rsidP="00FE4891">
            <w:pPr>
              <w:jc w:val="both"/>
              <w:rPr>
                <w:rFonts w:ascii="Book Antiqua" w:hAnsi="Book Antiqua" w:cs="Times New Roman"/>
              </w:rPr>
            </w:pPr>
            <w:proofErr w:type="spellStart"/>
            <w:r w:rsidRPr="004D6B5F">
              <w:rPr>
                <w:rFonts w:ascii="Book Antiqua" w:hAnsi="Book Antiqua" w:cs="Times New Roman"/>
              </w:rPr>
              <w:t>Belanja</w:t>
            </w:r>
            <w:proofErr w:type="spellEnd"/>
            <w:r w:rsidRPr="004D6B5F">
              <w:rPr>
                <w:rFonts w:ascii="Book Antiqua" w:hAnsi="Book Antiqua" w:cs="Times New Roman"/>
              </w:rPr>
              <w:t xml:space="preserve"> </w:t>
            </w:r>
            <w:proofErr w:type="spellStart"/>
            <w:r w:rsidRPr="004D6B5F">
              <w:rPr>
                <w:rFonts w:ascii="Book Antiqua" w:hAnsi="Book Antiqua" w:cs="Times New Roman"/>
              </w:rPr>
              <w:t>Langsung</w:t>
            </w:r>
            <w:proofErr w:type="spellEnd"/>
          </w:p>
        </w:tc>
        <w:tc>
          <w:tcPr>
            <w:tcW w:w="1711" w:type="dxa"/>
            <w:tcBorders>
              <w:left w:val="nil"/>
              <w:right w:val="nil"/>
            </w:tcBorders>
          </w:tcPr>
          <w:p w14:paraId="0D261D08"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42.619.171.300</w:t>
            </w:r>
          </w:p>
        </w:tc>
        <w:tc>
          <w:tcPr>
            <w:tcW w:w="1362" w:type="dxa"/>
            <w:tcBorders>
              <w:left w:val="nil"/>
              <w:right w:val="nil"/>
            </w:tcBorders>
          </w:tcPr>
          <w:p w14:paraId="0A346738" w14:textId="77777777" w:rsidR="004D6B5F" w:rsidRPr="004D6B5F" w:rsidRDefault="004D6B5F" w:rsidP="00FE4891">
            <w:pPr>
              <w:jc w:val="center"/>
              <w:rPr>
                <w:rFonts w:ascii="Book Antiqua" w:hAnsi="Book Antiqua" w:cs="Times New Roman"/>
              </w:rPr>
            </w:pPr>
          </w:p>
        </w:tc>
        <w:tc>
          <w:tcPr>
            <w:tcW w:w="1512" w:type="dxa"/>
            <w:tcBorders>
              <w:left w:val="nil"/>
              <w:right w:val="nil"/>
            </w:tcBorders>
          </w:tcPr>
          <w:p w14:paraId="1768825F"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3.470.284.361</w:t>
            </w:r>
          </w:p>
        </w:tc>
        <w:tc>
          <w:tcPr>
            <w:tcW w:w="1672" w:type="dxa"/>
            <w:tcBorders>
              <w:left w:val="nil"/>
            </w:tcBorders>
          </w:tcPr>
          <w:p w14:paraId="1F5E44BD"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39.148.886.939</w:t>
            </w:r>
          </w:p>
        </w:tc>
      </w:tr>
      <w:tr w:rsidR="004D6B5F" w:rsidRPr="004D6B5F" w14:paraId="393C8672" w14:textId="77777777" w:rsidTr="004D6B5F">
        <w:trPr>
          <w:trHeight w:val="103"/>
        </w:trPr>
        <w:tc>
          <w:tcPr>
            <w:tcW w:w="1926" w:type="dxa"/>
            <w:tcBorders>
              <w:right w:val="nil"/>
            </w:tcBorders>
          </w:tcPr>
          <w:p w14:paraId="08B7F87D" w14:textId="77777777" w:rsidR="004D6B5F" w:rsidRPr="004D6B5F" w:rsidRDefault="004D6B5F" w:rsidP="00FE4891">
            <w:pPr>
              <w:jc w:val="both"/>
              <w:rPr>
                <w:rFonts w:ascii="Book Antiqua" w:hAnsi="Book Antiqua" w:cs="Times New Roman"/>
              </w:rPr>
            </w:pPr>
            <w:proofErr w:type="spellStart"/>
            <w:r w:rsidRPr="004D6B5F">
              <w:rPr>
                <w:rFonts w:ascii="Book Antiqua" w:hAnsi="Book Antiqua" w:cs="Times New Roman"/>
              </w:rPr>
              <w:t>Belanja</w:t>
            </w:r>
            <w:proofErr w:type="spellEnd"/>
            <w:r w:rsidRPr="004D6B5F">
              <w:rPr>
                <w:rFonts w:ascii="Book Antiqua" w:hAnsi="Book Antiqua" w:cs="Times New Roman"/>
              </w:rPr>
              <w:t xml:space="preserve"> </w:t>
            </w:r>
            <w:proofErr w:type="spellStart"/>
            <w:r w:rsidRPr="004D6B5F">
              <w:rPr>
                <w:rFonts w:ascii="Book Antiqua" w:hAnsi="Book Antiqua" w:cs="Times New Roman"/>
              </w:rPr>
              <w:t>Barang</w:t>
            </w:r>
            <w:proofErr w:type="spellEnd"/>
            <w:r w:rsidRPr="004D6B5F">
              <w:rPr>
                <w:rFonts w:ascii="Book Antiqua" w:hAnsi="Book Antiqua" w:cs="Times New Roman"/>
              </w:rPr>
              <w:t xml:space="preserve"> dan Jasa</w:t>
            </w:r>
          </w:p>
        </w:tc>
        <w:tc>
          <w:tcPr>
            <w:tcW w:w="1711" w:type="dxa"/>
            <w:tcBorders>
              <w:left w:val="nil"/>
              <w:right w:val="nil"/>
            </w:tcBorders>
          </w:tcPr>
          <w:p w14:paraId="14C48E15"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247.122.269.253</w:t>
            </w:r>
          </w:p>
        </w:tc>
        <w:tc>
          <w:tcPr>
            <w:tcW w:w="1362" w:type="dxa"/>
            <w:tcBorders>
              <w:left w:val="nil"/>
              <w:right w:val="nil"/>
            </w:tcBorders>
          </w:tcPr>
          <w:p w14:paraId="538B77B8" w14:textId="77777777" w:rsidR="004D6B5F" w:rsidRPr="004D6B5F" w:rsidRDefault="004D6B5F" w:rsidP="00FE4891">
            <w:pPr>
              <w:jc w:val="center"/>
              <w:rPr>
                <w:rFonts w:ascii="Book Antiqua" w:hAnsi="Book Antiqua" w:cs="Times New Roman"/>
              </w:rPr>
            </w:pPr>
          </w:p>
        </w:tc>
        <w:tc>
          <w:tcPr>
            <w:tcW w:w="1512" w:type="dxa"/>
            <w:tcBorders>
              <w:left w:val="nil"/>
              <w:right w:val="nil"/>
            </w:tcBorders>
          </w:tcPr>
          <w:p w14:paraId="287CC19C"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28.977.626.329</w:t>
            </w:r>
          </w:p>
        </w:tc>
        <w:tc>
          <w:tcPr>
            <w:tcW w:w="1672" w:type="dxa"/>
            <w:tcBorders>
              <w:left w:val="nil"/>
            </w:tcBorders>
          </w:tcPr>
          <w:p w14:paraId="551C4980"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218.144.542.924</w:t>
            </w:r>
          </w:p>
        </w:tc>
      </w:tr>
      <w:tr w:rsidR="004D6B5F" w:rsidRPr="004D6B5F" w14:paraId="7E795EB3" w14:textId="77777777" w:rsidTr="004D6B5F">
        <w:trPr>
          <w:trHeight w:val="103"/>
        </w:trPr>
        <w:tc>
          <w:tcPr>
            <w:tcW w:w="1926" w:type="dxa"/>
            <w:tcBorders>
              <w:right w:val="nil"/>
            </w:tcBorders>
          </w:tcPr>
          <w:p w14:paraId="61FEA02C" w14:textId="77777777" w:rsidR="004D6B5F" w:rsidRPr="004D6B5F" w:rsidRDefault="004D6B5F" w:rsidP="00FE4891">
            <w:pPr>
              <w:jc w:val="both"/>
              <w:rPr>
                <w:rFonts w:ascii="Book Antiqua" w:hAnsi="Book Antiqua" w:cs="Times New Roman"/>
              </w:rPr>
            </w:pPr>
            <w:proofErr w:type="spellStart"/>
            <w:r w:rsidRPr="004D6B5F">
              <w:rPr>
                <w:rFonts w:ascii="Book Antiqua" w:hAnsi="Book Antiqua" w:cs="Times New Roman"/>
              </w:rPr>
              <w:t>Belanja</w:t>
            </w:r>
            <w:proofErr w:type="spellEnd"/>
            <w:r w:rsidRPr="004D6B5F">
              <w:rPr>
                <w:rFonts w:ascii="Book Antiqua" w:hAnsi="Book Antiqua" w:cs="Times New Roman"/>
              </w:rPr>
              <w:t xml:space="preserve"> Modal</w:t>
            </w:r>
          </w:p>
        </w:tc>
        <w:tc>
          <w:tcPr>
            <w:tcW w:w="1711" w:type="dxa"/>
            <w:tcBorders>
              <w:left w:val="nil"/>
              <w:right w:val="nil"/>
            </w:tcBorders>
          </w:tcPr>
          <w:p w14:paraId="0053B33F"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235.077.626.084</w:t>
            </w:r>
          </w:p>
        </w:tc>
        <w:tc>
          <w:tcPr>
            <w:tcW w:w="1362" w:type="dxa"/>
            <w:tcBorders>
              <w:left w:val="nil"/>
              <w:right w:val="nil"/>
            </w:tcBorders>
          </w:tcPr>
          <w:p w14:paraId="261023A6" w14:textId="77777777" w:rsidR="004D6B5F" w:rsidRPr="004D6B5F" w:rsidRDefault="004D6B5F" w:rsidP="00FE4891">
            <w:pPr>
              <w:jc w:val="center"/>
              <w:rPr>
                <w:rFonts w:ascii="Book Antiqua" w:hAnsi="Book Antiqua" w:cs="Times New Roman"/>
              </w:rPr>
            </w:pPr>
          </w:p>
        </w:tc>
        <w:tc>
          <w:tcPr>
            <w:tcW w:w="1512" w:type="dxa"/>
            <w:tcBorders>
              <w:left w:val="nil"/>
              <w:right w:val="nil"/>
            </w:tcBorders>
          </w:tcPr>
          <w:p w14:paraId="54344DC7"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132.438.482.854</w:t>
            </w:r>
          </w:p>
        </w:tc>
        <w:tc>
          <w:tcPr>
            <w:tcW w:w="1672" w:type="dxa"/>
            <w:tcBorders>
              <w:left w:val="nil"/>
            </w:tcBorders>
          </w:tcPr>
          <w:p w14:paraId="7598B58A" w14:textId="77777777" w:rsidR="004D6B5F" w:rsidRPr="004D6B5F" w:rsidRDefault="004D6B5F" w:rsidP="00FE4891">
            <w:pPr>
              <w:jc w:val="center"/>
              <w:rPr>
                <w:rFonts w:ascii="Book Antiqua" w:hAnsi="Book Antiqua" w:cs="Times New Roman"/>
              </w:rPr>
            </w:pPr>
            <w:r w:rsidRPr="004D6B5F">
              <w:rPr>
                <w:rFonts w:ascii="Book Antiqua" w:hAnsi="Book Antiqua" w:cs="Times New Roman"/>
              </w:rPr>
              <w:t>102.639.143.229</w:t>
            </w:r>
          </w:p>
        </w:tc>
      </w:tr>
    </w:tbl>
    <w:p w14:paraId="7CC6CB28" w14:textId="4E844BE3" w:rsidR="004D6B5F" w:rsidRPr="00FD0033" w:rsidRDefault="004D6B5F" w:rsidP="004D6B5F">
      <w:pPr>
        <w:spacing w:after="0" w:line="276" w:lineRule="auto"/>
        <w:rPr>
          <w:rFonts w:ascii="Book Antiqua" w:hAnsi="Book Antiqua"/>
          <w:szCs w:val="20"/>
        </w:rPr>
      </w:pPr>
      <w:r w:rsidRPr="004D6B5F">
        <w:rPr>
          <w:rFonts w:ascii="Book Antiqua" w:hAnsi="Book Antiqua"/>
          <w:szCs w:val="20"/>
        </w:rPr>
        <w:t>Source: Collected from various sources</w:t>
      </w:r>
    </w:p>
    <w:p w14:paraId="2A62BF83" w14:textId="77777777" w:rsidR="007E5484" w:rsidRDefault="007E5484" w:rsidP="007E5484">
      <w:pPr>
        <w:spacing w:after="0" w:line="276" w:lineRule="auto"/>
        <w:jc w:val="both"/>
        <w:rPr>
          <w:rFonts w:ascii="Book Antiqua" w:hAnsi="Book Antiqua"/>
          <w:szCs w:val="20"/>
        </w:rPr>
      </w:pPr>
    </w:p>
    <w:p w14:paraId="1450511B" w14:textId="77777777" w:rsidR="00FD0033" w:rsidRPr="00FD0033" w:rsidRDefault="00FD0033" w:rsidP="00FE7AD7">
      <w:pPr>
        <w:spacing w:after="0" w:line="276" w:lineRule="auto"/>
        <w:ind w:firstLine="720"/>
        <w:jc w:val="both"/>
        <w:rPr>
          <w:rFonts w:ascii="Book Antiqua" w:hAnsi="Book Antiqua"/>
          <w:szCs w:val="20"/>
        </w:rPr>
      </w:pPr>
      <w:r w:rsidRPr="00FD0033">
        <w:rPr>
          <w:rFonts w:ascii="Book Antiqua" w:hAnsi="Book Antiqua"/>
          <w:szCs w:val="20"/>
        </w:rPr>
        <w:t>After the COVID-19 pandemic, the government continues to strive to restore the socioeconomic situation of society in Indonesia (</w:t>
      </w:r>
      <w:proofErr w:type="spellStart"/>
      <w:r w:rsidRPr="00FD0033">
        <w:rPr>
          <w:rFonts w:ascii="Book Antiqua" w:hAnsi="Book Antiqua"/>
          <w:szCs w:val="20"/>
        </w:rPr>
        <w:t>Atmojo</w:t>
      </w:r>
      <w:proofErr w:type="spellEnd"/>
      <w:r w:rsidRPr="00FD0033">
        <w:rPr>
          <w:rFonts w:ascii="Book Antiqua" w:hAnsi="Book Antiqua"/>
          <w:szCs w:val="20"/>
        </w:rPr>
        <w:t xml:space="preserve"> &amp; </w:t>
      </w:r>
      <w:proofErr w:type="spellStart"/>
      <w:r w:rsidRPr="00FD0033">
        <w:rPr>
          <w:rFonts w:ascii="Book Antiqua" w:hAnsi="Book Antiqua"/>
          <w:szCs w:val="20"/>
        </w:rPr>
        <w:t>Pratiwi</w:t>
      </w:r>
      <w:proofErr w:type="spellEnd"/>
      <w:r w:rsidRPr="00FD0033">
        <w:rPr>
          <w:rFonts w:ascii="Book Antiqua" w:hAnsi="Book Antiqua"/>
          <w:szCs w:val="20"/>
        </w:rPr>
        <w:t xml:space="preserve">, 2022; </w:t>
      </w:r>
      <w:proofErr w:type="spellStart"/>
      <w:r w:rsidRPr="00FD0033">
        <w:rPr>
          <w:rFonts w:ascii="Book Antiqua" w:hAnsi="Book Antiqua"/>
          <w:szCs w:val="20"/>
        </w:rPr>
        <w:t>Puspitasari</w:t>
      </w:r>
      <w:proofErr w:type="spellEnd"/>
      <w:r w:rsidRPr="00FD0033">
        <w:rPr>
          <w:rFonts w:ascii="Book Antiqua" w:hAnsi="Book Antiqua"/>
          <w:szCs w:val="20"/>
        </w:rPr>
        <w:t xml:space="preserve"> </w:t>
      </w:r>
      <w:proofErr w:type="spellStart"/>
      <w:r w:rsidRPr="00FD0033">
        <w:rPr>
          <w:rFonts w:ascii="Book Antiqua" w:hAnsi="Book Antiqua"/>
          <w:szCs w:val="20"/>
        </w:rPr>
        <w:t>Gobel</w:t>
      </w:r>
      <w:proofErr w:type="spellEnd"/>
      <w:r w:rsidRPr="00FD0033">
        <w:rPr>
          <w:rFonts w:ascii="Book Antiqua" w:hAnsi="Book Antiqua"/>
          <w:szCs w:val="20"/>
        </w:rPr>
        <w:t xml:space="preserve">, 2020) through various policy schemes, including health care, strengthening economic recovery and protecting the community. This social protection policy scheme was launched to increase affected communities' social </w:t>
      </w:r>
      <w:r w:rsidRPr="00FD0033">
        <w:rPr>
          <w:rFonts w:ascii="Book Antiqua" w:hAnsi="Book Antiqua"/>
          <w:szCs w:val="20"/>
        </w:rPr>
        <w:lastRenderedPageBreak/>
        <w:t>resilience and restore the post-pandemic economic situation (</w:t>
      </w:r>
      <w:proofErr w:type="spellStart"/>
      <w:r w:rsidRPr="00FD0033">
        <w:rPr>
          <w:rFonts w:ascii="Book Antiqua" w:hAnsi="Book Antiqua"/>
          <w:szCs w:val="20"/>
        </w:rPr>
        <w:t>Laksana</w:t>
      </w:r>
      <w:proofErr w:type="spellEnd"/>
      <w:r w:rsidRPr="00FD0033">
        <w:rPr>
          <w:rFonts w:ascii="Book Antiqua" w:hAnsi="Book Antiqua"/>
          <w:szCs w:val="20"/>
        </w:rPr>
        <w:t>, 2021). To make this program a success, in 2022, the government will spend around 214.9 trillion APBN, consisting of health care, amounting to IDR 38.4 trillion, then community protection, amounting to IDR 100 trillion, and strengthening economic recovery, amounting to IDR 76.4 trillion (</w:t>
      </w:r>
      <w:proofErr w:type="spellStart"/>
      <w:r w:rsidRPr="00FD0033">
        <w:rPr>
          <w:rFonts w:ascii="Book Antiqua" w:hAnsi="Book Antiqua"/>
          <w:szCs w:val="20"/>
        </w:rPr>
        <w:t>Setkab</w:t>
      </w:r>
      <w:proofErr w:type="spellEnd"/>
      <w:r w:rsidRPr="00FD0033">
        <w:rPr>
          <w:rFonts w:ascii="Book Antiqua" w:hAnsi="Book Antiqua"/>
          <w:szCs w:val="20"/>
        </w:rPr>
        <w:t xml:space="preserve">, 2022). </w:t>
      </w:r>
      <w:proofErr w:type="gramStart"/>
      <w:r w:rsidRPr="00FD0033">
        <w:rPr>
          <w:rFonts w:ascii="Book Antiqua" w:hAnsi="Book Antiqua"/>
          <w:szCs w:val="20"/>
        </w:rPr>
        <w:t>Specifically</w:t>
      </w:r>
      <w:proofErr w:type="gramEnd"/>
      <w:r w:rsidRPr="00FD0033">
        <w:rPr>
          <w:rFonts w:ascii="Book Antiqua" w:hAnsi="Book Antiqua"/>
          <w:szCs w:val="20"/>
        </w:rPr>
        <w:t xml:space="preserve"> for rural communities, policies for economic recovery and increasing social resilience are carried out through community protection schemes, with various programs including direct cash assistance to village funds (BLT-DD). For BLT-DD, the government, through the Ministry of Villages, Development of Disadvantaged Regions and Transmigration, has budgeted 40% of 68 trillion village funds. The BLT-DD program is intended for 74,000 villages throughout Indonesia (</w:t>
      </w:r>
      <w:proofErr w:type="spellStart"/>
      <w:r w:rsidRPr="00FD0033">
        <w:rPr>
          <w:rFonts w:ascii="Book Antiqua" w:hAnsi="Book Antiqua"/>
          <w:szCs w:val="20"/>
        </w:rPr>
        <w:t>Humas</w:t>
      </w:r>
      <w:proofErr w:type="spellEnd"/>
      <w:r w:rsidRPr="00FD0033">
        <w:rPr>
          <w:rFonts w:ascii="Book Antiqua" w:hAnsi="Book Antiqua"/>
          <w:szCs w:val="20"/>
        </w:rPr>
        <w:t>, 2022). The hope is that through the BLT-DD scheme, communities affected by the pandemic can have a safety net that can at least reduce the risk of crisis due to the domino effect of the pandemic.</w:t>
      </w:r>
    </w:p>
    <w:p w14:paraId="684428FC" w14:textId="77777777" w:rsidR="00FD0033" w:rsidRPr="00FD0033" w:rsidRDefault="00FD0033" w:rsidP="00160E2C">
      <w:pPr>
        <w:spacing w:after="0" w:line="276" w:lineRule="auto"/>
        <w:ind w:firstLine="720"/>
        <w:jc w:val="both"/>
        <w:rPr>
          <w:rFonts w:ascii="Book Antiqua" w:hAnsi="Book Antiqua"/>
          <w:szCs w:val="20"/>
        </w:rPr>
      </w:pPr>
      <w:r w:rsidRPr="00FD0033">
        <w:rPr>
          <w:rFonts w:ascii="Book Antiqua" w:hAnsi="Book Antiqua"/>
          <w:szCs w:val="20"/>
        </w:rPr>
        <w:t xml:space="preserve">Unexpectedly, COVID-19 has caused almost all countries, such as Malaysia, the Philippines, Thailand, and Indonesia, to fall into a long-lasting crisis (Kim, 2015; </w:t>
      </w:r>
      <w:proofErr w:type="spellStart"/>
      <w:r w:rsidRPr="00FD0033">
        <w:rPr>
          <w:rFonts w:ascii="Book Antiqua" w:hAnsi="Book Antiqua"/>
          <w:szCs w:val="20"/>
        </w:rPr>
        <w:t>Yuda</w:t>
      </w:r>
      <w:proofErr w:type="spellEnd"/>
      <w:r w:rsidRPr="00FD0033">
        <w:rPr>
          <w:rFonts w:ascii="Book Antiqua" w:hAnsi="Book Antiqua"/>
          <w:szCs w:val="20"/>
        </w:rPr>
        <w:t xml:space="preserve"> et al., 2022). On the bright side, this situation contributes positively to social policy reform in these countries. Indonesia is one of the countries that the COVID-19 pandemic has positively impacted. The COVID-19 pandemic has forced the Indonesian government to expand the reach of social security policy targets. This is the third time in history that social security policies have seen an expansion of beneficiaries since the 1998 crisis, then the 2008 crisis, and finally, the crisis caused by the COVID-19 pandemic. The most extreme positive change can be seen in policy, from a productive and inclusive orientation after being impacted by the crisis due to the pandemic to a protection and development orientation (</w:t>
      </w:r>
      <w:proofErr w:type="spellStart"/>
      <w:r w:rsidRPr="00FD0033">
        <w:rPr>
          <w:rFonts w:ascii="Book Antiqua" w:hAnsi="Book Antiqua"/>
          <w:szCs w:val="20"/>
        </w:rPr>
        <w:t>Yuda</w:t>
      </w:r>
      <w:proofErr w:type="spellEnd"/>
      <w:r w:rsidRPr="00FD0033">
        <w:rPr>
          <w:rFonts w:ascii="Book Antiqua" w:hAnsi="Book Antiqua"/>
          <w:szCs w:val="20"/>
        </w:rPr>
        <w:t xml:space="preserve"> et al., 2021).</w:t>
      </w:r>
    </w:p>
    <w:p w14:paraId="19E543E2" w14:textId="77777777" w:rsidR="00FD0033" w:rsidRPr="00FD0033" w:rsidRDefault="00FD0033" w:rsidP="00160E2C">
      <w:pPr>
        <w:spacing w:after="0" w:line="276" w:lineRule="auto"/>
        <w:ind w:firstLine="720"/>
        <w:jc w:val="both"/>
        <w:rPr>
          <w:rFonts w:ascii="Book Antiqua" w:hAnsi="Book Antiqua"/>
          <w:szCs w:val="20"/>
        </w:rPr>
      </w:pPr>
      <w:r w:rsidRPr="00FD0033">
        <w:rPr>
          <w:rFonts w:ascii="Book Antiqua" w:hAnsi="Book Antiqua"/>
          <w:szCs w:val="20"/>
        </w:rPr>
        <w:t>In the context of the pandemic, the Indonesian government has issued two policy schemes for dealing with the social crisis. First is a social crisis management policy scheme oriented towards protective efforts. This scheme is a crisis management effort that provides a social safety net to communities affected by Covid-19. There are several schemes included in the policy, including the Family Hope Program (PKH), Basic Food Cards, Village Direct Cash Assistance (BLT), Cooking Oil BLT, and BT-PKLWN (Cash Assistance for Street Vendors, Stalls, and Fishermen). The goal is to maintain people's household consumption and spending. Second, a development-oriented policy scheme. This scheme focuses on increasing the abilities and soft skills of affected communities. Some examples are pre-employment programs.</w:t>
      </w:r>
    </w:p>
    <w:p w14:paraId="0B6A0401" w14:textId="77777777" w:rsidR="00FD0033" w:rsidRPr="00FD0033" w:rsidRDefault="00FD0033" w:rsidP="001450C1">
      <w:pPr>
        <w:spacing w:after="0" w:line="276" w:lineRule="auto"/>
        <w:ind w:firstLine="720"/>
        <w:jc w:val="both"/>
        <w:rPr>
          <w:rFonts w:ascii="Book Antiqua" w:hAnsi="Book Antiqua"/>
          <w:szCs w:val="20"/>
        </w:rPr>
      </w:pPr>
      <w:r w:rsidRPr="00FD0033">
        <w:rPr>
          <w:rFonts w:ascii="Book Antiqua" w:hAnsi="Book Antiqua"/>
          <w:szCs w:val="20"/>
        </w:rPr>
        <w:t xml:space="preserve">At the local level, there is no policy scheme intended for social protection for the community. In </w:t>
      </w:r>
      <w:proofErr w:type="spellStart"/>
      <w:r w:rsidRPr="00FD0033">
        <w:rPr>
          <w:rFonts w:ascii="Book Antiqua" w:hAnsi="Book Antiqua"/>
          <w:szCs w:val="20"/>
        </w:rPr>
        <w:t>Sigi</w:t>
      </w:r>
      <w:proofErr w:type="spellEnd"/>
      <w:r w:rsidRPr="00FD0033">
        <w:rPr>
          <w:rFonts w:ascii="Book Antiqua" w:hAnsi="Book Antiqua"/>
          <w:szCs w:val="20"/>
        </w:rPr>
        <w:t xml:space="preserve">, and perhaps in other areas, the social protection policy scheme is still attached to the central program. In the context of </w:t>
      </w:r>
      <w:proofErr w:type="spellStart"/>
      <w:r w:rsidRPr="00FD0033">
        <w:rPr>
          <w:rFonts w:ascii="Book Antiqua" w:hAnsi="Book Antiqua"/>
          <w:szCs w:val="20"/>
        </w:rPr>
        <w:t>Sigi</w:t>
      </w:r>
      <w:proofErr w:type="spellEnd"/>
      <w:r w:rsidRPr="00FD0033">
        <w:rPr>
          <w:rFonts w:ascii="Book Antiqua" w:hAnsi="Book Antiqua"/>
          <w:szCs w:val="20"/>
        </w:rPr>
        <w:t xml:space="preserve"> Rural, many crisis management policy schemes are realized through protective programs. This is direct cash assistance from village funds (BLT-DD). In the field, we found that BLT-DD </w:t>
      </w:r>
      <w:r w:rsidRPr="00FD0033">
        <w:rPr>
          <w:rFonts w:ascii="Book Antiqua" w:hAnsi="Book Antiqua"/>
          <w:szCs w:val="20"/>
        </w:rPr>
        <w:lastRenderedPageBreak/>
        <w:t xml:space="preserve">recipients still needed to be improved. For example, in </w:t>
      </w:r>
      <w:proofErr w:type="spellStart"/>
      <w:r w:rsidRPr="00FD0033">
        <w:rPr>
          <w:rFonts w:ascii="Book Antiqua" w:hAnsi="Book Antiqua"/>
          <w:szCs w:val="20"/>
        </w:rPr>
        <w:t>Kalubula</w:t>
      </w:r>
      <w:proofErr w:type="spellEnd"/>
      <w:r w:rsidRPr="00FD0033">
        <w:rPr>
          <w:rFonts w:ascii="Book Antiqua" w:hAnsi="Book Antiqua"/>
          <w:szCs w:val="20"/>
        </w:rPr>
        <w:t xml:space="preserve"> village, since 2020, the beneficiaries of the BLT-DD program have only been 240 families out of 1,304 existing families, with a budget of IDR 648,000,000. Moreover, every year, it continues to decline. Until 2023, the remaining BLT-DD budget is IDR 277,200,000 for 77 beneficiary families (See Table 4).</w:t>
      </w:r>
    </w:p>
    <w:p w14:paraId="7D28581A" w14:textId="77777777" w:rsidR="00FD0033" w:rsidRPr="00FD0033" w:rsidRDefault="00FD0033" w:rsidP="00FD0033">
      <w:pPr>
        <w:spacing w:after="0" w:line="276" w:lineRule="auto"/>
        <w:ind w:firstLine="851"/>
        <w:jc w:val="both"/>
        <w:rPr>
          <w:rFonts w:ascii="Book Antiqua" w:hAnsi="Book Antiqua"/>
          <w:szCs w:val="20"/>
        </w:rPr>
      </w:pPr>
    </w:p>
    <w:p w14:paraId="0FC8D110" w14:textId="1B222D81" w:rsidR="00FD0033" w:rsidRDefault="00FD0033" w:rsidP="008F697A">
      <w:pPr>
        <w:spacing w:after="0" w:line="276" w:lineRule="auto"/>
        <w:jc w:val="center"/>
        <w:rPr>
          <w:rFonts w:ascii="Book Antiqua" w:hAnsi="Book Antiqua"/>
          <w:szCs w:val="20"/>
        </w:rPr>
      </w:pPr>
      <w:r w:rsidRPr="00FD0033">
        <w:rPr>
          <w:rFonts w:ascii="Book Antiqua" w:hAnsi="Book Antiqua"/>
          <w:szCs w:val="20"/>
        </w:rPr>
        <w:t>Table 4. Realization of BLT-DD Recipients</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53"/>
        <w:gridCol w:w="2784"/>
        <w:gridCol w:w="3226"/>
      </w:tblGrid>
      <w:tr w:rsidR="008F697A" w:rsidRPr="00E33F1B" w14:paraId="399D1651" w14:textId="77777777" w:rsidTr="00FE4891">
        <w:trPr>
          <w:trHeight w:val="263"/>
        </w:trPr>
        <w:tc>
          <w:tcPr>
            <w:tcW w:w="2374" w:type="dxa"/>
            <w:tcBorders>
              <w:right w:val="nil"/>
            </w:tcBorders>
            <w:shd w:val="clear" w:color="auto" w:fill="auto"/>
          </w:tcPr>
          <w:p w14:paraId="412E0FD0" w14:textId="77777777" w:rsidR="008F697A" w:rsidRPr="00E33F1B" w:rsidRDefault="008F697A" w:rsidP="00FE4891">
            <w:pPr>
              <w:spacing w:after="0" w:line="240" w:lineRule="auto"/>
              <w:jc w:val="center"/>
              <w:rPr>
                <w:rFonts w:ascii="Cambria" w:hAnsi="Cambria"/>
                <w:b/>
                <w:bCs/>
                <w:sz w:val="20"/>
                <w:szCs w:val="20"/>
              </w:rPr>
            </w:pPr>
            <w:r w:rsidRPr="00E33F1B">
              <w:rPr>
                <w:rFonts w:ascii="Cambria" w:hAnsi="Cambria"/>
                <w:b/>
                <w:bCs/>
                <w:sz w:val="20"/>
                <w:szCs w:val="20"/>
              </w:rPr>
              <w:t>Year</w:t>
            </w:r>
          </w:p>
        </w:tc>
        <w:tc>
          <w:tcPr>
            <w:tcW w:w="3034" w:type="dxa"/>
            <w:tcBorders>
              <w:left w:val="nil"/>
              <w:right w:val="nil"/>
            </w:tcBorders>
            <w:shd w:val="clear" w:color="auto" w:fill="auto"/>
          </w:tcPr>
          <w:p w14:paraId="1F216AFE" w14:textId="77777777" w:rsidR="008F697A" w:rsidRPr="00E33F1B" w:rsidRDefault="008F697A" w:rsidP="00FE4891">
            <w:pPr>
              <w:spacing w:after="0" w:line="240" w:lineRule="auto"/>
              <w:jc w:val="center"/>
              <w:rPr>
                <w:rFonts w:ascii="Cambria" w:hAnsi="Cambria"/>
                <w:b/>
                <w:bCs/>
                <w:sz w:val="20"/>
                <w:szCs w:val="20"/>
              </w:rPr>
            </w:pPr>
            <w:r w:rsidRPr="00E33F1B">
              <w:rPr>
                <w:rFonts w:ascii="Cambria" w:hAnsi="Cambria"/>
                <w:b/>
                <w:bCs/>
                <w:sz w:val="20"/>
                <w:szCs w:val="20"/>
              </w:rPr>
              <w:t>Recipient</w:t>
            </w:r>
          </w:p>
        </w:tc>
        <w:tc>
          <w:tcPr>
            <w:tcW w:w="3511" w:type="dxa"/>
            <w:tcBorders>
              <w:left w:val="nil"/>
            </w:tcBorders>
            <w:shd w:val="clear" w:color="auto" w:fill="auto"/>
          </w:tcPr>
          <w:p w14:paraId="6012503D" w14:textId="77777777" w:rsidR="008F697A" w:rsidRPr="00E33F1B" w:rsidRDefault="008F697A" w:rsidP="00FE4891">
            <w:pPr>
              <w:spacing w:after="0" w:line="240" w:lineRule="auto"/>
              <w:jc w:val="center"/>
              <w:rPr>
                <w:rFonts w:ascii="Cambria" w:hAnsi="Cambria"/>
                <w:b/>
                <w:bCs/>
                <w:sz w:val="20"/>
                <w:szCs w:val="20"/>
              </w:rPr>
            </w:pPr>
            <w:r w:rsidRPr="00E33F1B">
              <w:rPr>
                <w:rFonts w:ascii="Cambria" w:hAnsi="Cambria"/>
                <w:b/>
                <w:bCs/>
                <w:sz w:val="20"/>
                <w:szCs w:val="20"/>
              </w:rPr>
              <w:t>Budget</w:t>
            </w:r>
          </w:p>
        </w:tc>
      </w:tr>
      <w:tr w:rsidR="008F697A" w:rsidRPr="00E33F1B" w14:paraId="79EC1EA7" w14:textId="77777777" w:rsidTr="00FE4891">
        <w:trPr>
          <w:trHeight w:val="248"/>
        </w:trPr>
        <w:tc>
          <w:tcPr>
            <w:tcW w:w="2374" w:type="dxa"/>
            <w:tcBorders>
              <w:right w:val="nil"/>
            </w:tcBorders>
            <w:shd w:val="clear" w:color="auto" w:fill="auto"/>
          </w:tcPr>
          <w:p w14:paraId="5A6DF951"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2020</w:t>
            </w:r>
          </w:p>
        </w:tc>
        <w:tc>
          <w:tcPr>
            <w:tcW w:w="3034" w:type="dxa"/>
            <w:tcBorders>
              <w:left w:val="nil"/>
              <w:right w:val="nil"/>
            </w:tcBorders>
            <w:shd w:val="clear" w:color="auto" w:fill="auto"/>
          </w:tcPr>
          <w:p w14:paraId="480274BD"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240 KK</w:t>
            </w:r>
          </w:p>
        </w:tc>
        <w:tc>
          <w:tcPr>
            <w:tcW w:w="3511" w:type="dxa"/>
            <w:tcBorders>
              <w:left w:val="nil"/>
            </w:tcBorders>
            <w:shd w:val="clear" w:color="auto" w:fill="auto"/>
          </w:tcPr>
          <w:p w14:paraId="2145481C"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Rp. 648.000.000</w:t>
            </w:r>
          </w:p>
        </w:tc>
      </w:tr>
      <w:tr w:rsidR="008F697A" w:rsidRPr="00E33F1B" w14:paraId="0A317FC0" w14:textId="77777777" w:rsidTr="00FE4891">
        <w:trPr>
          <w:trHeight w:val="263"/>
        </w:trPr>
        <w:tc>
          <w:tcPr>
            <w:tcW w:w="2374" w:type="dxa"/>
            <w:tcBorders>
              <w:right w:val="nil"/>
            </w:tcBorders>
            <w:shd w:val="clear" w:color="auto" w:fill="auto"/>
          </w:tcPr>
          <w:p w14:paraId="7260ED9E"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2021</w:t>
            </w:r>
          </w:p>
        </w:tc>
        <w:tc>
          <w:tcPr>
            <w:tcW w:w="3034" w:type="dxa"/>
            <w:tcBorders>
              <w:left w:val="nil"/>
              <w:right w:val="nil"/>
            </w:tcBorders>
            <w:shd w:val="clear" w:color="auto" w:fill="auto"/>
          </w:tcPr>
          <w:p w14:paraId="0B88B778"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114 KK</w:t>
            </w:r>
          </w:p>
        </w:tc>
        <w:tc>
          <w:tcPr>
            <w:tcW w:w="3511" w:type="dxa"/>
            <w:tcBorders>
              <w:left w:val="nil"/>
            </w:tcBorders>
            <w:shd w:val="clear" w:color="auto" w:fill="auto"/>
          </w:tcPr>
          <w:p w14:paraId="16F32DD2"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Rp. 410.400.000</w:t>
            </w:r>
          </w:p>
        </w:tc>
      </w:tr>
      <w:tr w:rsidR="008F697A" w:rsidRPr="00E33F1B" w14:paraId="7D943110" w14:textId="77777777" w:rsidTr="00FE4891">
        <w:trPr>
          <w:trHeight w:val="248"/>
        </w:trPr>
        <w:tc>
          <w:tcPr>
            <w:tcW w:w="2374" w:type="dxa"/>
            <w:tcBorders>
              <w:right w:val="nil"/>
            </w:tcBorders>
            <w:shd w:val="clear" w:color="auto" w:fill="auto"/>
          </w:tcPr>
          <w:p w14:paraId="27FE8D8B"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2022</w:t>
            </w:r>
          </w:p>
        </w:tc>
        <w:tc>
          <w:tcPr>
            <w:tcW w:w="3034" w:type="dxa"/>
            <w:tcBorders>
              <w:left w:val="nil"/>
              <w:right w:val="nil"/>
            </w:tcBorders>
            <w:shd w:val="clear" w:color="auto" w:fill="auto"/>
          </w:tcPr>
          <w:p w14:paraId="6B88C816"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123 KK</w:t>
            </w:r>
          </w:p>
        </w:tc>
        <w:tc>
          <w:tcPr>
            <w:tcW w:w="3511" w:type="dxa"/>
            <w:tcBorders>
              <w:left w:val="nil"/>
            </w:tcBorders>
            <w:shd w:val="clear" w:color="auto" w:fill="auto"/>
          </w:tcPr>
          <w:p w14:paraId="7970F5D7"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Rp. 442.000.000</w:t>
            </w:r>
          </w:p>
        </w:tc>
      </w:tr>
      <w:tr w:rsidR="008F697A" w:rsidRPr="00E33F1B" w14:paraId="1B3C10B3" w14:textId="77777777" w:rsidTr="00FE4891">
        <w:trPr>
          <w:trHeight w:val="248"/>
        </w:trPr>
        <w:tc>
          <w:tcPr>
            <w:tcW w:w="2374" w:type="dxa"/>
            <w:tcBorders>
              <w:right w:val="nil"/>
            </w:tcBorders>
            <w:shd w:val="clear" w:color="auto" w:fill="auto"/>
          </w:tcPr>
          <w:p w14:paraId="392B2BAC"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2023</w:t>
            </w:r>
          </w:p>
        </w:tc>
        <w:tc>
          <w:tcPr>
            <w:tcW w:w="3034" w:type="dxa"/>
            <w:tcBorders>
              <w:left w:val="nil"/>
              <w:right w:val="nil"/>
            </w:tcBorders>
            <w:shd w:val="clear" w:color="auto" w:fill="auto"/>
          </w:tcPr>
          <w:p w14:paraId="48373EE0"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77 KK</w:t>
            </w:r>
          </w:p>
        </w:tc>
        <w:tc>
          <w:tcPr>
            <w:tcW w:w="3511" w:type="dxa"/>
            <w:tcBorders>
              <w:left w:val="nil"/>
            </w:tcBorders>
            <w:shd w:val="clear" w:color="auto" w:fill="auto"/>
          </w:tcPr>
          <w:p w14:paraId="0A73E59B" w14:textId="77777777" w:rsidR="008F697A" w:rsidRPr="00E33F1B" w:rsidRDefault="008F697A" w:rsidP="00FE4891">
            <w:pPr>
              <w:spacing w:after="0" w:line="240" w:lineRule="auto"/>
              <w:jc w:val="center"/>
              <w:rPr>
                <w:rFonts w:ascii="Cambria" w:hAnsi="Cambria"/>
                <w:sz w:val="20"/>
                <w:szCs w:val="20"/>
              </w:rPr>
            </w:pPr>
            <w:r w:rsidRPr="00E33F1B">
              <w:rPr>
                <w:rFonts w:ascii="Cambria" w:hAnsi="Cambria"/>
                <w:sz w:val="20"/>
                <w:szCs w:val="20"/>
              </w:rPr>
              <w:t>Rp. 277.200.000</w:t>
            </w:r>
          </w:p>
        </w:tc>
      </w:tr>
    </w:tbl>
    <w:p w14:paraId="5C8DB66A" w14:textId="0061C293" w:rsidR="00FD0033" w:rsidRPr="00FD0033" w:rsidRDefault="007C0C7B" w:rsidP="007C0C7B">
      <w:pPr>
        <w:spacing w:after="0" w:line="276" w:lineRule="auto"/>
        <w:jc w:val="both"/>
        <w:rPr>
          <w:rFonts w:ascii="Book Antiqua" w:hAnsi="Book Antiqua"/>
          <w:szCs w:val="20"/>
        </w:rPr>
      </w:pPr>
      <w:r>
        <w:rPr>
          <w:rFonts w:ascii="Book Antiqua" w:hAnsi="Book Antiqua"/>
          <w:szCs w:val="20"/>
        </w:rPr>
        <w:t xml:space="preserve"> </w:t>
      </w:r>
      <w:r w:rsidR="00FD0033" w:rsidRPr="00FD0033">
        <w:rPr>
          <w:rFonts w:ascii="Book Antiqua" w:hAnsi="Book Antiqua"/>
          <w:szCs w:val="20"/>
        </w:rPr>
        <w:t>Source: Interview, 2022</w:t>
      </w:r>
    </w:p>
    <w:p w14:paraId="4D3118B6" w14:textId="77777777" w:rsidR="00FD0033" w:rsidRPr="00FD0033" w:rsidRDefault="00FD0033" w:rsidP="007C0C7B">
      <w:pPr>
        <w:spacing w:after="0" w:line="276" w:lineRule="auto"/>
        <w:ind w:firstLine="720"/>
        <w:jc w:val="both"/>
        <w:rPr>
          <w:rFonts w:ascii="Book Antiqua" w:hAnsi="Book Antiqua"/>
          <w:szCs w:val="20"/>
        </w:rPr>
      </w:pPr>
      <w:r w:rsidRPr="00FD0033">
        <w:rPr>
          <w:rFonts w:ascii="Book Antiqua" w:hAnsi="Book Antiqua"/>
          <w:szCs w:val="20"/>
        </w:rPr>
        <w:t xml:space="preserve">The biggest obstacle almost all regions face when distributing assistance to deal with crises such as COVID-19 is inaccurate recipient data. In the context of </w:t>
      </w:r>
      <w:proofErr w:type="spellStart"/>
      <w:r w:rsidRPr="00FD0033">
        <w:rPr>
          <w:rFonts w:ascii="Book Antiqua" w:hAnsi="Book Antiqua"/>
          <w:szCs w:val="20"/>
        </w:rPr>
        <w:t>Sigi</w:t>
      </w:r>
      <w:proofErr w:type="spellEnd"/>
      <w:r w:rsidRPr="00FD0033">
        <w:rPr>
          <w:rFonts w:ascii="Book Antiqua" w:hAnsi="Book Antiqua"/>
          <w:szCs w:val="20"/>
        </w:rPr>
        <w:t xml:space="preserve">, data issues have become increasingly complicated. As a result of the earthquake, a lot of social and population data has changed significantly. In the case of </w:t>
      </w:r>
      <w:proofErr w:type="spellStart"/>
      <w:r w:rsidRPr="00FD0033">
        <w:rPr>
          <w:rFonts w:ascii="Book Antiqua" w:hAnsi="Book Antiqua"/>
          <w:szCs w:val="20"/>
        </w:rPr>
        <w:t>Madun</w:t>
      </w:r>
      <w:proofErr w:type="spellEnd"/>
      <w:r w:rsidRPr="00FD0033">
        <w:rPr>
          <w:rFonts w:ascii="Book Antiqua" w:hAnsi="Book Antiqua"/>
          <w:szCs w:val="20"/>
        </w:rPr>
        <w:t xml:space="preserve"> (47-year-old male), for example, he is not classified as a BLT-DD recipient. Because according to the village government's criteria, he is still in the capable category (as an entrepreneur). However, after an earthquake, </w:t>
      </w:r>
      <w:proofErr w:type="spellStart"/>
      <w:r w:rsidRPr="00FD0033">
        <w:rPr>
          <w:rFonts w:ascii="Book Antiqua" w:hAnsi="Book Antiqua"/>
          <w:szCs w:val="20"/>
        </w:rPr>
        <w:t>Madun's</w:t>
      </w:r>
      <w:proofErr w:type="spellEnd"/>
      <w:r w:rsidRPr="00FD0033">
        <w:rPr>
          <w:rFonts w:ascii="Book Antiqua" w:hAnsi="Book Antiqua"/>
          <w:szCs w:val="20"/>
        </w:rPr>
        <w:t xml:space="preserve"> business could not operate. This is </w:t>
      </w:r>
      <w:proofErr w:type="spellStart"/>
      <w:r w:rsidRPr="00FD0033">
        <w:rPr>
          <w:rFonts w:ascii="Book Antiqua" w:hAnsi="Book Antiqua"/>
          <w:szCs w:val="20"/>
        </w:rPr>
        <w:t>Madun's</w:t>
      </w:r>
      <w:proofErr w:type="spellEnd"/>
      <w:r w:rsidRPr="00FD0033">
        <w:rPr>
          <w:rFonts w:ascii="Book Antiqua" w:hAnsi="Book Antiqua"/>
          <w:szCs w:val="20"/>
        </w:rPr>
        <w:t xml:space="preserve"> only source of income to support his wife's and three children's needs. Empirically, after the earthquake, </w:t>
      </w:r>
      <w:proofErr w:type="spellStart"/>
      <w:r w:rsidRPr="00FD0033">
        <w:rPr>
          <w:rFonts w:ascii="Book Antiqua" w:hAnsi="Book Antiqua"/>
          <w:szCs w:val="20"/>
        </w:rPr>
        <w:t>Madun</w:t>
      </w:r>
      <w:proofErr w:type="spellEnd"/>
      <w:r w:rsidRPr="00FD0033">
        <w:rPr>
          <w:rFonts w:ascii="Book Antiqua" w:hAnsi="Book Antiqua"/>
          <w:szCs w:val="20"/>
        </w:rPr>
        <w:t xml:space="preserve"> was included in the poor category. However, this database has not changed or has not yet been changed. So, it impacts the implementation of social protection policies during COVID-19. </w:t>
      </w:r>
      <w:proofErr w:type="spellStart"/>
      <w:r w:rsidRPr="00FD0033">
        <w:rPr>
          <w:rFonts w:ascii="Book Antiqua" w:hAnsi="Book Antiqua"/>
          <w:szCs w:val="20"/>
        </w:rPr>
        <w:t>Madun</w:t>
      </w:r>
      <w:proofErr w:type="spellEnd"/>
      <w:r w:rsidRPr="00FD0033">
        <w:rPr>
          <w:rFonts w:ascii="Book Antiqua" w:hAnsi="Book Antiqua"/>
          <w:szCs w:val="20"/>
        </w:rPr>
        <w:t xml:space="preserve"> is not registered as a BLT-DD beneficiary.</w:t>
      </w:r>
    </w:p>
    <w:p w14:paraId="6F8DD4A8" w14:textId="77777777" w:rsidR="00FD0033" w:rsidRPr="00FD0033" w:rsidRDefault="00FD0033" w:rsidP="007C0C7B">
      <w:pPr>
        <w:spacing w:after="0" w:line="276" w:lineRule="auto"/>
        <w:ind w:firstLine="720"/>
        <w:jc w:val="both"/>
        <w:rPr>
          <w:rFonts w:ascii="Book Antiqua" w:hAnsi="Book Antiqua"/>
          <w:szCs w:val="20"/>
        </w:rPr>
      </w:pPr>
      <w:r w:rsidRPr="00FD0033">
        <w:rPr>
          <w:rFonts w:ascii="Book Antiqua" w:hAnsi="Book Antiqua"/>
          <w:szCs w:val="20"/>
        </w:rPr>
        <w:t xml:space="preserve">In </w:t>
      </w:r>
      <w:proofErr w:type="spellStart"/>
      <w:r w:rsidRPr="00FD0033">
        <w:rPr>
          <w:rFonts w:ascii="Book Antiqua" w:hAnsi="Book Antiqua"/>
          <w:szCs w:val="20"/>
        </w:rPr>
        <w:t>Sigi</w:t>
      </w:r>
      <w:proofErr w:type="spellEnd"/>
      <w:r w:rsidRPr="00FD0033">
        <w:rPr>
          <w:rFonts w:ascii="Book Antiqua" w:hAnsi="Book Antiqua"/>
          <w:szCs w:val="20"/>
        </w:rPr>
        <w:t xml:space="preserve">, we saw many cases that resemble </w:t>
      </w:r>
      <w:proofErr w:type="spellStart"/>
      <w:r w:rsidRPr="00FD0033">
        <w:rPr>
          <w:rFonts w:ascii="Book Antiqua" w:hAnsi="Book Antiqua"/>
          <w:szCs w:val="20"/>
        </w:rPr>
        <w:t>Madun's</w:t>
      </w:r>
      <w:proofErr w:type="spellEnd"/>
      <w:r w:rsidRPr="00FD0033">
        <w:rPr>
          <w:rFonts w:ascii="Book Antiqua" w:hAnsi="Book Antiqua"/>
          <w:szCs w:val="20"/>
        </w:rPr>
        <w:t xml:space="preserve"> story. The pattern is the same: Due to the earthquake, people lost their livelihood. Unfortunately, before the data update was finished due to the earthquake, COVID-19 came to attack. This situation makes the government's work even more difficult, especially at the village level. The village government was forced to work twice, restoring the social situation of the community after the 2018 earthquake, and now has to deal with the new crisis caused by COVID-19. Likewise, people like </w:t>
      </w:r>
      <w:proofErr w:type="spellStart"/>
      <w:r w:rsidRPr="00FD0033">
        <w:rPr>
          <w:rFonts w:ascii="Book Antiqua" w:hAnsi="Book Antiqua"/>
          <w:szCs w:val="20"/>
        </w:rPr>
        <w:t>Madun</w:t>
      </w:r>
      <w:proofErr w:type="spellEnd"/>
      <w:r w:rsidRPr="00FD0033">
        <w:rPr>
          <w:rFonts w:ascii="Book Antiqua" w:hAnsi="Book Antiqua"/>
          <w:szCs w:val="20"/>
        </w:rPr>
        <w:t xml:space="preserve"> are being dragged into an increasingly vulnerable position economically. It is true that during COVID-19, there was a social protection policy scheme launched by the central government, which was then distributed by village governments, as discussed in the previous section, namely BLT-DD. However, people like </w:t>
      </w:r>
      <w:proofErr w:type="spellStart"/>
      <w:r w:rsidRPr="00FD0033">
        <w:rPr>
          <w:rFonts w:ascii="Book Antiqua" w:hAnsi="Book Antiqua"/>
          <w:szCs w:val="20"/>
        </w:rPr>
        <w:t>Madun</w:t>
      </w:r>
      <w:proofErr w:type="spellEnd"/>
      <w:r w:rsidRPr="00FD0033">
        <w:rPr>
          <w:rFonts w:ascii="Book Antiqua" w:hAnsi="Book Antiqua"/>
          <w:szCs w:val="20"/>
        </w:rPr>
        <w:t xml:space="preserve"> still have difficulty accessing social protection assistance. </w:t>
      </w:r>
      <w:proofErr w:type="spellStart"/>
      <w:r w:rsidRPr="00FD0033">
        <w:rPr>
          <w:rFonts w:ascii="Book Antiqua" w:hAnsi="Book Antiqua"/>
          <w:szCs w:val="20"/>
        </w:rPr>
        <w:t>Madun's</w:t>
      </w:r>
      <w:proofErr w:type="spellEnd"/>
      <w:r w:rsidRPr="00FD0033">
        <w:rPr>
          <w:rFonts w:ascii="Book Antiqua" w:hAnsi="Book Antiqua"/>
          <w:szCs w:val="20"/>
        </w:rPr>
        <w:t xml:space="preserve"> data still needs to be updated in the social services database as a category eligible for social assistance. Meanwhile, the database used by the government to distribute aid during the pandemic is an old database.</w:t>
      </w:r>
    </w:p>
    <w:p w14:paraId="2F24295E" w14:textId="77777777" w:rsidR="00FD0033" w:rsidRPr="00FD0033" w:rsidRDefault="00FD0033" w:rsidP="009131CB">
      <w:pPr>
        <w:spacing w:after="0" w:line="276" w:lineRule="auto"/>
        <w:ind w:firstLine="720"/>
        <w:jc w:val="both"/>
        <w:rPr>
          <w:rFonts w:ascii="Book Antiqua" w:hAnsi="Book Antiqua"/>
          <w:szCs w:val="20"/>
        </w:rPr>
      </w:pPr>
      <w:r w:rsidRPr="00FD0033">
        <w:rPr>
          <w:rFonts w:ascii="Book Antiqua" w:hAnsi="Book Antiqua"/>
          <w:szCs w:val="20"/>
        </w:rPr>
        <w:lastRenderedPageBreak/>
        <w:t xml:space="preserve">Minimal resources also contributed to limited social security schemes at the local level during the Covid-19 pandemic. On the one hand, in the 2019 fiscal year or the year after the earthquake, there was a significant increase in social spending from before, namely from IDR 2,873,565,300.00 to an increase of IDR 6,550,000,000.00 to IDR 9,423, However, the social spending in question is mainly used to improve various basic service facilities and infrastructure, such as health, education, and government services. This is in line with </w:t>
      </w:r>
      <w:proofErr w:type="spellStart"/>
      <w:r w:rsidRPr="00FD0033">
        <w:rPr>
          <w:rFonts w:ascii="Book Antiqua" w:hAnsi="Book Antiqua"/>
          <w:szCs w:val="20"/>
        </w:rPr>
        <w:t>Sigi's</w:t>
      </w:r>
      <w:proofErr w:type="spellEnd"/>
      <w:r w:rsidRPr="00FD0033">
        <w:rPr>
          <w:rFonts w:ascii="Book Antiqua" w:hAnsi="Book Antiqua"/>
          <w:szCs w:val="20"/>
        </w:rPr>
        <w:t xml:space="preserve"> development orientation in general; since 2019, all regional spending focus has been more oriented toward recovery from the 2018 earthquake.</w:t>
      </w:r>
    </w:p>
    <w:p w14:paraId="1953CA33" w14:textId="77777777" w:rsidR="00FD0033" w:rsidRPr="00FD0033" w:rsidRDefault="00FD0033" w:rsidP="00C11033">
      <w:pPr>
        <w:spacing w:after="0" w:line="276" w:lineRule="auto"/>
        <w:ind w:firstLine="720"/>
        <w:jc w:val="both"/>
        <w:rPr>
          <w:rFonts w:ascii="Book Antiqua" w:hAnsi="Book Antiqua"/>
          <w:szCs w:val="20"/>
        </w:rPr>
      </w:pPr>
      <w:r w:rsidRPr="00FD0033">
        <w:rPr>
          <w:rFonts w:ascii="Book Antiqua" w:hAnsi="Book Antiqua"/>
          <w:szCs w:val="20"/>
        </w:rPr>
        <w:t xml:space="preserve">From the </w:t>
      </w:r>
      <w:proofErr w:type="spellStart"/>
      <w:r w:rsidRPr="00FD0033">
        <w:rPr>
          <w:rFonts w:ascii="Book Antiqua" w:hAnsi="Book Antiqua"/>
          <w:szCs w:val="20"/>
        </w:rPr>
        <w:t>Sigi</w:t>
      </w:r>
      <w:proofErr w:type="spellEnd"/>
      <w:r w:rsidRPr="00FD0033">
        <w:rPr>
          <w:rFonts w:ascii="Book Antiqua" w:hAnsi="Book Antiqua"/>
          <w:szCs w:val="20"/>
        </w:rPr>
        <w:t xml:space="preserve"> case, it can be seen that realizing the distribution of social assistance as a social protection policy scheme during COVID-19 has not been optimal. The reason is that the distribution data used as a benchmark is still old data that must be updated after the 2018 earthquake. For example, in 2023, in </w:t>
      </w:r>
      <w:proofErr w:type="spellStart"/>
      <w:r w:rsidRPr="00FD0033">
        <w:rPr>
          <w:rFonts w:ascii="Book Antiqua" w:hAnsi="Book Antiqua"/>
          <w:szCs w:val="20"/>
        </w:rPr>
        <w:t>Kalubula</w:t>
      </w:r>
      <w:proofErr w:type="spellEnd"/>
      <w:r w:rsidRPr="00FD0033">
        <w:rPr>
          <w:rFonts w:ascii="Book Antiqua" w:hAnsi="Book Antiqua"/>
          <w:szCs w:val="20"/>
        </w:rPr>
        <w:t xml:space="preserve"> village, with a population of 4,408 people, only around 77 families will receive BLT-DD. Apart from the problem of data not being updated after the 2018 earthquake, regional financial conditions, especially after the earthquake, have yet to be stable. Nearly all of its resources are focused on recovery efforts. Meanwhile, spending on other unexpected activities, including COVID-19, was utterly unexpected by the government at the local level. This has also exacerbated the need for more implementation of social protection policies during COVID-19 in </w:t>
      </w:r>
      <w:proofErr w:type="spellStart"/>
      <w:r w:rsidRPr="00FD0033">
        <w:rPr>
          <w:rFonts w:ascii="Book Antiqua" w:hAnsi="Book Antiqua"/>
          <w:szCs w:val="20"/>
        </w:rPr>
        <w:t>Sigi</w:t>
      </w:r>
      <w:proofErr w:type="spellEnd"/>
      <w:r w:rsidRPr="00FD0033">
        <w:rPr>
          <w:rFonts w:ascii="Book Antiqua" w:hAnsi="Book Antiqua"/>
          <w:szCs w:val="20"/>
        </w:rPr>
        <w:t>.</w:t>
      </w:r>
    </w:p>
    <w:p w14:paraId="6F0D0043" w14:textId="77777777" w:rsidR="00FD0033" w:rsidRPr="00B438E1" w:rsidRDefault="00FD0033" w:rsidP="00B438E1">
      <w:pPr>
        <w:spacing w:after="0" w:line="276" w:lineRule="auto"/>
        <w:jc w:val="both"/>
        <w:rPr>
          <w:rFonts w:ascii="Book Antiqua" w:hAnsi="Book Antiqua"/>
          <w:b/>
          <w:bCs/>
          <w:i/>
          <w:iCs/>
          <w:szCs w:val="20"/>
        </w:rPr>
      </w:pPr>
      <w:r w:rsidRPr="00B438E1">
        <w:rPr>
          <w:rFonts w:ascii="Book Antiqua" w:hAnsi="Book Antiqua"/>
          <w:b/>
          <w:bCs/>
          <w:i/>
          <w:iCs/>
          <w:szCs w:val="20"/>
        </w:rPr>
        <w:t>Voluntary Mobilization and Political Participation from the Grassroots</w:t>
      </w:r>
    </w:p>
    <w:p w14:paraId="241DD71E" w14:textId="77777777" w:rsidR="00FD0033" w:rsidRPr="00FD0033" w:rsidRDefault="00FD0033" w:rsidP="00B438E1">
      <w:pPr>
        <w:spacing w:after="0" w:line="276" w:lineRule="auto"/>
        <w:ind w:firstLine="720"/>
        <w:jc w:val="both"/>
        <w:rPr>
          <w:rFonts w:ascii="Book Antiqua" w:hAnsi="Book Antiqua"/>
          <w:szCs w:val="20"/>
        </w:rPr>
      </w:pPr>
      <w:r w:rsidRPr="00FD0033">
        <w:rPr>
          <w:rFonts w:ascii="Book Antiqua" w:hAnsi="Book Antiqua"/>
          <w:szCs w:val="20"/>
        </w:rPr>
        <w:t xml:space="preserve">From the cases we studied in </w:t>
      </w:r>
      <w:proofErr w:type="spellStart"/>
      <w:r w:rsidRPr="00FD0033">
        <w:rPr>
          <w:rFonts w:ascii="Book Antiqua" w:hAnsi="Book Antiqua"/>
          <w:szCs w:val="20"/>
        </w:rPr>
        <w:t>Sigi</w:t>
      </w:r>
      <w:proofErr w:type="spellEnd"/>
      <w:r w:rsidRPr="00FD0033">
        <w:rPr>
          <w:rFonts w:ascii="Book Antiqua" w:hAnsi="Book Antiqua"/>
          <w:szCs w:val="20"/>
        </w:rPr>
        <w:t xml:space="preserve">, the limited distribution of social assistance was caused by inaccurate social and population data after the 2018 earthquake, exacerbated by the limited APBD resources. As a result, the </w:t>
      </w:r>
      <w:proofErr w:type="spellStart"/>
      <w:r w:rsidRPr="00FD0033">
        <w:rPr>
          <w:rFonts w:ascii="Book Antiqua" w:hAnsi="Book Antiqua"/>
          <w:szCs w:val="20"/>
        </w:rPr>
        <w:t>Sigi</w:t>
      </w:r>
      <w:proofErr w:type="spellEnd"/>
      <w:r w:rsidRPr="00FD0033">
        <w:rPr>
          <w:rFonts w:ascii="Book Antiqua" w:hAnsi="Book Antiqua"/>
          <w:szCs w:val="20"/>
        </w:rPr>
        <w:t xml:space="preserve"> government's role could have been more optimal in realizing the implementation of crisis management policies during the pandemic in </w:t>
      </w:r>
      <w:proofErr w:type="spellStart"/>
      <w:r w:rsidRPr="00FD0033">
        <w:rPr>
          <w:rFonts w:ascii="Book Antiqua" w:hAnsi="Book Antiqua"/>
          <w:szCs w:val="20"/>
        </w:rPr>
        <w:t>Sigi</w:t>
      </w:r>
      <w:proofErr w:type="spellEnd"/>
      <w:r w:rsidRPr="00FD0033">
        <w:rPr>
          <w:rFonts w:ascii="Book Antiqua" w:hAnsi="Book Antiqua"/>
          <w:szCs w:val="20"/>
        </w:rPr>
        <w:t xml:space="preserve">. This non-optimality then gave rise to a response from the grassroots community. There is a grassroots movement that fills the void left by the government in assisting the community (Frey, 2020). In </w:t>
      </w:r>
      <w:proofErr w:type="spellStart"/>
      <w:r w:rsidRPr="00FD0033">
        <w:rPr>
          <w:rFonts w:ascii="Book Antiqua" w:hAnsi="Book Antiqua"/>
          <w:szCs w:val="20"/>
        </w:rPr>
        <w:t>Sigi</w:t>
      </w:r>
      <w:proofErr w:type="spellEnd"/>
      <w:r w:rsidRPr="00FD0033">
        <w:rPr>
          <w:rFonts w:ascii="Book Antiqua" w:hAnsi="Book Antiqua"/>
          <w:szCs w:val="20"/>
        </w:rPr>
        <w:t xml:space="preserve">, we portray this grassroots movement in two forms. First, grassroots food donations were initiated by individuals using women's networks, namely helping neighbors from the kitchen; secondly, a grassroots movement driven by the community, with the name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(Friends et al.) movement.</w:t>
      </w:r>
    </w:p>
    <w:p w14:paraId="27D24CB4" w14:textId="77777777" w:rsidR="00FD0033" w:rsidRPr="00FD0033" w:rsidRDefault="00FD0033" w:rsidP="00B438E1">
      <w:pPr>
        <w:spacing w:after="0" w:line="276" w:lineRule="auto"/>
        <w:ind w:firstLine="720"/>
        <w:jc w:val="both"/>
        <w:rPr>
          <w:rFonts w:ascii="Book Antiqua" w:hAnsi="Book Antiqua"/>
          <w:szCs w:val="20"/>
        </w:rPr>
      </w:pPr>
      <w:r w:rsidRPr="00FD0033">
        <w:rPr>
          <w:rFonts w:ascii="Book Antiqua" w:hAnsi="Book Antiqua"/>
          <w:szCs w:val="20"/>
        </w:rPr>
        <w:t xml:space="preserve">This kind of solidarity movement has been found in many places in Indonesia. Several scholars have seen that this kind of movement thrives because of Indonesia's strong cultural ties and social capital (Park, 2010; </w:t>
      </w:r>
      <w:proofErr w:type="spellStart"/>
      <w:r w:rsidRPr="00FD0033">
        <w:rPr>
          <w:rFonts w:ascii="Book Antiqua" w:hAnsi="Book Antiqua"/>
          <w:szCs w:val="20"/>
        </w:rPr>
        <w:t>Suseno</w:t>
      </w:r>
      <w:proofErr w:type="spellEnd"/>
      <w:r w:rsidRPr="00FD0033">
        <w:rPr>
          <w:rFonts w:ascii="Book Antiqua" w:hAnsi="Book Antiqua"/>
          <w:szCs w:val="20"/>
        </w:rPr>
        <w:t xml:space="preserve">, 2018; </w:t>
      </w:r>
      <w:proofErr w:type="spellStart"/>
      <w:r w:rsidRPr="00FD0033">
        <w:rPr>
          <w:rFonts w:ascii="Book Antiqua" w:hAnsi="Book Antiqua"/>
          <w:szCs w:val="20"/>
        </w:rPr>
        <w:t>Suseno</w:t>
      </w:r>
      <w:proofErr w:type="spellEnd"/>
      <w:r w:rsidRPr="00FD0033">
        <w:rPr>
          <w:rFonts w:ascii="Book Antiqua" w:hAnsi="Book Antiqua"/>
          <w:szCs w:val="20"/>
        </w:rPr>
        <w:t xml:space="preserve"> &amp; Rowley, 2018; Yamazaki et al., 2018; </w:t>
      </w:r>
      <w:proofErr w:type="spellStart"/>
      <w:r w:rsidRPr="00FD0033">
        <w:rPr>
          <w:rFonts w:ascii="Book Antiqua" w:hAnsi="Book Antiqua"/>
          <w:szCs w:val="20"/>
        </w:rPr>
        <w:t>Yuda</w:t>
      </w:r>
      <w:proofErr w:type="spellEnd"/>
      <w:r w:rsidRPr="00FD0033">
        <w:rPr>
          <w:rFonts w:ascii="Book Antiqua" w:hAnsi="Book Antiqua"/>
          <w:szCs w:val="20"/>
        </w:rPr>
        <w:t xml:space="preserve"> et al., </w:t>
      </w:r>
      <w:proofErr w:type="gramStart"/>
      <w:r w:rsidRPr="00FD0033">
        <w:rPr>
          <w:rFonts w:ascii="Book Antiqua" w:hAnsi="Book Antiqua"/>
          <w:szCs w:val="20"/>
        </w:rPr>
        <w:t>2021 )</w:t>
      </w:r>
      <w:proofErr w:type="gramEnd"/>
      <w:r w:rsidRPr="00FD0033">
        <w:rPr>
          <w:rFonts w:ascii="Book Antiqua" w:hAnsi="Book Antiqua"/>
          <w:szCs w:val="20"/>
        </w:rPr>
        <w:t>. When a crisis occurs, such as a natural disaster or COVID-19, cultural ties and social capital will be reproduced into political encouragement to help each other (</w:t>
      </w:r>
      <w:proofErr w:type="spellStart"/>
      <w:r w:rsidRPr="00FD0033">
        <w:rPr>
          <w:rFonts w:ascii="Book Antiqua" w:hAnsi="Book Antiqua"/>
          <w:szCs w:val="20"/>
        </w:rPr>
        <w:t>Dokhi</w:t>
      </w:r>
      <w:proofErr w:type="spellEnd"/>
      <w:r w:rsidRPr="00FD0033">
        <w:rPr>
          <w:rFonts w:ascii="Book Antiqua" w:hAnsi="Book Antiqua"/>
          <w:szCs w:val="20"/>
        </w:rPr>
        <w:t xml:space="preserve"> et al., 2017; </w:t>
      </w:r>
      <w:proofErr w:type="spellStart"/>
      <w:r w:rsidRPr="00FD0033">
        <w:rPr>
          <w:rFonts w:ascii="Book Antiqua" w:hAnsi="Book Antiqua"/>
          <w:szCs w:val="20"/>
        </w:rPr>
        <w:t>Muzayanah</w:t>
      </w:r>
      <w:proofErr w:type="spellEnd"/>
      <w:r w:rsidRPr="00FD0033">
        <w:rPr>
          <w:rFonts w:ascii="Book Antiqua" w:hAnsi="Book Antiqua"/>
          <w:szCs w:val="20"/>
        </w:rPr>
        <w:t xml:space="preserve"> et al., 2020), usually with a narrative of "cooperation" (</w:t>
      </w:r>
      <w:proofErr w:type="spellStart"/>
      <w:r w:rsidRPr="00FD0033">
        <w:rPr>
          <w:rFonts w:ascii="Book Antiqua" w:hAnsi="Book Antiqua"/>
          <w:szCs w:val="20"/>
        </w:rPr>
        <w:t>Lukiyanto</w:t>
      </w:r>
      <w:proofErr w:type="spellEnd"/>
      <w:r w:rsidRPr="00FD0033">
        <w:rPr>
          <w:rFonts w:ascii="Book Antiqua" w:hAnsi="Book Antiqua"/>
          <w:szCs w:val="20"/>
        </w:rPr>
        <w:t xml:space="preserve"> &amp; </w:t>
      </w:r>
      <w:proofErr w:type="spellStart"/>
      <w:r w:rsidRPr="00FD0033">
        <w:rPr>
          <w:rFonts w:ascii="Book Antiqua" w:hAnsi="Book Antiqua"/>
          <w:szCs w:val="20"/>
        </w:rPr>
        <w:t>Wijayaningtyas</w:t>
      </w:r>
      <w:proofErr w:type="spellEnd"/>
      <w:r w:rsidRPr="00FD0033">
        <w:rPr>
          <w:rFonts w:ascii="Book Antiqua" w:hAnsi="Book Antiqua"/>
          <w:szCs w:val="20"/>
        </w:rPr>
        <w:t xml:space="preserve">, 2020; </w:t>
      </w:r>
      <w:proofErr w:type="spellStart"/>
      <w:r w:rsidRPr="00FD0033">
        <w:rPr>
          <w:rFonts w:ascii="Book Antiqua" w:hAnsi="Book Antiqua"/>
          <w:szCs w:val="20"/>
        </w:rPr>
        <w:t>Prabawani</w:t>
      </w:r>
      <w:proofErr w:type="spellEnd"/>
      <w:r w:rsidRPr="00FD0033">
        <w:rPr>
          <w:rFonts w:ascii="Book Antiqua" w:hAnsi="Book Antiqua"/>
          <w:szCs w:val="20"/>
        </w:rPr>
        <w:t xml:space="preserve"> et al., </w:t>
      </w:r>
      <w:r w:rsidRPr="00FD0033">
        <w:rPr>
          <w:rFonts w:ascii="Book Antiqua" w:hAnsi="Book Antiqua"/>
          <w:szCs w:val="20"/>
        </w:rPr>
        <w:lastRenderedPageBreak/>
        <w:t>2019). On the other hand, the durability of this kind of movement is still a question. Some scholars see that movements like this are effortless to emerge but also very fragile. The movement is very textual. It sticks to issues and will likely disappear quickly (Mercer, 2002; Srinivas, 2009).</w:t>
      </w:r>
    </w:p>
    <w:p w14:paraId="49D54EB6" w14:textId="77777777" w:rsidR="00FD0033" w:rsidRPr="00FD0033" w:rsidRDefault="00FD0033" w:rsidP="00572BDA">
      <w:pPr>
        <w:spacing w:after="0" w:line="276" w:lineRule="auto"/>
        <w:ind w:firstLine="720"/>
        <w:jc w:val="both"/>
        <w:rPr>
          <w:rFonts w:ascii="Book Antiqua" w:hAnsi="Book Antiqua"/>
          <w:szCs w:val="20"/>
        </w:rPr>
      </w:pPr>
      <w:r w:rsidRPr="00FD0033">
        <w:rPr>
          <w:rFonts w:ascii="Book Antiqua" w:hAnsi="Book Antiqua"/>
          <w:szCs w:val="20"/>
        </w:rPr>
        <w:t xml:space="preserve">We also confirm the conclusions of scholars who highlight the resilience of the road, guard the road, and help residents from the kitchen. Our observation is that this movement has a relatively short life. To help residents from the kitchen only takes two to three months, while housekeeping takes longer, approaching one year. In short, after the pandemic ended, this movement also sank. This movement is still active except for a few exceptions, such as </w:t>
      </w:r>
      <w:proofErr w:type="spellStart"/>
      <w:r w:rsidRPr="00FD0033">
        <w:rPr>
          <w:rFonts w:ascii="Book Antiqua" w:hAnsi="Book Antiqua"/>
          <w:szCs w:val="20"/>
        </w:rPr>
        <w:t>Roa</w:t>
      </w:r>
      <w:proofErr w:type="spellEnd"/>
      <w:r w:rsidRPr="00FD0033">
        <w:rPr>
          <w:rFonts w:ascii="Book Antiqua" w:hAnsi="Book Antiqua"/>
          <w:szCs w:val="20"/>
        </w:rPr>
        <w:t xml:space="preserve"> </w:t>
      </w:r>
      <w:proofErr w:type="spellStart"/>
      <w:r w:rsidRPr="00FD0033">
        <w:rPr>
          <w:rFonts w:ascii="Book Antiqua" w:hAnsi="Book Antiqua"/>
          <w:szCs w:val="20"/>
        </w:rPr>
        <w:t>jaga</w:t>
      </w:r>
      <w:proofErr w:type="spellEnd"/>
      <w:r w:rsidRPr="00FD0033">
        <w:rPr>
          <w:rFonts w:ascii="Book Antiqua" w:hAnsi="Book Antiqua"/>
          <w:szCs w:val="20"/>
        </w:rPr>
        <w:t xml:space="preserve"> </w:t>
      </w:r>
      <w:proofErr w:type="spellStart"/>
      <w:r w:rsidRPr="00FD0033">
        <w:rPr>
          <w:rFonts w:ascii="Book Antiqua" w:hAnsi="Book Antiqua"/>
          <w:szCs w:val="20"/>
        </w:rPr>
        <w:t>roa</w:t>
      </w:r>
      <w:proofErr w:type="spellEnd"/>
      <w:r w:rsidRPr="00FD0033">
        <w:rPr>
          <w:rFonts w:ascii="Book Antiqua" w:hAnsi="Book Antiqua"/>
          <w:szCs w:val="20"/>
        </w:rPr>
        <w:t xml:space="preserve"> due to situational conditions such as flooding. However, on a scale that is not too large, </w:t>
      </w:r>
      <w:proofErr w:type="gramStart"/>
      <w:r w:rsidRPr="00FD0033">
        <w:rPr>
          <w:rFonts w:ascii="Book Antiqua" w:hAnsi="Book Antiqua"/>
          <w:szCs w:val="20"/>
        </w:rPr>
        <w:t>For</w:t>
      </w:r>
      <w:proofErr w:type="gramEnd"/>
      <w:r w:rsidRPr="00FD0033">
        <w:rPr>
          <w:rFonts w:ascii="Book Antiqua" w:hAnsi="Book Antiqua"/>
          <w:szCs w:val="20"/>
        </w:rPr>
        <w:t xml:space="preserve"> example, just collecting donations and distributing aid to flood victims.</w:t>
      </w:r>
    </w:p>
    <w:p w14:paraId="122CECA7" w14:textId="77777777" w:rsidR="00FD0033" w:rsidRPr="005B622A" w:rsidRDefault="00FD0033" w:rsidP="005B622A">
      <w:pPr>
        <w:spacing w:after="0" w:line="276" w:lineRule="auto"/>
        <w:jc w:val="both"/>
        <w:rPr>
          <w:rFonts w:ascii="Book Antiqua" w:hAnsi="Book Antiqua"/>
          <w:b/>
          <w:bCs/>
          <w:i/>
          <w:iCs/>
          <w:szCs w:val="20"/>
        </w:rPr>
      </w:pPr>
      <w:r w:rsidRPr="005B622A">
        <w:rPr>
          <w:rFonts w:ascii="Book Antiqua" w:hAnsi="Book Antiqua"/>
          <w:b/>
          <w:bCs/>
          <w:i/>
          <w:iCs/>
          <w:szCs w:val="20"/>
        </w:rPr>
        <w:t xml:space="preserve">Food Donation: Helping Neighbors </w:t>
      </w:r>
      <w:proofErr w:type="gramStart"/>
      <w:r w:rsidRPr="005B622A">
        <w:rPr>
          <w:rFonts w:ascii="Book Antiqua" w:hAnsi="Book Antiqua"/>
          <w:b/>
          <w:bCs/>
          <w:i/>
          <w:iCs/>
          <w:szCs w:val="20"/>
        </w:rPr>
        <w:t>From</w:t>
      </w:r>
      <w:proofErr w:type="gramEnd"/>
      <w:r w:rsidRPr="005B622A">
        <w:rPr>
          <w:rFonts w:ascii="Book Antiqua" w:hAnsi="Book Antiqua"/>
          <w:b/>
          <w:bCs/>
          <w:i/>
          <w:iCs/>
          <w:szCs w:val="20"/>
        </w:rPr>
        <w:t xml:space="preserve"> the Kitchen</w:t>
      </w:r>
    </w:p>
    <w:p w14:paraId="1787BCB9" w14:textId="77777777" w:rsidR="00FD0033" w:rsidRPr="00FD0033" w:rsidRDefault="00FD0033" w:rsidP="005B622A">
      <w:pPr>
        <w:spacing w:after="0" w:line="276" w:lineRule="auto"/>
        <w:ind w:firstLine="720"/>
        <w:jc w:val="both"/>
        <w:rPr>
          <w:rFonts w:ascii="Book Antiqua" w:hAnsi="Book Antiqua"/>
          <w:szCs w:val="20"/>
        </w:rPr>
      </w:pPr>
      <w:r w:rsidRPr="00FD0033">
        <w:rPr>
          <w:rFonts w:ascii="Book Antiqua" w:hAnsi="Book Antiqua"/>
          <w:szCs w:val="20"/>
        </w:rPr>
        <w:t xml:space="preserve">Helping Neighbors from the Kitchen is a grassroots solidarity movement that utilizes women's networks at the RT level in </w:t>
      </w:r>
      <w:proofErr w:type="spellStart"/>
      <w:r w:rsidRPr="00FD0033">
        <w:rPr>
          <w:rFonts w:ascii="Book Antiqua" w:hAnsi="Book Antiqua"/>
          <w:szCs w:val="20"/>
        </w:rPr>
        <w:t>Kalubula</w:t>
      </w:r>
      <w:proofErr w:type="spellEnd"/>
      <w:r w:rsidRPr="00FD0033">
        <w:rPr>
          <w:rFonts w:ascii="Book Antiqua" w:hAnsi="Book Antiqua"/>
          <w:szCs w:val="20"/>
        </w:rPr>
        <w:t xml:space="preserve">. This movement aims to collect donations in the form of food from residents voluntarily. Food donations will be handed over to self-isolating residents suspected of being infected with COVID-19. This movement was formed around February 2022. At that time, </w:t>
      </w:r>
      <w:proofErr w:type="spellStart"/>
      <w:r w:rsidRPr="00FD0033">
        <w:rPr>
          <w:rFonts w:ascii="Book Antiqua" w:hAnsi="Book Antiqua"/>
          <w:szCs w:val="20"/>
        </w:rPr>
        <w:t>Isoma</w:t>
      </w:r>
      <w:proofErr w:type="spellEnd"/>
      <w:r w:rsidRPr="00FD0033">
        <w:rPr>
          <w:rFonts w:ascii="Book Antiqua" w:hAnsi="Book Antiqua"/>
          <w:szCs w:val="20"/>
        </w:rPr>
        <w:t xml:space="preserve">, due to COVID-19, was very high in </w:t>
      </w:r>
      <w:proofErr w:type="spellStart"/>
      <w:r w:rsidRPr="00FD0033">
        <w:rPr>
          <w:rFonts w:ascii="Book Antiqua" w:hAnsi="Book Antiqua"/>
          <w:szCs w:val="20"/>
        </w:rPr>
        <w:t>Sigi</w:t>
      </w:r>
      <w:proofErr w:type="spellEnd"/>
      <w:r w:rsidRPr="00FD0033">
        <w:rPr>
          <w:rFonts w:ascii="Book Antiqua" w:hAnsi="Book Antiqua"/>
          <w:szCs w:val="20"/>
        </w:rPr>
        <w:t xml:space="preserve">. This movement was first initiated by </w:t>
      </w:r>
      <w:proofErr w:type="spellStart"/>
      <w:r w:rsidRPr="00FD0033">
        <w:rPr>
          <w:rFonts w:ascii="Book Antiqua" w:hAnsi="Book Antiqua"/>
          <w:szCs w:val="20"/>
        </w:rPr>
        <w:t>Ningsi</w:t>
      </w:r>
      <w:proofErr w:type="spellEnd"/>
      <w:r w:rsidRPr="00FD0033">
        <w:rPr>
          <w:rFonts w:ascii="Book Antiqua" w:hAnsi="Book Antiqua"/>
          <w:szCs w:val="20"/>
        </w:rPr>
        <w:t xml:space="preserve"> (Female, 53 Years). </w:t>
      </w:r>
      <w:proofErr w:type="spellStart"/>
      <w:r w:rsidRPr="00FD0033">
        <w:rPr>
          <w:rFonts w:ascii="Book Antiqua" w:hAnsi="Book Antiqua"/>
          <w:szCs w:val="20"/>
        </w:rPr>
        <w:t>Ningsih</w:t>
      </w:r>
      <w:proofErr w:type="spellEnd"/>
      <w:r w:rsidRPr="00FD0033">
        <w:rPr>
          <w:rFonts w:ascii="Book Antiqua" w:hAnsi="Book Antiqua"/>
          <w:szCs w:val="20"/>
        </w:rPr>
        <w:t xml:space="preserve"> is a </w:t>
      </w:r>
      <w:proofErr w:type="spellStart"/>
      <w:r w:rsidRPr="00FD0033">
        <w:rPr>
          <w:rFonts w:ascii="Book Antiqua" w:hAnsi="Book Antiqua"/>
          <w:szCs w:val="20"/>
        </w:rPr>
        <w:t>transmigrant</w:t>
      </w:r>
      <w:proofErr w:type="spellEnd"/>
      <w:r w:rsidRPr="00FD0033">
        <w:rPr>
          <w:rFonts w:ascii="Book Antiqua" w:hAnsi="Book Antiqua"/>
          <w:szCs w:val="20"/>
        </w:rPr>
        <w:t xml:space="preserve"> from Central Java who has been with her family in </w:t>
      </w:r>
      <w:proofErr w:type="spellStart"/>
      <w:r w:rsidRPr="00FD0033">
        <w:rPr>
          <w:rFonts w:ascii="Book Antiqua" w:hAnsi="Book Antiqua"/>
          <w:szCs w:val="20"/>
        </w:rPr>
        <w:t>Sigi</w:t>
      </w:r>
      <w:proofErr w:type="spellEnd"/>
      <w:r w:rsidRPr="00FD0033">
        <w:rPr>
          <w:rFonts w:ascii="Book Antiqua" w:hAnsi="Book Antiqua"/>
          <w:szCs w:val="20"/>
        </w:rPr>
        <w:t xml:space="preserve"> since the 1980s. </w:t>
      </w:r>
      <w:proofErr w:type="spellStart"/>
      <w:r w:rsidRPr="00FD0033">
        <w:rPr>
          <w:rFonts w:ascii="Book Antiqua" w:hAnsi="Book Antiqua"/>
          <w:szCs w:val="20"/>
        </w:rPr>
        <w:t>Ningsi</w:t>
      </w:r>
      <w:proofErr w:type="spellEnd"/>
      <w:r w:rsidRPr="00FD0033">
        <w:rPr>
          <w:rFonts w:ascii="Book Antiqua" w:hAnsi="Book Antiqua"/>
          <w:szCs w:val="20"/>
        </w:rPr>
        <w:t xml:space="preserve"> is </w:t>
      </w:r>
      <w:proofErr w:type="spellStart"/>
      <w:r w:rsidRPr="00FD0033">
        <w:rPr>
          <w:rFonts w:ascii="Book Antiqua" w:hAnsi="Book Antiqua"/>
          <w:szCs w:val="20"/>
        </w:rPr>
        <w:t>Parjo's</w:t>
      </w:r>
      <w:proofErr w:type="spellEnd"/>
      <w:r w:rsidRPr="00FD0033">
        <w:rPr>
          <w:rFonts w:ascii="Book Antiqua" w:hAnsi="Book Antiqua"/>
          <w:szCs w:val="20"/>
        </w:rPr>
        <w:t xml:space="preserve"> wife, an RT head in a densely populated housing complex in </w:t>
      </w:r>
      <w:proofErr w:type="spellStart"/>
      <w:r w:rsidRPr="00FD0033">
        <w:rPr>
          <w:rFonts w:ascii="Book Antiqua" w:hAnsi="Book Antiqua"/>
          <w:szCs w:val="20"/>
        </w:rPr>
        <w:t>Kalubula</w:t>
      </w:r>
      <w:proofErr w:type="spellEnd"/>
      <w:r w:rsidRPr="00FD0033">
        <w:rPr>
          <w:rFonts w:ascii="Book Antiqua" w:hAnsi="Book Antiqua"/>
          <w:szCs w:val="20"/>
        </w:rPr>
        <w:t xml:space="preserve"> </w:t>
      </w:r>
      <w:proofErr w:type="spellStart"/>
      <w:r w:rsidRPr="00FD0033">
        <w:rPr>
          <w:rFonts w:ascii="Book Antiqua" w:hAnsi="Book Antiqua"/>
          <w:szCs w:val="20"/>
        </w:rPr>
        <w:t>Sigi</w:t>
      </w:r>
      <w:proofErr w:type="spellEnd"/>
      <w:r w:rsidRPr="00FD0033">
        <w:rPr>
          <w:rFonts w:ascii="Book Antiqua" w:hAnsi="Book Antiqua"/>
          <w:szCs w:val="20"/>
        </w:rPr>
        <w:t xml:space="preserve"> Village. Food donations are made by cooking in shifts to meet the needs of self-isolating neighbors. For example, Mama </w:t>
      </w:r>
      <w:proofErr w:type="spellStart"/>
      <w:r w:rsidRPr="00FD0033">
        <w:rPr>
          <w:rFonts w:ascii="Book Antiqua" w:hAnsi="Book Antiqua"/>
          <w:szCs w:val="20"/>
        </w:rPr>
        <w:t>Cika</w:t>
      </w:r>
      <w:proofErr w:type="spellEnd"/>
      <w:r w:rsidRPr="00FD0033">
        <w:rPr>
          <w:rFonts w:ascii="Book Antiqua" w:hAnsi="Book Antiqua"/>
          <w:szCs w:val="20"/>
        </w:rPr>
        <w:t xml:space="preserve">, Mama </w:t>
      </w:r>
      <w:proofErr w:type="spellStart"/>
      <w:r w:rsidRPr="00FD0033">
        <w:rPr>
          <w:rFonts w:ascii="Book Antiqua" w:hAnsi="Book Antiqua"/>
          <w:szCs w:val="20"/>
        </w:rPr>
        <w:t>Ririn</w:t>
      </w:r>
      <w:proofErr w:type="spellEnd"/>
      <w:r w:rsidRPr="00FD0033">
        <w:rPr>
          <w:rFonts w:ascii="Book Antiqua" w:hAnsi="Book Antiqua"/>
          <w:szCs w:val="20"/>
        </w:rPr>
        <w:t xml:space="preserve">, and Ibu </w:t>
      </w:r>
      <w:proofErr w:type="spellStart"/>
      <w:r w:rsidRPr="00FD0033">
        <w:rPr>
          <w:rFonts w:ascii="Book Antiqua" w:hAnsi="Book Antiqua"/>
          <w:szCs w:val="20"/>
        </w:rPr>
        <w:t>Rendi</w:t>
      </w:r>
      <w:proofErr w:type="spellEnd"/>
      <w:r w:rsidRPr="00FD0033">
        <w:rPr>
          <w:rFonts w:ascii="Book Antiqua" w:hAnsi="Book Antiqua"/>
          <w:szCs w:val="20"/>
        </w:rPr>
        <w:t xml:space="preserve"> will get a morning cooking schedule. This means they will be the food supplier for the </w:t>
      </w:r>
      <w:proofErr w:type="spellStart"/>
      <w:r w:rsidRPr="00FD0033">
        <w:rPr>
          <w:rFonts w:ascii="Book Antiqua" w:hAnsi="Book Antiqua"/>
          <w:szCs w:val="20"/>
        </w:rPr>
        <w:t>Isoman</w:t>
      </w:r>
      <w:proofErr w:type="spellEnd"/>
      <w:r w:rsidRPr="00FD0033">
        <w:rPr>
          <w:rFonts w:ascii="Book Antiqua" w:hAnsi="Book Antiqua"/>
          <w:szCs w:val="20"/>
        </w:rPr>
        <w:t xml:space="preserve"> family in the morning. Then, in the afternoon, other residents will replace them, likewise at night. This cycle continues until the residents' self-isolation activities are completed. There is no coercion for residents; those willing will submit it directly to the WhatsApp group, and then they will get a cooking schedule. We had the opportunity to hear the story directly from </w:t>
      </w:r>
      <w:proofErr w:type="spellStart"/>
      <w:r w:rsidRPr="00FD0033">
        <w:rPr>
          <w:rFonts w:ascii="Book Antiqua" w:hAnsi="Book Antiqua"/>
          <w:szCs w:val="20"/>
        </w:rPr>
        <w:t>Ningsi</w:t>
      </w:r>
      <w:proofErr w:type="spellEnd"/>
      <w:r w:rsidRPr="00FD0033">
        <w:rPr>
          <w:rFonts w:ascii="Book Antiqua" w:hAnsi="Book Antiqua"/>
          <w:szCs w:val="20"/>
        </w:rPr>
        <w:t>.</w:t>
      </w:r>
    </w:p>
    <w:p w14:paraId="4D5FD53B" w14:textId="77777777" w:rsidR="00FD0033" w:rsidRPr="00FD0033" w:rsidRDefault="00FD0033" w:rsidP="00771A71">
      <w:pPr>
        <w:spacing w:after="0" w:line="276" w:lineRule="auto"/>
        <w:ind w:left="720" w:firstLine="131"/>
        <w:jc w:val="both"/>
        <w:rPr>
          <w:rFonts w:ascii="Book Antiqua" w:hAnsi="Book Antiqua"/>
          <w:szCs w:val="20"/>
        </w:rPr>
      </w:pPr>
      <w:r w:rsidRPr="00FD0033">
        <w:rPr>
          <w:rFonts w:ascii="Book Antiqua" w:hAnsi="Book Antiqua"/>
          <w:szCs w:val="20"/>
        </w:rPr>
        <w:t>"The emergence of this movement was after seeing the condition that so many people were self-isolating. Then, many residents urged the RT head (</w:t>
      </w:r>
      <w:proofErr w:type="spellStart"/>
      <w:r w:rsidRPr="00FD0033">
        <w:rPr>
          <w:rFonts w:ascii="Book Antiqua" w:hAnsi="Book Antiqua"/>
          <w:szCs w:val="20"/>
        </w:rPr>
        <w:t>Ningsi's</w:t>
      </w:r>
      <w:proofErr w:type="spellEnd"/>
      <w:r w:rsidRPr="00FD0033">
        <w:rPr>
          <w:rFonts w:ascii="Book Antiqua" w:hAnsi="Book Antiqua"/>
          <w:szCs w:val="20"/>
        </w:rPr>
        <w:t xml:space="preserve"> husband) to get help during self-isolation from the local government. However, the expected help did not come. Finally, I took the initiative to lighten the burden on my self-isolating neighbors. Utilizing the RT residents' WhatsApp group, I invite residents to help their neighbors who are doing self-isolation. The assistance offered is by supplying daily needs, such as food needed during the </w:t>
      </w:r>
      <w:proofErr w:type="spellStart"/>
      <w:r w:rsidRPr="00FD0033">
        <w:rPr>
          <w:rFonts w:ascii="Book Antiqua" w:hAnsi="Book Antiqua"/>
          <w:szCs w:val="20"/>
        </w:rPr>
        <w:t>isoman</w:t>
      </w:r>
      <w:proofErr w:type="spellEnd"/>
      <w:r w:rsidRPr="00FD0033">
        <w:rPr>
          <w:rFonts w:ascii="Book Antiqua" w:hAnsi="Book Antiqua"/>
          <w:szCs w:val="20"/>
        </w:rPr>
        <w:t xml:space="preserve"> period".</w:t>
      </w:r>
    </w:p>
    <w:p w14:paraId="708411F8" w14:textId="77777777" w:rsidR="00FD0033" w:rsidRPr="00FD0033" w:rsidRDefault="00FD0033" w:rsidP="00FD0033">
      <w:pPr>
        <w:spacing w:after="0" w:line="276" w:lineRule="auto"/>
        <w:ind w:firstLine="851"/>
        <w:jc w:val="both"/>
        <w:rPr>
          <w:rFonts w:ascii="Book Antiqua" w:hAnsi="Book Antiqua"/>
          <w:szCs w:val="20"/>
        </w:rPr>
      </w:pPr>
    </w:p>
    <w:p w14:paraId="15B2599F" w14:textId="77777777" w:rsidR="00FD0033" w:rsidRPr="00FD0033" w:rsidRDefault="00FD0033" w:rsidP="00771A71">
      <w:pPr>
        <w:spacing w:after="0" w:line="276" w:lineRule="auto"/>
        <w:ind w:firstLine="720"/>
        <w:jc w:val="both"/>
        <w:rPr>
          <w:rFonts w:ascii="Book Antiqua" w:hAnsi="Book Antiqua"/>
          <w:szCs w:val="20"/>
        </w:rPr>
      </w:pPr>
      <w:r w:rsidRPr="00FD0033">
        <w:rPr>
          <w:rFonts w:ascii="Book Antiqua" w:hAnsi="Book Antiqua"/>
          <w:szCs w:val="20"/>
        </w:rPr>
        <w:lastRenderedPageBreak/>
        <w:t>At that time, the movement to help neighbors from the kitchen had served around eighteen residents who were doing self-isolation and involved almost twenty women. When COVID-19 cases began to be controlled, this movement turned into a preventive movement—no longer providing donations in the form of food, but becoming a government pioneer, especially at the RT level, to socialize about COVID-19 vaccination.</w:t>
      </w:r>
    </w:p>
    <w:p w14:paraId="018EC5E7" w14:textId="77777777" w:rsidR="00FD0033" w:rsidRPr="00AC2B5A" w:rsidRDefault="00FD0033" w:rsidP="00AC2B5A">
      <w:pPr>
        <w:spacing w:after="0" w:line="276" w:lineRule="auto"/>
        <w:jc w:val="both"/>
        <w:rPr>
          <w:rFonts w:ascii="Book Antiqua" w:hAnsi="Book Antiqua"/>
          <w:b/>
          <w:bCs/>
          <w:i/>
          <w:iCs/>
          <w:szCs w:val="20"/>
        </w:rPr>
      </w:pPr>
      <w:proofErr w:type="spellStart"/>
      <w:r w:rsidRPr="00AC2B5A">
        <w:rPr>
          <w:rFonts w:ascii="Book Antiqua" w:hAnsi="Book Antiqua"/>
          <w:b/>
          <w:bCs/>
          <w:i/>
          <w:iCs/>
          <w:szCs w:val="20"/>
        </w:rPr>
        <w:t>Roa</w:t>
      </w:r>
      <w:proofErr w:type="spellEnd"/>
      <w:r w:rsidRPr="00AC2B5A">
        <w:rPr>
          <w:rFonts w:ascii="Book Antiqua" w:hAnsi="Book Antiqua"/>
          <w:b/>
          <w:bCs/>
          <w:i/>
          <w:iCs/>
          <w:szCs w:val="20"/>
        </w:rPr>
        <w:t xml:space="preserve"> </w:t>
      </w:r>
      <w:proofErr w:type="spellStart"/>
      <w:r w:rsidRPr="00AC2B5A">
        <w:rPr>
          <w:rFonts w:ascii="Book Antiqua" w:hAnsi="Book Antiqua"/>
          <w:b/>
          <w:bCs/>
          <w:i/>
          <w:iCs/>
          <w:szCs w:val="20"/>
        </w:rPr>
        <w:t>jaga</w:t>
      </w:r>
      <w:proofErr w:type="spellEnd"/>
      <w:r w:rsidRPr="00AC2B5A">
        <w:rPr>
          <w:rFonts w:ascii="Book Antiqua" w:hAnsi="Book Antiqua"/>
          <w:b/>
          <w:bCs/>
          <w:i/>
          <w:iCs/>
          <w:szCs w:val="20"/>
        </w:rPr>
        <w:t xml:space="preserve"> </w:t>
      </w:r>
      <w:proofErr w:type="spellStart"/>
      <w:proofErr w:type="gramStart"/>
      <w:r w:rsidRPr="00AC2B5A">
        <w:rPr>
          <w:rFonts w:ascii="Book Antiqua" w:hAnsi="Book Antiqua"/>
          <w:b/>
          <w:bCs/>
          <w:i/>
          <w:iCs/>
          <w:szCs w:val="20"/>
        </w:rPr>
        <w:t>roa</w:t>
      </w:r>
      <w:proofErr w:type="spellEnd"/>
      <w:r w:rsidRPr="00AC2B5A">
        <w:rPr>
          <w:rFonts w:ascii="Book Antiqua" w:hAnsi="Book Antiqua"/>
          <w:b/>
          <w:bCs/>
          <w:i/>
          <w:iCs/>
          <w:szCs w:val="20"/>
        </w:rPr>
        <w:t xml:space="preserve"> :</w:t>
      </w:r>
      <w:proofErr w:type="gramEnd"/>
      <w:r w:rsidRPr="00AC2B5A">
        <w:rPr>
          <w:rFonts w:ascii="Book Antiqua" w:hAnsi="Book Antiqua"/>
          <w:b/>
          <w:bCs/>
          <w:i/>
          <w:iCs/>
          <w:szCs w:val="20"/>
        </w:rPr>
        <w:t xml:space="preserve"> Help, Not Argue</w:t>
      </w:r>
    </w:p>
    <w:p w14:paraId="1BA59C56" w14:textId="77777777" w:rsidR="00FD0033" w:rsidRPr="00FD0033" w:rsidRDefault="00FD0033" w:rsidP="00AC2B5A">
      <w:pPr>
        <w:spacing w:after="0" w:line="276" w:lineRule="auto"/>
        <w:ind w:firstLine="720"/>
        <w:jc w:val="both"/>
        <w:rPr>
          <w:rFonts w:ascii="Book Antiqua" w:hAnsi="Book Antiqua"/>
          <w:szCs w:val="20"/>
        </w:rPr>
      </w:pPr>
      <w:r w:rsidRPr="00FD0033">
        <w:rPr>
          <w:rFonts w:ascii="Book Antiqua" w:hAnsi="Book Antiqua"/>
          <w:szCs w:val="20"/>
        </w:rPr>
        <w:t xml:space="preserve">This movement was formed on July 24, 2021, in </w:t>
      </w:r>
      <w:proofErr w:type="spellStart"/>
      <w:r w:rsidRPr="00FD0033">
        <w:rPr>
          <w:rFonts w:ascii="Book Antiqua" w:hAnsi="Book Antiqua"/>
          <w:szCs w:val="20"/>
        </w:rPr>
        <w:t>Palu</w:t>
      </w:r>
      <w:proofErr w:type="spellEnd"/>
      <w:r w:rsidRPr="00FD0033">
        <w:rPr>
          <w:rFonts w:ascii="Book Antiqua" w:hAnsi="Book Antiqua"/>
          <w:szCs w:val="20"/>
        </w:rPr>
        <w:t xml:space="preserve">, Central Sulawesi, at the initiation of a group of journalists. The aim is to act as a liaison between residents and health services. This movement is called Friends Help Friends, or in the local </w:t>
      </w:r>
      <w:proofErr w:type="spellStart"/>
      <w:r w:rsidRPr="00FD0033">
        <w:rPr>
          <w:rFonts w:ascii="Book Antiqua" w:hAnsi="Book Antiqua"/>
          <w:szCs w:val="20"/>
        </w:rPr>
        <w:t>Kaili</w:t>
      </w:r>
      <w:proofErr w:type="spellEnd"/>
      <w:r w:rsidRPr="00FD0033">
        <w:rPr>
          <w:rFonts w:ascii="Book Antiqua" w:hAnsi="Book Antiqua"/>
          <w:szCs w:val="20"/>
        </w:rPr>
        <w:t xml:space="preserve"> language, it is called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By carrying out the tagline, "</w:t>
      </w:r>
      <w:proofErr w:type="spellStart"/>
      <w:r w:rsidRPr="00FD0033">
        <w:rPr>
          <w:rFonts w:ascii="Book Antiqua" w:hAnsi="Book Antiqua"/>
          <w:szCs w:val="20"/>
        </w:rPr>
        <w:t>Saling</w:t>
      </w:r>
      <w:proofErr w:type="spellEnd"/>
      <w:r w:rsidRPr="00FD0033">
        <w:rPr>
          <w:rFonts w:ascii="Book Antiqua" w:hAnsi="Book Antiqua"/>
          <w:szCs w:val="20"/>
        </w:rPr>
        <w:t xml:space="preserve"> Bantu </w:t>
      </w:r>
      <w:proofErr w:type="spellStart"/>
      <w:r w:rsidRPr="00FD0033">
        <w:rPr>
          <w:rFonts w:ascii="Book Antiqua" w:hAnsi="Book Antiqua"/>
          <w:szCs w:val="20"/>
        </w:rPr>
        <w:t>Bukan</w:t>
      </w:r>
      <w:proofErr w:type="spellEnd"/>
      <w:r w:rsidRPr="00FD0033">
        <w:rPr>
          <w:rFonts w:ascii="Book Antiqua" w:hAnsi="Book Antiqua"/>
          <w:szCs w:val="20"/>
        </w:rPr>
        <w:t xml:space="preserve"> Baku </w:t>
      </w:r>
      <w:proofErr w:type="spellStart"/>
      <w:r w:rsidRPr="00FD0033">
        <w:rPr>
          <w:rFonts w:ascii="Book Antiqua" w:hAnsi="Book Antiqua"/>
          <w:szCs w:val="20"/>
        </w:rPr>
        <w:t>Bantah</w:t>
      </w:r>
      <w:proofErr w:type="spellEnd"/>
      <w:r w:rsidRPr="00FD0033">
        <w:rPr>
          <w:rFonts w:ascii="Book Antiqua" w:hAnsi="Book Antiqua"/>
          <w:szCs w:val="20"/>
        </w:rPr>
        <w:t>" (helping each other, not arguing with each other). The context behind the emergence of this movement is the health crisis during the pandemic, which is faced with limited health services and is exacerbated by ineffective handling carried out by the local government. During the pandemic, people's need for health services, such as oxygen, vitamins, medicines, and hospital inpatient rooms, was very high. However, the capacity and availability of health facilities could be improved.</w:t>
      </w:r>
    </w:p>
    <w:p w14:paraId="3B6B3E73" w14:textId="77777777" w:rsidR="00FD0033" w:rsidRPr="00FD0033" w:rsidRDefault="00FD0033" w:rsidP="001C7E43">
      <w:pPr>
        <w:spacing w:after="0" w:line="276" w:lineRule="auto"/>
        <w:ind w:firstLine="720"/>
        <w:jc w:val="both"/>
        <w:rPr>
          <w:rFonts w:ascii="Book Antiqua" w:hAnsi="Book Antiqua"/>
          <w:szCs w:val="20"/>
        </w:rPr>
      </w:pPr>
      <w:r w:rsidRPr="00FD0033">
        <w:rPr>
          <w:rFonts w:ascii="Book Antiqua" w:hAnsi="Book Antiqua"/>
          <w:szCs w:val="20"/>
        </w:rPr>
        <w:t>Data shows that in August 2020, at the pandemic's peak, the bed occupancy rate (BOR) at one of the COVID-19 referral hospitals in Central Sulawesi exceeded 90 percent of the total capacity of 147 beds. Even though the number of daily cases has reached 50 per day (</w:t>
      </w:r>
      <w:proofErr w:type="spellStart"/>
      <w:r w:rsidRPr="00FD0033">
        <w:rPr>
          <w:rFonts w:ascii="Book Antiqua" w:hAnsi="Book Antiqua"/>
          <w:szCs w:val="20"/>
        </w:rPr>
        <w:t>Ksp</w:t>
      </w:r>
      <w:proofErr w:type="spellEnd"/>
      <w:r w:rsidRPr="00FD0033">
        <w:rPr>
          <w:rFonts w:ascii="Book Antiqua" w:hAnsi="Book Antiqua"/>
          <w:szCs w:val="20"/>
        </w:rPr>
        <w:t xml:space="preserve">, 2021). Meanwhile, the response to complaints from citizens to the government could have been faster and more bureaucratic. This contrasts with the crisis of citizens needing access to health services. Due to this condition, journalists invited the public to initiate the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movement to help residents obtain health services. One of the initiators of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said,</w:t>
      </w:r>
    </w:p>
    <w:p w14:paraId="7EE83392" w14:textId="77777777" w:rsidR="00FD0033" w:rsidRPr="00FD0033" w:rsidRDefault="00FD0033" w:rsidP="00FB6286">
      <w:pPr>
        <w:spacing w:after="0" w:line="276" w:lineRule="auto"/>
        <w:ind w:left="720" w:firstLine="131"/>
        <w:jc w:val="both"/>
        <w:rPr>
          <w:rFonts w:ascii="Book Antiqua" w:hAnsi="Book Antiqua"/>
          <w:szCs w:val="20"/>
        </w:rPr>
      </w:pPr>
      <w:r w:rsidRPr="00FD0033">
        <w:rPr>
          <w:rFonts w:ascii="Book Antiqua" w:hAnsi="Book Antiqua"/>
          <w:szCs w:val="20"/>
        </w:rPr>
        <w:t>"When self-isolating people complain about their needs to the sub-district, the long bureaucratic process means that patients are not treated immediately, so it seems like there is no emergency."</w:t>
      </w:r>
    </w:p>
    <w:p w14:paraId="43EDDAF5" w14:textId="77777777" w:rsidR="00FD0033" w:rsidRPr="00FD0033" w:rsidRDefault="00FD0033" w:rsidP="008C4C99">
      <w:pPr>
        <w:spacing w:after="0" w:line="276" w:lineRule="auto"/>
        <w:ind w:firstLine="720"/>
        <w:jc w:val="both"/>
        <w:rPr>
          <w:rFonts w:ascii="Book Antiqua" w:hAnsi="Book Antiqua"/>
          <w:szCs w:val="20"/>
        </w:rPr>
      </w:pPr>
      <w:r w:rsidRPr="00FD0033">
        <w:rPr>
          <w:rFonts w:ascii="Book Antiqua" w:hAnsi="Book Antiqua"/>
          <w:szCs w:val="20"/>
        </w:rPr>
        <w:t xml:space="preserve">Initially, the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movement only focused on </w:t>
      </w:r>
      <w:proofErr w:type="spellStart"/>
      <w:r w:rsidRPr="00FD0033">
        <w:rPr>
          <w:rFonts w:ascii="Book Antiqua" w:hAnsi="Book Antiqua"/>
          <w:szCs w:val="20"/>
        </w:rPr>
        <w:t>Palu</w:t>
      </w:r>
      <w:proofErr w:type="spellEnd"/>
      <w:r w:rsidRPr="00FD0033">
        <w:rPr>
          <w:rFonts w:ascii="Book Antiqua" w:hAnsi="Book Antiqua"/>
          <w:szCs w:val="20"/>
        </w:rPr>
        <w:t xml:space="preserve">. However, slowly, this movement began to spread to </w:t>
      </w:r>
      <w:proofErr w:type="spellStart"/>
      <w:r w:rsidRPr="00FD0033">
        <w:rPr>
          <w:rFonts w:ascii="Book Antiqua" w:hAnsi="Book Antiqua"/>
          <w:szCs w:val="20"/>
        </w:rPr>
        <w:t>Sigi</w:t>
      </w:r>
      <w:proofErr w:type="spellEnd"/>
      <w:r w:rsidRPr="00FD0033">
        <w:rPr>
          <w:rFonts w:ascii="Book Antiqua" w:hAnsi="Book Antiqua"/>
          <w:szCs w:val="20"/>
        </w:rPr>
        <w:t xml:space="preserve">. The number of people involved is also increasing, not just journalists. Since its formation,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has treated 219 Covid-19 patients who are self-isolating.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accompanies the community to get oxygen assistance. Apart from that,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distributes food to COVID-19 patients who are self-isolating. Lastly, this movement has launched a virtual People's Healthy House with the community protection coalition. For operational costs in the field,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relies on voluntary contributions and opens donations in the name of the "Humanitarian Movement for Handling COVID-19". The donation is open to the public. When the pandemic began to be handled, this movement transformed into </w:t>
      </w:r>
      <w:r w:rsidRPr="00FD0033">
        <w:rPr>
          <w:rFonts w:ascii="Book Antiqua" w:hAnsi="Book Antiqua"/>
          <w:szCs w:val="20"/>
        </w:rPr>
        <w:lastRenderedPageBreak/>
        <w:t xml:space="preserve">humanitarian volunteers. They help the community when natural disasters occur in several areas of Central Sulawesi, such as during floods in </w:t>
      </w:r>
      <w:proofErr w:type="spellStart"/>
      <w:r w:rsidRPr="00FD0033">
        <w:rPr>
          <w:rFonts w:ascii="Book Antiqua" w:hAnsi="Book Antiqua"/>
          <w:szCs w:val="20"/>
        </w:rPr>
        <w:t>Sigi</w:t>
      </w:r>
      <w:proofErr w:type="spellEnd"/>
      <w:r w:rsidRPr="00FD0033">
        <w:rPr>
          <w:rFonts w:ascii="Book Antiqua" w:hAnsi="Book Antiqua"/>
          <w:szCs w:val="20"/>
        </w:rPr>
        <w:t xml:space="preserve"> and </w:t>
      </w:r>
      <w:proofErr w:type="spellStart"/>
      <w:r w:rsidRPr="00FD0033">
        <w:rPr>
          <w:rFonts w:ascii="Book Antiqua" w:hAnsi="Book Antiqua"/>
          <w:szCs w:val="20"/>
        </w:rPr>
        <w:t>Toli-Toli</w:t>
      </w:r>
      <w:proofErr w:type="spellEnd"/>
      <w:r w:rsidRPr="00FD0033">
        <w:rPr>
          <w:rFonts w:ascii="Book Antiqua" w:hAnsi="Book Antiqua"/>
          <w:szCs w:val="20"/>
        </w:rPr>
        <w:t>.</w:t>
      </w:r>
    </w:p>
    <w:p w14:paraId="16F5D38E" w14:textId="77777777" w:rsidR="00FD0033" w:rsidRPr="00FD0033" w:rsidRDefault="00FD0033" w:rsidP="009E6121">
      <w:pPr>
        <w:spacing w:after="0" w:line="276" w:lineRule="auto"/>
        <w:ind w:firstLine="720"/>
        <w:jc w:val="both"/>
        <w:rPr>
          <w:rFonts w:ascii="Book Antiqua" w:hAnsi="Book Antiqua"/>
          <w:szCs w:val="20"/>
        </w:rPr>
      </w:pPr>
      <w:r w:rsidRPr="00FD0033">
        <w:rPr>
          <w:rFonts w:ascii="Book Antiqua" w:hAnsi="Book Antiqua"/>
          <w:szCs w:val="20"/>
        </w:rPr>
        <w:t xml:space="preserve">From the case we observed in </w:t>
      </w:r>
      <w:proofErr w:type="spellStart"/>
      <w:r w:rsidRPr="00FD0033">
        <w:rPr>
          <w:rFonts w:ascii="Book Antiqua" w:hAnsi="Book Antiqua"/>
          <w:szCs w:val="20"/>
        </w:rPr>
        <w:t>Sigi</w:t>
      </w:r>
      <w:proofErr w:type="spellEnd"/>
      <w:r w:rsidRPr="00FD0033">
        <w:rPr>
          <w:rFonts w:ascii="Book Antiqua" w:hAnsi="Book Antiqua"/>
          <w:szCs w:val="20"/>
        </w:rPr>
        <w:t xml:space="preserve">, the grassroots solidarity initiated by </w:t>
      </w:r>
      <w:proofErr w:type="spellStart"/>
      <w:r w:rsidRPr="00FD0033">
        <w:rPr>
          <w:rFonts w:ascii="Book Antiqua" w:hAnsi="Book Antiqua"/>
          <w:szCs w:val="20"/>
        </w:rPr>
        <w:t>Ningsih</w:t>
      </w:r>
      <w:proofErr w:type="spellEnd"/>
      <w:r w:rsidRPr="00FD0033">
        <w:rPr>
          <w:rFonts w:ascii="Book Antiqua" w:hAnsi="Book Antiqua"/>
          <w:szCs w:val="20"/>
        </w:rPr>
        <w:t xml:space="preserve"> and several journalists in </w:t>
      </w:r>
      <w:proofErr w:type="spellStart"/>
      <w:r w:rsidRPr="00FD0033">
        <w:rPr>
          <w:rFonts w:ascii="Book Antiqua" w:hAnsi="Book Antiqua"/>
          <w:szCs w:val="20"/>
        </w:rPr>
        <w:t>Palu</w:t>
      </w:r>
      <w:proofErr w:type="spellEnd"/>
      <w:r w:rsidRPr="00FD0033">
        <w:rPr>
          <w:rFonts w:ascii="Book Antiqua" w:hAnsi="Book Antiqua"/>
          <w:szCs w:val="20"/>
        </w:rPr>
        <w:t xml:space="preserve"> can be captured as a phenomenon of the emergence of voluntary mobilization from the community during a crisis (</w:t>
      </w:r>
      <w:proofErr w:type="spellStart"/>
      <w:r w:rsidRPr="00FD0033">
        <w:rPr>
          <w:rFonts w:ascii="Book Antiqua" w:hAnsi="Book Antiqua"/>
          <w:szCs w:val="20"/>
        </w:rPr>
        <w:t>Kowalewski</w:t>
      </w:r>
      <w:proofErr w:type="spellEnd"/>
      <w:r w:rsidRPr="00FD0033">
        <w:rPr>
          <w:rFonts w:ascii="Book Antiqua" w:hAnsi="Book Antiqua"/>
          <w:szCs w:val="20"/>
        </w:rPr>
        <w:t>, 2021). Furthermore, this voluntary mobilization movement can be interpreted as a form of grassroots political participation in providing alternative assistance to the community during a crisis (</w:t>
      </w:r>
      <w:proofErr w:type="spellStart"/>
      <w:r w:rsidRPr="00FD0033">
        <w:rPr>
          <w:rFonts w:ascii="Book Antiqua" w:hAnsi="Book Antiqua"/>
          <w:szCs w:val="20"/>
        </w:rPr>
        <w:t>Donoso</w:t>
      </w:r>
      <w:proofErr w:type="spellEnd"/>
      <w:r w:rsidRPr="00FD0033">
        <w:rPr>
          <w:rFonts w:ascii="Book Antiqua" w:hAnsi="Book Antiqua"/>
          <w:szCs w:val="20"/>
        </w:rPr>
        <w:t xml:space="preserve"> et al., 2022; Jaime &amp; </w:t>
      </w:r>
      <w:proofErr w:type="spellStart"/>
      <w:r w:rsidRPr="00FD0033">
        <w:rPr>
          <w:rFonts w:ascii="Book Antiqua" w:hAnsi="Book Antiqua"/>
          <w:szCs w:val="20"/>
        </w:rPr>
        <w:t>Gonzaléz</w:t>
      </w:r>
      <w:proofErr w:type="spellEnd"/>
      <w:r w:rsidRPr="00FD0033">
        <w:rPr>
          <w:rFonts w:ascii="Book Antiqua" w:hAnsi="Book Antiqua"/>
          <w:szCs w:val="20"/>
        </w:rPr>
        <w:t>, 2021) when the government is unable to provide protection (Frey, 2020 ) and community access to services is very limited (</w:t>
      </w:r>
      <w:proofErr w:type="spellStart"/>
      <w:r w:rsidRPr="00FD0033">
        <w:rPr>
          <w:rFonts w:ascii="Book Antiqua" w:hAnsi="Book Antiqua"/>
          <w:szCs w:val="20"/>
        </w:rPr>
        <w:t>Aklin</w:t>
      </w:r>
      <w:proofErr w:type="spellEnd"/>
      <w:r w:rsidRPr="00FD0033">
        <w:rPr>
          <w:rFonts w:ascii="Book Antiqua" w:hAnsi="Book Antiqua"/>
          <w:szCs w:val="20"/>
        </w:rPr>
        <w:t xml:space="preserve"> et al., 2021). This kind of solidarity movement has been found in many places in Indonesia. Social capital and robust cultural ties are among the causes (</w:t>
      </w:r>
      <w:proofErr w:type="spellStart"/>
      <w:r w:rsidRPr="00FD0033">
        <w:rPr>
          <w:rFonts w:ascii="Book Antiqua" w:hAnsi="Book Antiqua"/>
          <w:szCs w:val="20"/>
        </w:rPr>
        <w:t>Yuda</w:t>
      </w:r>
      <w:proofErr w:type="spellEnd"/>
      <w:r w:rsidRPr="00FD0033">
        <w:rPr>
          <w:rFonts w:ascii="Book Antiqua" w:hAnsi="Book Antiqua"/>
          <w:szCs w:val="20"/>
        </w:rPr>
        <w:t xml:space="preserve"> et al., 2021). When a crisis occurs, such as a natural disaster or COVID-19, cultural ties and social capital will be reproduced into political encouragement to help each other, usually with a "cooperation" narrative. There is a kind of creation of an alternative system for society to build solidarity from below during times of crisis, such as during COVID-19 (</w:t>
      </w:r>
      <w:proofErr w:type="spellStart"/>
      <w:r w:rsidRPr="00FD0033">
        <w:rPr>
          <w:rFonts w:ascii="Book Antiqua" w:hAnsi="Book Antiqua"/>
          <w:szCs w:val="20"/>
        </w:rPr>
        <w:t>Kowalewski</w:t>
      </w:r>
      <w:proofErr w:type="spellEnd"/>
      <w:r w:rsidRPr="00FD0033">
        <w:rPr>
          <w:rFonts w:ascii="Book Antiqua" w:hAnsi="Book Antiqua"/>
          <w:szCs w:val="20"/>
        </w:rPr>
        <w:t xml:space="preserve">, 2021). On the other hand, the movement's sustainability, which includes help from the kitchen and </w:t>
      </w:r>
      <w:proofErr w:type="spellStart"/>
      <w:r w:rsidRPr="00FD0033">
        <w:rPr>
          <w:rFonts w:ascii="Book Antiqua" w:hAnsi="Book Antiqua"/>
          <w:szCs w:val="20"/>
        </w:rPr>
        <w:t>roa</w:t>
      </w:r>
      <w:proofErr w:type="spellEnd"/>
      <w:r w:rsidRPr="00FD0033">
        <w:rPr>
          <w:rFonts w:ascii="Book Antiqua" w:hAnsi="Book Antiqua"/>
          <w:szCs w:val="20"/>
        </w:rPr>
        <w:t xml:space="preserve"> guard </w:t>
      </w:r>
      <w:proofErr w:type="spellStart"/>
      <w:r w:rsidRPr="00FD0033">
        <w:rPr>
          <w:rFonts w:ascii="Book Antiqua" w:hAnsi="Book Antiqua"/>
          <w:szCs w:val="20"/>
        </w:rPr>
        <w:t>roa</w:t>
      </w:r>
      <w:proofErr w:type="spellEnd"/>
      <w:r w:rsidRPr="00FD0033">
        <w:rPr>
          <w:rFonts w:ascii="Book Antiqua" w:hAnsi="Book Antiqua"/>
          <w:szCs w:val="20"/>
        </w:rPr>
        <w:t>, is very textual. Please stick to the issue, so it will likely disappear quickly.</w:t>
      </w:r>
    </w:p>
    <w:p w14:paraId="74223E15" w14:textId="77777777" w:rsidR="00FD0033" w:rsidRPr="00D43D0D" w:rsidRDefault="00FD0033" w:rsidP="00D43D0D">
      <w:pPr>
        <w:spacing w:after="0" w:line="276" w:lineRule="auto"/>
        <w:jc w:val="both"/>
        <w:rPr>
          <w:rFonts w:ascii="Book Antiqua" w:hAnsi="Book Antiqua"/>
          <w:b/>
          <w:bCs/>
          <w:i/>
          <w:iCs/>
          <w:szCs w:val="20"/>
        </w:rPr>
      </w:pPr>
      <w:r w:rsidRPr="00D43D0D">
        <w:rPr>
          <w:rFonts w:ascii="Book Antiqua" w:hAnsi="Book Antiqua"/>
          <w:b/>
          <w:bCs/>
          <w:i/>
          <w:iCs/>
          <w:szCs w:val="20"/>
        </w:rPr>
        <w:t>Community Political Participation in the Policy Process</w:t>
      </w:r>
    </w:p>
    <w:p w14:paraId="0D78E468" w14:textId="77777777" w:rsidR="00FD0033" w:rsidRPr="00FD0033" w:rsidRDefault="00FD0033" w:rsidP="00D43D0D">
      <w:pPr>
        <w:spacing w:after="0" w:line="276" w:lineRule="auto"/>
        <w:ind w:firstLine="720"/>
        <w:jc w:val="both"/>
        <w:rPr>
          <w:rFonts w:ascii="Book Antiqua" w:hAnsi="Book Antiqua"/>
          <w:szCs w:val="20"/>
        </w:rPr>
      </w:pPr>
      <w:r w:rsidRPr="00FD0033">
        <w:rPr>
          <w:rFonts w:ascii="Book Antiqua" w:hAnsi="Book Antiqua"/>
          <w:szCs w:val="20"/>
        </w:rPr>
        <w:t>We see that the emergence of voluntary mobilization as a form of grassroots political participation was triggered by unequal political relations between the community and policymakers. This imbalance in political relations is reflected in the conditioning during the formulation of crisis management policies, which, from the start, did not involve the lowest levels of society as the policy actors (</w:t>
      </w:r>
      <w:proofErr w:type="spellStart"/>
      <w:r w:rsidRPr="00FD0033">
        <w:rPr>
          <w:rFonts w:ascii="Book Antiqua" w:hAnsi="Book Antiqua"/>
          <w:szCs w:val="20"/>
        </w:rPr>
        <w:t>Aklin</w:t>
      </w:r>
      <w:proofErr w:type="spellEnd"/>
      <w:r w:rsidRPr="00FD0033">
        <w:rPr>
          <w:rFonts w:ascii="Book Antiqua" w:hAnsi="Book Antiqua"/>
          <w:szCs w:val="20"/>
        </w:rPr>
        <w:t xml:space="preserve"> et al., 2021; </w:t>
      </w:r>
      <w:proofErr w:type="spellStart"/>
      <w:r w:rsidRPr="00FD0033">
        <w:rPr>
          <w:rFonts w:ascii="Book Antiqua" w:hAnsi="Book Antiqua"/>
          <w:szCs w:val="20"/>
        </w:rPr>
        <w:t>Mudhoffir</w:t>
      </w:r>
      <w:proofErr w:type="spellEnd"/>
      <w:r w:rsidRPr="00FD0033">
        <w:rPr>
          <w:rFonts w:ascii="Book Antiqua" w:hAnsi="Book Antiqua"/>
          <w:szCs w:val="20"/>
        </w:rPr>
        <w:t xml:space="preserve"> &amp; </w:t>
      </w:r>
      <w:proofErr w:type="spellStart"/>
      <w:r w:rsidRPr="00FD0033">
        <w:rPr>
          <w:rFonts w:ascii="Book Antiqua" w:hAnsi="Book Antiqua"/>
          <w:szCs w:val="20"/>
        </w:rPr>
        <w:t>Hadiz</w:t>
      </w:r>
      <w:proofErr w:type="spellEnd"/>
      <w:r w:rsidRPr="00FD0033">
        <w:rPr>
          <w:rFonts w:ascii="Book Antiqua" w:hAnsi="Book Antiqua"/>
          <w:szCs w:val="20"/>
        </w:rPr>
        <w:t xml:space="preserve">, 2021). Finally, crisis management policy products are predominantly built from the imagination of bureaucrats. Meanwhile, society is isolated from the policy arena. As a result, policy implementation in the field represents more the character of bureaucrats than the public. This can be seen from the service process, which prioritizes bureaucratic procedures rather than aspects of public safety. In the context of </w:t>
      </w:r>
      <w:proofErr w:type="spellStart"/>
      <w:r w:rsidRPr="00FD0033">
        <w:rPr>
          <w:rFonts w:ascii="Book Antiqua" w:hAnsi="Book Antiqua"/>
          <w:szCs w:val="20"/>
        </w:rPr>
        <w:t>Sigi</w:t>
      </w:r>
      <w:proofErr w:type="spellEnd"/>
      <w:r w:rsidRPr="00FD0033">
        <w:rPr>
          <w:rFonts w:ascii="Book Antiqua" w:hAnsi="Book Antiqua"/>
          <w:szCs w:val="20"/>
        </w:rPr>
        <w:t xml:space="preserve">, the conditioning of community involvement is reflected in the cases found by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When the public complained to the government regarding urgent complaints regarding the need for oxygen, the government prioritized bureaucratic procedures. At the same time, the community's condition was in a very emergency situation. In short, unbalanced political relations affect products and policy implementation. The level of community participation and involvement in the policy process could be much higher. </w:t>
      </w:r>
      <w:proofErr w:type="gramStart"/>
      <w:r w:rsidRPr="00FD0033">
        <w:rPr>
          <w:rFonts w:ascii="Book Antiqua" w:hAnsi="Book Antiqua"/>
          <w:szCs w:val="20"/>
        </w:rPr>
        <w:t>Thus</w:t>
      </w:r>
      <w:proofErr w:type="gramEnd"/>
      <w:r w:rsidRPr="00FD0033">
        <w:rPr>
          <w:rFonts w:ascii="Book Antiqua" w:hAnsi="Book Antiqua"/>
          <w:szCs w:val="20"/>
        </w:rPr>
        <w:t xml:space="preserve"> triggering the creation of alternative participation spaces by encouraging solidarity-based movements from the grassroots to help each other.</w:t>
      </w:r>
    </w:p>
    <w:p w14:paraId="71DF1EFA" w14:textId="77777777" w:rsidR="00FD0033" w:rsidRPr="00FD0033" w:rsidRDefault="00FD0033" w:rsidP="008C34DD">
      <w:pPr>
        <w:spacing w:after="0" w:line="276" w:lineRule="auto"/>
        <w:ind w:firstLine="720"/>
        <w:jc w:val="both"/>
        <w:rPr>
          <w:rFonts w:ascii="Book Antiqua" w:hAnsi="Book Antiqua"/>
          <w:szCs w:val="20"/>
        </w:rPr>
      </w:pPr>
      <w:r w:rsidRPr="00FD0033">
        <w:rPr>
          <w:rFonts w:ascii="Book Antiqua" w:hAnsi="Book Antiqua"/>
          <w:szCs w:val="20"/>
        </w:rPr>
        <w:lastRenderedPageBreak/>
        <w:t>Then, as a practical impact, inequality in political relations triggers a domino effect on exclusive access to health services (</w:t>
      </w:r>
      <w:proofErr w:type="spellStart"/>
      <w:r w:rsidRPr="00FD0033">
        <w:rPr>
          <w:rFonts w:ascii="Book Antiqua" w:hAnsi="Book Antiqua"/>
          <w:szCs w:val="20"/>
        </w:rPr>
        <w:t>Aklin</w:t>
      </w:r>
      <w:proofErr w:type="spellEnd"/>
      <w:r w:rsidRPr="00FD0033">
        <w:rPr>
          <w:rFonts w:ascii="Book Antiqua" w:hAnsi="Book Antiqua"/>
          <w:szCs w:val="20"/>
        </w:rPr>
        <w:t xml:space="preserve"> et al., 2021). Apart from food and medicine during the pandemic, citizens need health services. Unfortunately, not all residents can access these services, especially when there is a shortage of oxygen. Some people who have connections to hospitals find it easier to get oxygen than people who have no connections at all. Some people even order specially from out of town. They dare to pay more to ensure a stock of oxygen in their home.</w:t>
      </w:r>
    </w:p>
    <w:p w14:paraId="17B45BAD" w14:textId="77777777" w:rsidR="00FD0033" w:rsidRPr="00FD0033" w:rsidRDefault="00FD0033" w:rsidP="008C34DD">
      <w:pPr>
        <w:spacing w:after="0" w:line="276" w:lineRule="auto"/>
        <w:ind w:firstLine="720"/>
        <w:jc w:val="both"/>
        <w:rPr>
          <w:rFonts w:ascii="Book Antiqua" w:hAnsi="Book Antiqua"/>
          <w:szCs w:val="20"/>
        </w:rPr>
      </w:pPr>
      <w:r w:rsidRPr="00FD0033">
        <w:rPr>
          <w:rFonts w:ascii="Book Antiqua" w:hAnsi="Book Antiqua"/>
          <w:szCs w:val="20"/>
        </w:rPr>
        <w:t xml:space="preserve">Meanwhile, people who do not have connections or money find it very difficult to obtain health service facilities. Connections and money primarily determine healthcare. Included in the context of </w:t>
      </w:r>
      <w:proofErr w:type="spellStart"/>
      <w:r w:rsidRPr="00FD0033">
        <w:rPr>
          <w:rFonts w:ascii="Book Antiqua" w:hAnsi="Book Antiqua"/>
          <w:szCs w:val="20"/>
        </w:rPr>
        <w:t>Roa</w:t>
      </w:r>
      <w:proofErr w:type="spellEnd"/>
      <w:r w:rsidRPr="00FD0033">
        <w:rPr>
          <w:rFonts w:ascii="Book Antiqua" w:hAnsi="Book Antiqua"/>
          <w:szCs w:val="20"/>
        </w:rPr>
        <w:t xml:space="preserve"> </w:t>
      </w:r>
      <w:proofErr w:type="spellStart"/>
      <w:r w:rsidRPr="00FD0033">
        <w:rPr>
          <w:rFonts w:ascii="Book Antiqua" w:hAnsi="Book Antiqua"/>
          <w:szCs w:val="20"/>
        </w:rPr>
        <w:t>jaga</w:t>
      </w:r>
      <w:proofErr w:type="spellEnd"/>
      <w:r w:rsidRPr="00FD0033">
        <w:rPr>
          <w:rFonts w:ascii="Book Antiqua" w:hAnsi="Book Antiqua"/>
          <w:szCs w:val="20"/>
        </w:rPr>
        <w:t xml:space="preserve"> </w:t>
      </w:r>
      <w:proofErr w:type="spellStart"/>
      <w:r w:rsidRPr="00FD0033">
        <w:rPr>
          <w:rFonts w:ascii="Book Antiqua" w:hAnsi="Book Antiqua"/>
          <w:szCs w:val="20"/>
        </w:rPr>
        <w:t>roa</w:t>
      </w:r>
      <w:proofErr w:type="spellEnd"/>
      <w:r w:rsidRPr="00FD0033">
        <w:rPr>
          <w:rFonts w:ascii="Book Antiqua" w:hAnsi="Book Antiqua"/>
          <w:szCs w:val="20"/>
        </w:rPr>
        <w:t xml:space="preserve">, helping residents from the kitchen is a form of assistance from fellow residents that is bridged by connections (acquaintances). Residents in villages far from </w:t>
      </w:r>
      <w:proofErr w:type="spellStart"/>
      <w:r w:rsidRPr="00FD0033">
        <w:rPr>
          <w:rFonts w:ascii="Book Antiqua" w:hAnsi="Book Antiqua"/>
          <w:szCs w:val="20"/>
        </w:rPr>
        <w:t>Sigi</w:t>
      </w:r>
      <w:proofErr w:type="spellEnd"/>
      <w:r w:rsidRPr="00FD0033">
        <w:rPr>
          <w:rFonts w:ascii="Book Antiqua" w:hAnsi="Book Antiqua"/>
          <w:szCs w:val="20"/>
        </w:rPr>
        <w:t xml:space="preserve"> can only get oxygen assistance from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if they have contacts. At least that connects them to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w:t>
      </w:r>
      <w:proofErr w:type="spellStart"/>
      <w:r w:rsidRPr="00FD0033">
        <w:rPr>
          <w:rFonts w:ascii="Book Antiqua" w:hAnsi="Book Antiqua"/>
          <w:szCs w:val="20"/>
        </w:rPr>
        <w:t>Roa</w:t>
      </w:r>
      <w:proofErr w:type="spellEnd"/>
      <w:r w:rsidRPr="00FD0033">
        <w:rPr>
          <w:rFonts w:ascii="Book Antiqua" w:hAnsi="Book Antiqua"/>
          <w:szCs w:val="20"/>
        </w:rPr>
        <w:t xml:space="preserve"> Jaga </w:t>
      </w:r>
      <w:proofErr w:type="spellStart"/>
      <w:r w:rsidRPr="00FD0033">
        <w:rPr>
          <w:rFonts w:ascii="Book Antiqua" w:hAnsi="Book Antiqua"/>
          <w:szCs w:val="20"/>
        </w:rPr>
        <w:t>Roa</w:t>
      </w:r>
      <w:proofErr w:type="spellEnd"/>
      <w:r w:rsidRPr="00FD0033">
        <w:rPr>
          <w:rFonts w:ascii="Book Antiqua" w:hAnsi="Book Antiqua"/>
          <w:szCs w:val="20"/>
        </w:rPr>
        <w:t xml:space="preserve"> is like that; it only connects people with health services they can access. Likewise, movements to help neighbors from the kitchen are only limited to affiliated neighborhoods. Even then, only those connected to </w:t>
      </w:r>
      <w:proofErr w:type="spellStart"/>
      <w:r w:rsidRPr="00FD0033">
        <w:rPr>
          <w:rFonts w:ascii="Book Antiqua" w:hAnsi="Book Antiqua"/>
          <w:szCs w:val="20"/>
        </w:rPr>
        <w:t>Ningsih</w:t>
      </w:r>
      <w:proofErr w:type="spellEnd"/>
      <w:r w:rsidRPr="00FD0033">
        <w:rPr>
          <w:rFonts w:ascii="Book Antiqua" w:hAnsi="Book Antiqua"/>
          <w:szCs w:val="20"/>
        </w:rPr>
        <w:t xml:space="preserve"> or are members of the WA group can receive solidarity assistance.</w:t>
      </w:r>
    </w:p>
    <w:p w14:paraId="5C3A82F5" w14:textId="77777777" w:rsidR="00FD0033" w:rsidRDefault="00FD0033" w:rsidP="00CA7996">
      <w:pPr>
        <w:spacing w:after="0" w:line="276" w:lineRule="auto"/>
        <w:ind w:firstLine="720"/>
        <w:jc w:val="both"/>
        <w:rPr>
          <w:rFonts w:ascii="Book Antiqua" w:hAnsi="Book Antiqua"/>
          <w:szCs w:val="20"/>
        </w:rPr>
      </w:pPr>
      <w:r w:rsidRPr="00FD0033">
        <w:rPr>
          <w:rFonts w:ascii="Book Antiqua" w:hAnsi="Book Antiqua"/>
          <w:szCs w:val="20"/>
        </w:rPr>
        <w:t xml:space="preserve">In the end, crisis management policies during the pandemic only marginalize citizens while further strengthening the government's dominance in the policy arena. Jaime sees this kind of relationship as an indirect conflict (Jaime &amp; </w:t>
      </w:r>
      <w:proofErr w:type="spellStart"/>
      <w:r w:rsidRPr="00FD0033">
        <w:rPr>
          <w:rFonts w:ascii="Book Antiqua" w:hAnsi="Book Antiqua"/>
          <w:szCs w:val="20"/>
        </w:rPr>
        <w:t>Gonzaléz</w:t>
      </w:r>
      <w:proofErr w:type="spellEnd"/>
      <w:r w:rsidRPr="00FD0033">
        <w:rPr>
          <w:rFonts w:ascii="Book Antiqua" w:hAnsi="Book Antiqua"/>
          <w:szCs w:val="20"/>
        </w:rPr>
        <w:t>, 2021). In the context of the case we observed, crisis response policies are an instrument that connects the conflict between the government and society. This escalation of conflict is evident during the policy implementation process. This is also the impact of what has been said, namely that unbalanced political relations push policy actors to a distant position between the government and society. The result is that during the policy implementation process, the government, with its bureaucratic, procedural, and systematic processes, is faced with the demands of the public, who want fast, instant, and uncomplicated services. The orientation between the two in interpreting the implementation of crisis management policies is very different.</w:t>
      </w:r>
    </w:p>
    <w:p w14:paraId="732A9E9C" w14:textId="22BCA70B" w:rsidR="00FD0033" w:rsidRPr="00AA29DB" w:rsidRDefault="00AA29DB" w:rsidP="000B7B75">
      <w:pPr>
        <w:spacing w:after="0" w:line="276" w:lineRule="auto"/>
        <w:jc w:val="both"/>
        <w:rPr>
          <w:rFonts w:ascii="Book Antiqua" w:hAnsi="Book Antiqua"/>
          <w:b/>
          <w:bCs/>
          <w:szCs w:val="20"/>
        </w:rPr>
      </w:pPr>
      <w:r w:rsidRPr="00AA29DB">
        <w:rPr>
          <w:rFonts w:ascii="Book Antiqua" w:hAnsi="Book Antiqua"/>
          <w:b/>
          <w:bCs/>
          <w:szCs w:val="20"/>
        </w:rPr>
        <w:t>CONCLUSION</w:t>
      </w:r>
    </w:p>
    <w:p w14:paraId="3E551142" w14:textId="77777777" w:rsidR="00CA7996" w:rsidRPr="00CA7996" w:rsidRDefault="00CA7996" w:rsidP="00AA29DB">
      <w:pPr>
        <w:spacing w:after="0" w:line="276" w:lineRule="auto"/>
        <w:ind w:firstLine="720"/>
        <w:jc w:val="both"/>
        <w:rPr>
          <w:rFonts w:ascii="Book Antiqua" w:hAnsi="Book Antiqua"/>
          <w:szCs w:val="20"/>
        </w:rPr>
      </w:pPr>
      <w:r w:rsidRPr="00CA7996">
        <w:rPr>
          <w:rFonts w:ascii="Book Antiqua" w:hAnsi="Book Antiqua"/>
          <w:szCs w:val="20"/>
        </w:rPr>
        <w:t xml:space="preserve">The prolonged crisis in </w:t>
      </w:r>
      <w:proofErr w:type="spellStart"/>
      <w:r w:rsidRPr="00CA7996">
        <w:rPr>
          <w:rFonts w:ascii="Book Antiqua" w:hAnsi="Book Antiqua"/>
          <w:szCs w:val="20"/>
        </w:rPr>
        <w:t>Sigi</w:t>
      </w:r>
      <w:proofErr w:type="spellEnd"/>
      <w:r w:rsidRPr="00CA7996">
        <w:rPr>
          <w:rFonts w:ascii="Book Antiqua" w:hAnsi="Book Antiqua"/>
          <w:szCs w:val="20"/>
        </w:rPr>
        <w:t xml:space="preserve"> has generated voluntary mobilization and expanded alternative political participation from the grassroots. This awakening is the impact of the less-than-optimal realization of the crisis management policy schemes offered by the government and the conditioning of society not to be further involved in the policy process. This situation then mobilized residents to build alternative movements from the grassroots to help each other during a crisis. This movement was carried out voluntarily by relying on community participation. In </w:t>
      </w:r>
      <w:proofErr w:type="spellStart"/>
      <w:r w:rsidRPr="00CA7996">
        <w:rPr>
          <w:rFonts w:ascii="Book Antiqua" w:hAnsi="Book Antiqua"/>
          <w:szCs w:val="20"/>
        </w:rPr>
        <w:t>Sigi</w:t>
      </w:r>
      <w:proofErr w:type="spellEnd"/>
      <w:r w:rsidRPr="00CA7996">
        <w:rPr>
          <w:rFonts w:ascii="Book Antiqua" w:hAnsi="Book Antiqua"/>
          <w:szCs w:val="20"/>
        </w:rPr>
        <w:t xml:space="preserve">, there are two alternative movements mobilized by residents, namely the movement to help neighbors from the kitchen and </w:t>
      </w:r>
      <w:proofErr w:type="spellStart"/>
      <w:r w:rsidRPr="00CA7996">
        <w:rPr>
          <w:rFonts w:ascii="Book Antiqua" w:hAnsi="Book Antiqua"/>
          <w:szCs w:val="20"/>
        </w:rPr>
        <w:t>Roa</w:t>
      </w:r>
      <w:proofErr w:type="spellEnd"/>
      <w:r w:rsidRPr="00CA7996">
        <w:rPr>
          <w:rFonts w:ascii="Book Antiqua" w:hAnsi="Book Antiqua"/>
          <w:szCs w:val="20"/>
        </w:rPr>
        <w:t xml:space="preserve"> </w:t>
      </w:r>
      <w:proofErr w:type="spellStart"/>
      <w:r w:rsidRPr="00CA7996">
        <w:rPr>
          <w:rFonts w:ascii="Book Antiqua" w:hAnsi="Book Antiqua"/>
          <w:szCs w:val="20"/>
        </w:rPr>
        <w:t>jaga</w:t>
      </w:r>
      <w:proofErr w:type="spellEnd"/>
      <w:r w:rsidRPr="00CA7996">
        <w:rPr>
          <w:rFonts w:ascii="Book Antiqua" w:hAnsi="Book Antiqua"/>
          <w:szCs w:val="20"/>
        </w:rPr>
        <w:t xml:space="preserve"> </w:t>
      </w:r>
      <w:proofErr w:type="spellStart"/>
      <w:r w:rsidRPr="00CA7996">
        <w:rPr>
          <w:rFonts w:ascii="Book Antiqua" w:hAnsi="Book Antiqua"/>
          <w:szCs w:val="20"/>
        </w:rPr>
        <w:t>roa</w:t>
      </w:r>
      <w:proofErr w:type="spellEnd"/>
      <w:r w:rsidRPr="00CA7996">
        <w:rPr>
          <w:rFonts w:ascii="Book Antiqua" w:hAnsi="Book Antiqua"/>
          <w:szCs w:val="20"/>
        </w:rPr>
        <w:t>.</w:t>
      </w:r>
    </w:p>
    <w:p w14:paraId="31B1DAA2" w14:textId="6083E053" w:rsidR="008802F0" w:rsidRDefault="00CA7996" w:rsidP="00CA7996">
      <w:pPr>
        <w:spacing w:after="0" w:line="276" w:lineRule="auto"/>
        <w:jc w:val="both"/>
        <w:rPr>
          <w:rFonts w:ascii="Book Antiqua" w:hAnsi="Book Antiqua"/>
          <w:szCs w:val="20"/>
        </w:rPr>
      </w:pPr>
      <w:r w:rsidRPr="00CA7996">
        <w:rPr>
          <w:rFonts w:ascii="Book Antiqua" w:hAnsi="Book Antiqua"/>
          <w:szCs w:val="20"/>
        </w:rPr>
        <w:lastRenderedPageBreak/>
        <w:t xml:space="preserve">The case study in </w:t>
      </w:r>
      <w:proofErr w:type="spellStart"/>
      <w:r w:rsidRPr="00CA7996">
        <w:rPr>
          <w:rFonts w:ascii="Book Antiqua" w:hAnsi="Book Antiqua"/>
          <w:szCs w:val="20"/>
        </w:rPr>
        <w:t>Sigi</w:t>
      </w:r>
      <w:proofErr w:type="spellEnd"/>
      <w:r w:rsidRPr="00CA7996">
        <w:rPr>
          <w:rFonts w:ascii="Book Antiqua" w:hAnsi="Book Antiqua"/>
          <w:szCs w:val="20"/>
        </w:rPr>
        <w:t xml:space="preserve"> shows that handling the crisis with a policy scheme to increase social resilience will only become a new instrument that can widen the gap between the government and citizens and, in specific contexts, further marginalize citizens from the policy arena. The impact is that community political participation is becoming increasingly minimal, and supervision of the realization of crisis management policies could be more optimal (</w:t>
      </w:r>
      <w:proofErr w:type="spellStart"/>
      <w:r w:rsidRPr="00CA7996">
        <w:rPr>
          <w:rFonts w:ascii="Book Antiqua" w:hAnsi="Book Antiqua"/>
          <w:szCs w:val="20"/>
        </w:rPr>
        <w:t>Aklin</w:t>
      </w:r>
      <w:proofErr w:type="spellEnd"/>
      <w:r w:rsidRPr="00CA7996">
        <w:rPr>
          <w:rFonts w:ascii="Book Antiqua" w:hAnsi="Book Antiqua"/>
          <w:szCs w:val="20"/>
        </w:rPr>
        <w:t xml:space="preserve"> et al., 2021; </w:t>
      </w:r>
      <w:proofErr w:type="spellStart"/>
      <w:r w:rsidRPr="00CA7996">
        <w:rPr>
          <w:rFonts w:ascii="Book Antiqua" w:hAnsi="Book Antiqua"/>
          <w:szCs w:val="20"/>
        </w:rPr>
        <w:t>Mudhoffir</w:t>
      </w:r>
      <w:proofErr w:type="spellEnd"/>
      <w:r w:rsidRPr="00CA7996">
        <w:rPr>
          <w:rFonts w:ascii="Book Antiqua" w:hAnsi="Book Antiqua"/>
          <w:szCs w:val="20"/>
        </w:rPr>
        <w:t xml:space="preserve"> &amp; </w:t>
      </w:r>
      <w:proofErr w:type="spellStart"/>
      <w:r w:rsidRPr="00CA7996">
        <w:rPr>
          <w:rFonts w:ascii="Book Antiqua" w:hAnsi="Book Antiqua"/>
          <w:szCs w:val="20"/>
        </w:rPr>
        <w:t>Hadiz</w:t>
      </w:r>
      <w:proofErr w:type="spellEnd"/>
      <w:r w:rsidRPr="00CA7996">
        <w:rPr>
          <w:rFonts w:ascii="Book Antiqua" w:hAnsi="Book Antiqua"/>
          <w:szCs w:val="20"/>
        </w:rPr>
        <w:t xml:space="preserve">, 2021; </w:t>
      </w:r>
      <w:proofErr w:type="spellStart"/>
      <w:r w:rsidRPr="00CA7996">
        <w:rPr>
          <w:rFonts w:ascii="Book Antiqua" w:hAnsi="Book Antiqua"/>
          <w:szCs w:val="20"/>
        </w:rPr>
        <w:t>Yuda</w:t>
      </w:r>
      <w:proofErr w:type="spellEnd"/>
      <w:r w:rsidRPr="00CA7996">
        <w:rPr>
          <w:rFonts w:ascii="Book Antiqua" w:hAnsi="Book Antiqua"/>
          <w:szCs w:val="20"/>
        </w:rPr>
        <w:t xml:space="preserve"> et al., 2021). Although on the other hand, this situation has encouraged the mobilization of citizens in the form of alternative movements. However, this kind of alternative movement will only last for a while. Finally, we reiterate the argument that in the Indonesian context, with an inadequate welfare scheme, social response policies resulting from the crisis will not be effective as long as social relations in the policy arena are not immediately addressed.</w:t>
      </w:r>
    </w:p>
    <w:p w14:paraId="0FB5733C" w14:textId="7989F1D4" w:rsidR="00916449" w:rsidRDefault="00916449" w:rsidP="00916449">
      <w:pPr>
        <w:spacing w:after="0" w:line="276" w:lineRule="auto"/>
        <w:jc w:val="both"/>
        <w:rPr>
          <w:rFonts w:ascii="Book Antiqua" w:eastAsia="Calibri" w:hAnsi="Book Antiqua" w:cs="Times New Roman"/>
        </w:rPr>
      </w:pPr>
      <w:r w:rsidRPr="006F0F22">
        <w:rPr>
          <w:rFonts w:ascii="Book Antiqua" w:eastAsia="Calibri" w:hAnsi="Book Antiqua" w:cs="Times New Roman"/>
          <w:b/>
          <w:szCs w:val="18"/>
          <w:lang w:val="pt-BR"/>
        </w:rPr>
        <w:t>REFER</w:t>
      </w:r>
      <w:r w:rsidRPr="006F0F22">
        <w:rPr>
          <w:rFonts w:ascii="Book Antiqua" w:eastAsia="Calibri" w:hAnsi="Book Antiqua" w:cs="Times New Roman"/>
          <w:b/>
          <w:szCs w:val="18"/>
          <w:lang w:val="id-ID"/>
        </w:rPr>
        <w:t>ENCES</w:t>
      </w:r>
      <w:r w:rsidRPr="006F0F22">
        <w:rPr>
          <w:rFonts w:ascii="Book Antiqua" w:eastAsia="Calibri" w:hAnsi="Book Antiqua" w:cs="Times New Roman"/>
          <w:b/>
          <w:szCs w:val="18"/>
          <w:lang w:val="pt-BR"/>
        </w:rPr>
        <w:t xml:space="preserve"> </w:t>
      </w:r>
    </w:p>
    <w:p w14:paraId="582D3550" w14:textId="77777777" w:rsidR="003009B3" w:rsidRPr="003009B3" w:rsidRDefault="003009B3" w:rsidP="003009B3">
      <w:pPr>
        <w:spacing w:after="0" w:line="276" w:lineRule="auto"/>
        <w:ind w:firstLine="567"/>
        <w:jc w:val="both"/>
        <w:rPr>
          <w:rFonts w:ascii="Book Antiqua" w:eastAsia="Calibri" w:hAnsi="Book Antiqua" w:cs="Times New Roman"/>
          <w:szCs w:val="18"/>
          <w:lang w:val="id-ID"/>
        </w:rPr>
      </w:pPr>
    </w:p>
    <w:p w14:paraId="596335DF" w14:textId="2ACEE1AC"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Adams, K. M., Choe, J., Mostafanezhad, M., &amp; Phi, G. T. (2021). (Post-) pandemic tourism resiliency: Southeast Asian lives and livelihoods in limbo. Https://Doi.Org/10.1080/14616688.2021.1916584, 23(4), 915–936. </w:t>
      </w:r>
      <w:hyperlink r:id="rId8" w:history="1">
        <w:r w:rsidRPr="001703DA">
          <w:rPr>
            <w:rStyle w:val="Hyperlink"/>
            <w:rFonts w:ascii="Book Antiqua" w:eastAsia="Calibri" w:hAnsi="Book Antiqua" w:cs="Times New Roman"/>
            <w:szCs w:val="18"/>
            <w:lang w:val="id-ID"/>
          </w:rPr>
          <w:t>https://doi.org/10.1080/14616688.2021.1916584</w:t>
        </w:r>
      </w:hyperlink>
      <w:r>
        <w:rPr>
          <w:rFonts w:ascii="Book Antiqua" w:eastAsia="Calibri" w:hAnsi="Book Antiqua" w:cs="Times New Roman"/>
          <w:szCs w:val="18"/>
        </w:rPr>
        <w:t xml:space="preserve"> </w:t>
      </w:r>
    </w:p>
    <w:p w14:paraId="4E1696DC" w14:textId="4A58B318"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Aklin, M., Cheng, C. Y., &amp; Urpelainen, J. (2021). Inequality in policy implementation: Caste and electrification in rural India. Journal of Public Policy, 41(2), 331–359. </w:t>
      </w:r>
      <w:hyperlink r:id="rId9" w:history="1">
        <w:r w:rsidRPr="001703DA">
          <w:rPr>
            <w:rStyle w:val="Hyperlink"/>
            <w:rFonts w:ascii="Book Antiqua" w:eastAsia="Calibri" w:hAnsi="Book Antiqua" w:cs="Times New Roman"/>
            <w:szCs w:val="18"/>
            <w:lang w:val="id-ID"/>
          </w:rPr>
          <w:t>https://doi.org/10.1017/S0143814X20000045</w:t>
        </w:r>
      </w:hyperlink>
      <w:r>
        <w:rPr>
          <w:rFonts w:ascii="Book Antiqua" w:eastAsia="Calibri" w:hAnsi="Book Antiqua" w:cs="Times New Roman"/>
          <w:szCs w:val="18"/>
        </w:rPr>
        <w:t xml:space="preserve"> </w:t>
      </w:r>
    </w:p>
    <w:p w14:paraId="53A65082" w14:textId="68D2D73B"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Atmojo, M. E., &amp; Pratiwi, V. P. (2022). Pemulihan Ekonomi Pasca Pandemi Covid-19: Branding UMKM melalui Media Sosial di Desa Hargorejo. Bubungan Tinggi: Jurnal Pengabdian Masyarakat, 4(3), 816. </w:t>
      </w:r>
      <w:hyperlink r:id="rId10" w:history="1">
        <w:r w:rsidRPr="001703DA">
          <w:rPr>
            <w:rStyle w:val="Hyperlink"/>
            <w:rFonts w:ascii="Book Antiqua" w:eastAsia="Calibri" w:hAnsi="Book Antiqua" w:cs="Times New Roman"/>
            <w:szCs w:val="18"/>
            <w:lang w:val="id-ID"/>
          </w:rPr>
          <w:t>https://doi.org/10.20527/btjpm.v4i3.5676</w:t>
        </w:r>
      </w:hyperlink>
      <w:r>
        <w:rPr>
          <w:rFonts w:ascii="Book Antiqua" w:eastAsia="Calibri" w:hAnsi="Book Antiqua" w:cs="Times New Roman"/>
          <w:szCs w:val="18"/>
        </w:rPr>
        <w:t xml:space="preserve"> </w:t>
      </w:r>
    </w:p>
    <w:p w14:paraId="2E6B7C38" w14:textId="004528D3"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Bhorat, H., Oosthuizen, M., &amp; Stanwix, B. (2021). Social Assistance Amidst the COVID-19 Epidemic in South Africa: A Policy Assessment. South African Journal of Economics, 89(1), 63–81. </w:t>
      </w:r>
      <w:hyperlink r:id="rId11" w:history="1">
        <w:r w:rsidRPr="001703DA">
          <w:rPr>
            <w:rStyle w:val="Hyperlink"/>
            <w:rFonts w:ascii="Book Antiqua" w:eastAsia="Calibri" w:hAnsi="Book Antiqua" w:cs="Times New Roman"/>
            <w:szCs w:val="18"/>
            <w:lang w:val="id-ID"/>
          </w:rPr>
          <w:t>https://doi.org/10.1111/SAJE.12277</w:t>
        </w:r>
      </w:hyperlink>
      <w:r>
        <w:rPr>
          <w:rFonts w:ascii="Book Antiqua" w:eastAsia="Calibri" w:hAnsi="Book Antiqua" w:cs="Times New Roman"/>
          <w:szCs w:val="18"/>
        </w:rPr>
        <w:t xml:space="preserve"> </w:t>
      </w:r>
    </w:p>
    <w:p w14:paraId="6C8946E2" w14:textId="613A7191"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Damayanti, R., Yuswanto, A., &amp; Hariri3, A. (2022). Post-Pandemic Covid-19: Factors Affecting Startup Success in the Indonesian Economy. East Asian Journal of Multidisciplinary Research , 1(4), 691–706. </w:t>
      </w:r>
      <w:hyperlink r:id="rId12" w:history="1">
        <w:r w:rsidRPr="001703DA">
          <w:rPr>
            <w:rStyle w:val="Hyperlink"/>
            <w:rFonts w:ascii="Book Antiqua" w:eastAsia="Calibri" w:hAnsi="Book Antiqua" w:cs="Times New Roman"/>
            <w:szCs w:val="18"/>
            <w:lang w:val="id-ID"/>
          </w:rPr>
          <w:t>https://doi.org/10.55927/EAJMR.V1I4.435</w:t>
        </w:r>
      </w:hyperlink>
      <w:r>
        <w:rPr>
          <w:rFonts w:ascii="Book Antiqua" w:eastAsia="Calibri" w:hAnsi="Book Antiqua" w:cs="Times New Roman"/>
          <w:szCs w:val="18"/>
        </w:rPr>
        <w:t xml:space="preserve"> </w:t>
      </w:r>
    </w:p>
    <w:p w14:paraId="6971446F" w14:textId="7BAF6F2A"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Darmawan, A. D. (2022). Jumlah Konfirmasi Positif Mingguan di Sulawesi Tengah, Paling Tinggi Terjadi di Sigi. Kata Data. </w:t>
      </w:r>
      <w:hyperlink r:id="rId13" w:history="1">
        <w:r w:rsidRPr="001703DA">
          <w:rPr>
            <w:rStyle w:val="Hyperlink"/>
            <w:rFonts w:ascii="Book Antiqua" w:eastAsia="Calibri" w:hAnsi="Book Antiqua" w:cs="Times New Roman"/>
            <w:szCs w:val="18"/>
            <w:lang w:val="id-ID"/>
          </w:rPr>
          <w:t>https://databoks.katadata.co.id/datapublish/2022/04/18/jumlah-konfirmasi-positif-mingguan-di-sulawesi-tengah-paling-tinggi-terjadi-di-sigi</w:t>
        </w:r>
      </w:hyperlink>
      <w:r>
        <w:rPr>
          <w:rFonts w:ascii="Book Antiqua" w:eastAsia="Calibri" w:hAnsi="Book Antiqua" w:cs="Times New Roman"/>
          <w:szCs w:val="18"/>
        </w:rPr>
        <w:t xml:space="preserve"> </w:t>
      </w:r>
    </w:p>
    <w:p w14:paraId="395B4BBD" w14:textId="4536447E"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Devereux, S. (2021). Social protection responses to COVID-19 in Africa. Global Social Policy, 21(3), 421–447. </w:t>
      </w:r>
      <w:hyperlink r:id="rId14" w:history="1">
        <w:r w:rsidRPr="001703DA">
          <w:rPr>
            <w:rStyle w:val="Hyperlink"/>
            <w:rFonts w:ascii="Book Antiqua" w:eastAsia="Calibri" w:hAnsi="Book Antiqua" w:cs="Times New Roman"/>
            <w:szCs w:val="18"/>
            <w:lang w:val="id-ID"/>
          </w:rPr>
          <w:t>https://doi.org/10.1177/14680181211021260</w:t>
        </w:r>
      </w:hyperlink>
      <w:r>
        <w:rPr>
          <w:rFonts w:ascii="Book Antiqua" w:eastAsia="Calibri" w:hAnsi="Book Antiqua" w:cs="Times New Roman"/>
          <w:szCs w:val="18"/>
        </w:rPr>
        <w:t xml:space="preserve"> </w:t>
      </w:r>
    </w:p>
    <w:p w14:paraId="7E755D56" w14:textId="048079B1"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lastRenderedPageBreak/>
        <w:t xml:space="preserve">Dokhi, M., Siagian, T. H., Utomo, A. P., &amp; Rumanitha, E. (2017). Social Capital and Disaster Preparedness in Indonesia: A Quantitative Assessment Through Binary Logistic Regression. 589–608. </w:t>
      </w:r>
      <w:hyperlink r:id="rId15" w:history="1">
        <w:r w:rsidRPr="001703DA">
          <w:rPr>
            <w:rStyle w:val="Hyperlink"/>
            <w:rFonts w:ascii="Book Antiqua" w:eastAsia="Calibri" w:hAnsi="Book Antiqua" w:cs="Times New Roman"/>
            <w:szCs w:val="18"/>
            <w:lang w:val="id-ID"/>
          </w:rPr>
          <w:t>https://doi.org/10.1007/978-3-319-54466-3_24</w:t>
        </w:r>
      </w:hyperlink>
      <w:r>
        <w:rPr>
          <w:rFonts w:ascii="Book Antiqua" w:eastAsia="Calibri" w:hAnsi="Book Antiqua" w:cs="Times New Roman"/>
          <w:szCs w:val="18"/>
        </w:rPr>
        <w:t xml:space="preserve"> </w:t>
      </w:r>
    </w:p>
    <w:p w14:paraId="778A979D" w14:textId="763E3525"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Donoso, S., Puga, I., Moya, C., &amp; Gerber, M. M. (2022). Is it Worth the Risk? Grievances and Street Protest Participation During the COVID-19 Pandemic in Chile. Journal of Politics in Latin America, 14(3), 338–362. </w:t>
      </w:r>
      <w:hyperlink r:id="rId16" w:history="1">
        <w:r w:rsidRPr="001703DA">
          <w:rPr>
            <w:rStyle w:val="Hyperlink"/>
            <w:rFonts w:ascii="Book Antiqua" w:eastAsia="Calibri" w:hAnsi="Book Antiqua" w:cs="Times New Roman"/>
            <w:szCs w:val="18"/>
            <w:lang w:val="id-ID"/>
          </w:rPr>
          <w:t>https://doi.org/10.1177/1866802X221127712</w:t>
        </w:r>
      </w:hyperlink>
      <w:r>
        <w:rPr>
          <w:rFonts w:ascii="Book Antiqua" w:eastAsia="Calibri" w:hAnsi="Book Antiqua" w:cs="Times New Roman"/>
          <w:szCs w:val="18"/>
        </w:rPr>
        <w:t xml:space="preserve"> </w:t>
      </w:r>
    </w:p>
    <w:p w14:paraId="1AE7471E" w14:textId="3268D18E"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Frey, B. (2020). Platform Labor and In/Formality: Organization among Motorcycle Taxi Drivers in Bandung, Indonesia. Anthropology of Work Review, 41(1), 36–49. </w:t>
      </w:r>
      <w:hyperlink r:id="rId17" w:history="1">
        <w:r w:rsidRPr="001703DA">
          <w:rPr>
            <w:rStyle w:val="Hyperlink"/>
            <w:rFonts w:ascii="Book Antiqua" w:eastAsia="Calibri" w:hAnsi="Book Antiqua" w:cs="Times New Roman"/>
            <w:szCs w:val="18"/>
            <w:lang w:val="id-ID"/>
          </w:rPr>
          <w:t>https://doi.org/10.1111/awr.12187</w:t>
        </w:r>
      </w:hyperlink>
      <w:r>
        <w:rPr>
          <w:rFonts w:ascii="Book Antiqua" w:eastAsia="Calibri" w:hAnsi="Book Antiqua" w:cs="Times New Roman"/>
          <w:szCs w:val="18"/>
        </w:rPr>
        <w:t xml:space="preserve"> </w:t>
      </w:r>
    </w:p>
    <w:p w14:paraId="359FFEB9" w14:textId="53760363"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Handayani, F. (2021). Structural Break and The Period of Indonesia’s Post-Pandemic Economic Recovery. Economics Development Analysis Journal, 10(4), 426–435. </w:t>
      </w:r>
      <w:hyperlink r:id="rId18" w:history="1">
        <w:r w:rsidRPr="001703DA">
          <w:rPr>
            <w:rStyle w:val="Hyperlink"/>
            <w:rFonts w:ascii="Book Antiqua" w:eastAsia="Calibri" w:hAnsi="Book Antiqua" w:cs="Times New Roman"/>
            <w:szCs w:val="18"/>
            <w:lang w:val="id-ID"/>
          </w:rPr>
          <w:t>https://doi.org/10.15294/EDAJ.V10I4.46897</w:t>
        </w:r>
      </w:hyperlink>
      <w:r>
        <w:rPr>
          <w:rFonts w:ascii="Book Antiqua" w:eastAsia="Calibri" w:hAnsi="Book Antiqua" w:cs="Times New Roman"/>
          <w:szCs w:val="18"/>
        </w:rPr>
        <w:t xml:space="preserve"> </w:t>
      </w:r>
    </w:p>
    <w:p w14:paraId="55FBDB38" w14:textId="571C7B47"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Humas. (2022). Pemanfaatan Dana Desa Tahun 2021 dan Prioritas Pemanfaatan Dana Desa Tahun 2022. Sekretaris Kabinet Republik Indonesia. </w:t>
      </w:r>
      <w:hyperlink r:id="rId19" w:history="1">
        <w:r w:rsidRPr="001703DA">
          <w:rPr>
            <w:rStyle w:val="Hyperlink"/>
            <w:rFonts w:ascii="Book Antiqua" w:eastAsia="Calibri" w:hAnsi="Book Antiqua" w:cs="Times New Roman"/>
            <w:szCs w:val="18"/>
            <w:lang w:val="id-ID"/>
          </w:rPr>
          <w:t>https://setkab.go.id/pemanfaatan-dana-desa-tahun-2021-dan-prioritas-pemanfaatan-dana-desa-tahun-2022/</w:t>
        </w:r>
      </w:hyperlink>
      <w:r>
        <w:rPr>
          <w:rFonts w:ascii="Book Antiqua" w:eastAsia="Calibri" w:hAnsi="Book Antiqua" w:cs="Times New Roman"/>
          <w:szCs w:val="18"/>
        </w:rPr>
        <w:t xml:space="preserve"> </w:t>
      </w:r>
    </w:p>
    <w:p w14:paraId="3A15CF48" w14:textId="77777777"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lang w:val="id-ID"/>
        </w:rPr>
      </w:pPr>
      <w:r w:rsidRPr="003009B3">
        <w:rPr>
          <w:rFonts w:ascii="Book Antiqua" w:eastAsia="Calibri" w:hAnsi="Book Antiqua" w:cs="Times New Roman"/>
          <w:szCs w:val="18"/>
          <w:lang w:val="id-ID"/>
        </w:rPr>
        <w:t>Jaime, J., &amp; Gonzaléz, L. (2021). Indigenous people ’ s self-determination in the context of COVID-19 in northern Mexico. https://doi.org/10.1177/11771801211058546</w:t>
      </w:r>
    </w:p>
    <w:p w14:paraId="71BDD21F" w14:textId="79662F0B"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Kim, S. (2015). NGOs and Social Protection in East Asia: Korea, Thailand and Indonesia. Asian Journal of Political Science, 23(1), 23–43. </w:t>
      </w:r>
      <w:hyperlink r:id="rId20" w:history="1">
        <w:r w:rsidRPr="001703DA">
          <w:rPr>
            <w:rStyle w:val="Hyperlink"/>
            <w:rFonts w:ascii="Book Antiqua" w:eastAsia="Calibri" w:hAnsi="Book Antiqua" w:cs="Times New Roman"/>
            <w:szCs w:val="18"/>
            <w:lang w:val="id-ID"/>
          </w:rPr>
          <w:t>https://doi.org/10.1080/02185377.2014.988277</w:t>
        </w:r>
      </w:hyperlink>
      <w:r>
        <w:rPr>
          <w:rFonts w:ascii="Book Antiqua" w:eastAsia="Calibri" w:hAnsi="Book Antiqua" w:cs="Times New Roman"/>
          <w:szCs w:val="18"/>
        </w:rPr>
        <w:t xml:space="preserve"> </w:t>
      </w:r>
    </w:p>
    <w:p w14:paraId="1A32EEB8" w14:textId="5EE5A097"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Kowalewski, M. (2021). Street protests in times of COVID-19: adjusting tactics and marching ‘as usual.’ Social Movement Studies, 20(6), 758–765. </w:t>
      </w:r>
      <w:hyperlink r:id="rId21" w:history="1">
        <w:r w:rsidRPr="001703DA">
          <w:rPr>
            <w:rStyle w:val="Hyperlink"/>
            <w:rFonts w:ascii="Book Antiqua" w:eastAsia="Calibri" w:hAnsi="Book Antiqua" w:cs="Times New Roman"/>
            <w:szCs w:val="18"/>
            <w:lang w:val="id-ID"/>
          </w:rPr>
          <w:t>https://doi.org/10.1080/14742837.2020.1843014</w:t>
        </w:r>
      </w:hyperlink>
      <w:r>
        <w:rPr>
          <w:rFonts w:ascii="Book Antiqua" w:eastAsia="Calibri" w:hAnsi="Book Antiqua" w:cs="Times New Roman"/>
          <w:szCs w:val="18"/>
        </w:rPr>
        <w:t xml:space="preserve"> </w:t>
      </w:r>
    </w:p>
    <w:p w14:paraId="2EFCBB46" w14:textId="24A5B6A9"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Ksp. (2021). Roa Jaga Roa Cara Palu Membantu Pasien Isoman. Kantor Staf Presiden. </w:t>
      </w:r>
      <w:hyperlink r:id="rId22" w:history="1">
        <w:r w:rsidRPr="001703DA">
          <w:rPr>
            <w:rStyle w:val="Hyperlink"/>
            <w:rFonts w:ascii="Book Antiqua" w:eastAsia="Calibri" w:hAnsi="Book Antiqua" w:cs="Times New Roman"/>
            <w:szCs w:val="18"/>
            <w:lang w:val="id-ID"/>
          </w:rPr>
          <w:t>https://www.ksp.go.id/roa-jaga-roa-cara-palu-membantu-pasien-isoman.html</w:t>
        </w:r>
      </w:hyperlink>
      <w:r>
        <w:rPr>
          <w:rFonts w:ascii="Book Antiqua" w:eastAsia="Calibri" w:hAnsi="Book Antiqua" w:cs="Times New Roman"/>
          <w:szCs w:val="18"/>
        </w:rPr>
        <w:t xml:space="preserve"> </w:t>
      </w:r>
    </w:p>
    <w:p w14:paraId="30A92946" w14:textId="1184EC61"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Laksana, S. (2021). Post Pandemic Indonesian Regional Development Planning, New Normal, New Orientation: The Case of West Java. Jurnal Perencanaan Pembangunan: The Indonesian Journal of Development Planning, 5(1), 32–50. </w:t>
      </w:r>
      <w:hyperlink r:id="rId23" w:history="1">
        <w:r w:rsidRPr="001703DA">
          <w:rPr>
            <w:rStyle w:val="Hyperlink"/>
            <w:rFonts w:ascii="Book Antiqua" w:eastAsia="Calibri" w:hAnsi="Book Antiqua" w:cs="Times New Roman"/>
            <w:szCs w:val="18"/>
            <w:lang w:val="id-ID"/>
          </w:rPr>
          <w:t>https://doi.org/10.36574/jpp.v5i1.150</w:t>
        </w:r>
      </w:hyperlink>
      <w:r>
        <w:rPr>
          <w:rFonts w:ascii="Book Antiqua" w:eastAsia="Calibri" w:hAnsi="Book Antiqua" w:cs="Times New Roman"/>
          <w:szCs w:val="18"/>
        </w:rPr>
        <w:t xml:space="preserve"> </w:t>
      </w:r>
    </w:p>
    <w:p w14:paraId="64A128C9" w14:textId="3A8DC04A"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Lukiyanto, K., &amp; Wijayaningtyas, M. (2020). Gotong Royong as social capital to overcome micro and small enterprises’ capital difficulties. Heliyon, 6(9), e04879. </w:t>
      </w:r>
      <w:hyperlink r:id="rId24" w:history="1">
        <w:r w:rsidRPr="001703DA">
          <w:rPr>
            <w:rStyle w:val="Hyperlink"/>
            <w:rFonts w:ascii="Book Antiqua" w:eastAsia="Calibri" w:hAnsi="Book Antiqua" w:cs="Times New Roman"/>
            <w:szCs w:val="18"/>
            <w:lang w:val="id-ID"/>
          </w:rPr>
          <w:t>https://doi.org/10.1016/J.HELIYON.2020.E04879</w:t>
        </w:r>
      </w:hyperlink>
      <w:r>
        <w:rPr>
          <w:rFonts w:ascii="Book Antiqua" w:eastAsia="Calibri" w:hAnsi="Book Antiqua" w:cs="Times New Roman"/>
          <w:szCs w:val="18"/>
        </w:rPr>
        <w:t xml:space="preserve"> </w:t>
      </w:r>
    </w:p>
    <w:p w14:paraId="15A6965E" w14:textId="65EA8421"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lastRenderedPageBreak/>
        <w:t xml:space="preserve">Mercer, C. (2002). NGOs, civil society and democratization: a critical review of the literature. Http://Dx.Doi.Org/10.1191/1464993402ps027ra, 2(1), 5–22. </w:t>
      </w:r>
      <w:hyperlink r:id="rId25" w:history="1">
        <w:r w:rsidRPr="001703DA">
          <w:rPr>
            <w:rStyle w:val="Hyperlink"/>
            <w:rFonts w:ascii="Book Antiqua" w:eastAsia="Calibri" w:hAnsi="Book Antiqua" w:cs="Times New Roman"/>
            <w:szCs w:val="18"/>
            <w:lang w:val="id-ID"/>
          </w:rPr>
          <w:t>https://doi.org/10.1191/1464993402PS027RA</w:t>
        </w:r>
      </w:hyperlink>
      <w:r>
        <w:rPr>
          <w:rFonts w:ascii="Book Antiqua" w:eastAsia="Calibri" w:hAnsi="Book Antiqua" w:cs="Times New Roman"/>
          <w:szCs w:val="18"/>
        </w:rPr>
        <w:t xml:space="preserve"> </w:t>
      </w:r>
    </w:p>
    <w:p w14:paraId="32E3447A" w14:textId="3A0361D5"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Mudhoffir, A. M., &amp; Hadiz, V. R. (2021). Social Resilience Against COVID-19 Masks Indonesian Class Divide. Georgetown Journal of International Affairs, 22(1), 45–52. </w:t>
      </w:r>
      <w:hyperlink r:id="rId26" w:history="1">
        <w:r w:rsidRPr="001703DA">
          <w:rPr>
            <w:rStyle w:val="Hyperlink"/>
            <w:rFonts w:ascii="Book Antiqua" w:eastAsia="Calibri" w:hAnsi="Book Antiqua" w:cs="Times New Roman"/>
            <w:szCs w:val="18"/>
            <w:lang w:val="id-ID"/>
          </w:rPr>
          <w:t>https://doi.org/10.1353/gia.2021.0014</w:t>
        </w:r>
      </w:hyperlink>
      <w:r>
        <w:rPr>
          <w:rFonts w:ascii="Book Antiqua" w:eastAsia="Calibri" w:hAnsi="Book Antiqua" w:cs="Times New Roman"/>
          <w:szCs w:val="18"/>
        </w:rPr>
        <w:t xml:space="preserve"> </w:t>
      </w:r>
    </w:p>
    <w:p w14:paraId="53C6DC3A" w14:textId="617FC99E"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Muzayanah, I. F. U., Nazara, S., Mahi, B. R., &amp; Hartono, D. (2020). Is there social capital in cities? The association of urban form and social capital formation in the metropolitan cities of Indonesia. Https://Doi.Org/10.1080/12265934.2020.1730934, 24(4), 532–556. </w:t>
      </w:r>
      <w:hyperlink r:id="rId27" w:history="1">
        <w:r w:rsidRPr="001703DA">
          <w:rPr>
            <w:rStyle w:val="Hyperlink"/>
            <w:rFonts w:ascii="Book Antiqua" w:eastAsia="Calibri" w:hAnsi="Book Antiqua" w:cs="Times New Roman"/>
            <w:szCs w:val="18"/>
            <w:lang w:val="id-ID"/>
          </w:rPr>
          <w:t>https://doi.org/10.1080/12265934.2020.1730934</w:t>
        </w:r>
      </w:hyperlink>
      <w:r>
        <w:rPr>
          <w:rFonts w:ascii="Book Antiqua" w:eastAsia="Calibri" w:hAnsi="Book Antiqua" w:cs="Times New Roman"/>
          <w:szCs w:val="18"/>
        </w:rPr>
        <w:t xml:space="preserve"> </w:t>
      </w:r>
    </w:p>
    <w:p w14:paraId="0EFB8A18" w14:textId="6C677545"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Park, J. P. (2010). Civic Networks and Building Social Capital in Indonesia: An Innovative. Journal Of International and Area Studies, 75–90. </w:t>
      </w:r>
      <w:hyperlink r:id="rId28" w:history="1">
        <w:r w:rsidRPr="001703DA">
          <w:rPr>
            <w:rStyle w:val="Hyperlink"/>
            <w:rFonts w:ascii="Book Antiqua" w:eastAsia="Calibri" w:hAnsi="Book Antiqua" w:cs="Times New Roman"/>
            <w:szCs w:val="18"/>
            <w:lang w:val="id-ID"/>
          </w:rPr>
          <w:t>https://www.jstor.org/stable/43111485</w:t>
        </w:r>
      </w:hyperlink>
      <w:r>
        <w:rPr>
          <w:rFonts w:ascii="Book Antiqua" w:eastAsia="Calibri" w:hAnsi="Book Antiqua" w:cs="Times New Roman"/>
          <w:szCs w:val="18"/>
        </w:rPr>
        <w:t xml:space="preserve"> </w:t>
      </w:r>
    </w:p>
    <w:p w14:paraId="62ED7935" w14:textId="62B22B59"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Pongutta, S., Kantamaturapoj, K., Phakdeesettakun, K., &amp; Phonsuk, P. (2021). The social impact of the COVID-19 outbreak on urban slums and the response of civil society organisations: A case study in Bangkok, Thailand. Heliyon, 7(5), e07161. </w:t>
      </w:r>
      <w:hyperlink r:id="rId29" w:history="1">
        <w:r w:rsidRPr="001703DA">
          <w:rPr>
            <w:rStyle w:val="Hyperlink"/>
            <w:rFonts w:ascii="Book Antiqua" w:eastAsia="Calibri" w:hAnsi="Book Antiqua" w:cs="Times New Roman"/>
            <w:szCs w:val="18"/>
            <w:lang w:val="id-ID"/>
          </w:rPr>
          <w:t>https://doi.org/10.1016/J.HELIYON.2021.E07161</w:t>
        </w:r>
      </w:hyperlink>
      <w:r>
        <w:rPr>
          <w:rFonts w:ascii="Book Antiqua" w:eastAsia="Calibri" w:hAnsi="Book Antiqua" w:cs="Times New Roman"/>
          <w:szCs w:val="18"/>
        </w:rPr>
        <w:t xml:space="preserve"> </w:t>
      </w:r>
    </w:p>
    <w:p w14:paraId="4B4FD2D3" w14:textId="3D185426"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Prabawani, B., Prihatini, A. E., &amp; Purbawati, D. (2019). Economic Rationalities of Loksado Indigenous in a Redenomination Perspective. Jurnal Ilmu Sosial. </w:t>
      </w:r>
      <w:hyperlink r:id="rId30" w:history="1">
        <w:r w:rsidRPr="001703DA">
          <w:rPr>
            <w:rStyle w:val="Hyperlink"/>
            <w:rFonts w:ascii="Book Antiqua" w:eastAsia="Calibri" w:hAnsi="Book Antiqua" w:cs="Times New Roman"/>
            <w:szCs w:val="18"/>
            <w:lang w:val="id-ID"/>
          </w:rPr>
          <w:t>https://doi.org/10.14710/jis.18.1.2019.1-16</w:t>
        </w:r>
      </w:hyperlink>
      <w:r>
        <w:rPr>
          <w:rFonts w:ascii="Book Antiqua" w:eastAsia="Calibri" w:hAnsi="Book Antiqua" w:cs="Times New Roman"/>
          <w:szCs w:val="18"/>
        </w:rPr>
        <w:t xml:space="preserve"> </w:t>
      </w:r>
    </w:p>
    <w:p w14:paraId="5057CA0F" w14:textId="4922163B"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Puspitasari Gobel, Y. (2020). Pemulihan Ekonomi Indonesia Pasca Pandemi Covid-19 Dengan Mengkombinasikan Model Filantropi Islam Dan Ndeas Model. Jurnal Tabarru’: Islamic Banking and Finance, 3(2), 209–223. </w:t>
      </w:r>
      <w:hyperlink r:id="rId31" w:history="1">
        <w:r w:rsidRPr="001703DA">
          <w:rPr>
            <w:rStyle w:val="Hyperlink"/>
            <w:rFonts w:ascii="Book Antiqua" w:eastAsia="Calibri" w:hAnsi="Book Antiqua" w:cs="Times New Roman"/>
            <w:szCs w:val="18"/>
            <w:lang w:val="id-ID"/>
          </w:rPr>
          <w:t>https://doi.org/10.25299/jtb.2020.vol3(2).5809</w:t>
        </w:r>
      </w:hyperlink>
      <w:r>
        <w:rPr>
          <w:rFonts w:ascii="Book Antiqua" w:eastAsia="Calibri" w:hAnsi="Book Antiqua" w:cs="Times New Roman"/>
          <w:szCs w:val="18"/>
        </w:rPr>
        <w:t xml:space="preserve"> </w:t>
      </w:r>
    </w:p>
    <w:p w14:paraId="52EF8062" w14:textId="52843E68"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Qadri, M. (2020). Kasus Pertama, satu warga di Sulteng di konfirmasi Corona. Detik News. </w:t>
      </w:r>
      <w:hyperlink r:id="rId32" w:history="1">
        <w:r w:rsidRPr="001703DA">
          <w:rPr>
            <w:rStyle w:val="Hyperlink"/>
            <w:rFonts w:ascii="Book Antiqua" w:eastAsia="Calibri" w:hAnsi="Book Antiqua" w:cs="Times New Roman"/>
            <w:szCs w:val="18"/>
            <w:lang w:val="id-ID"/>
          </w:rPr>
          <w:t>https://news.detik.com/berita/d-4954286/kasus-pertama-satu-warga-sulteng-dikonfirmasi-positif-corona</w:t>
        </w:r>
      </w:hyperlink>
      <w:r>
        <w:rPr>
          <w:rFonts w:ascii="Book Antiqua" w:eastAsia="Calibri" w:hAnsi="Book Antiqua" w:cs="Times New Roman"/>
          <w:szCs w:val="18"/>
        </w:rPr>
        <w:t xml:space="preserve"> </w:t>
      </w:r>
    </w:p>
    <w:p w14:paraId="491D0EC3" w14:textId="5BC79262"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Rahman, A. (2023). Education Policy in a Post-Pandemic: Recovery and Strengthening of Learning in Indonesia. Journal of Public Administration and Local Governance, 7(1), 43–49. </w:t>
      </w:r>
      <w:hyperlink r:id="rId33" w:history="1">
        <w:r w:rsidRPr="001703DA">
          <w:rPr>
            <w:rStyle w:val="Hyperlink"/>
            <w:rFonts w:ascii="Book Antiqua" w:eastAsia="Calibri" w:hAnsi="Book Antiqua" w:cs="Times New Roman"/>
            <w:szCs w:val="18"/>
            <w:lang w:val="id-ID"/>
          </w:rPr>
          <w:t>https://doi.org/10.31002/JPALG.V7I1.7436</w:t>
        </w:r>
      </w:hyperlink>
      <w:r>
        <w:rPr>
          <w:rFonts w:ascii="Book Antiqua" w:eastAsia="Calibri" w:hAnsi="Book Antiqua" w:cs="Times New Roman"/>
          <w:szCs w:val="18"/>
        </w:rPr>
        <w:t xml:space="preserve"> </w:t>
      </w:r>
    </w:p>
    <w:p w14:paraId="7ACC1C8A" w14:textId="77777777"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lang w:val="id-ID"/>
        </w:rPr>
      </w:pPr>
      <w:r w:rsidRPr="003009B3">
        <w:rPr>
          <w:rFonts w:ascii="Book Antiqua" w:eastAsia="Calibri" w:hAnsi="Book Antiqua" w:cs="Times New Roman"/>
          <w:szCs w:val="18"/>
          <w:lang w:val="id-ID"/>
        </w:rPr>
        <w:t>Setkab. (2022). Realisasi PCPEN per 16 September 2022. Info Covid-19. https://covid19.go.id/artikel/2022/12/10/apbn-kerja-keras-pulihkan-ekonomi-nasional</w:t>
      </w:r>
    </w:p>
    <w:p w14:paraId="036FC1D6" w14:textId="3AF23F51"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Srinivas, N. (2009). Against NGOs? Http://Dx.Doi.Org/10.1177/0899764009334308, 38(4), 614–626. </w:t>
      </w:r>
      <w:hyperlink r:id="rId34" w:history="1">
        <w:r w:rsidRPr="001703DA">
          <w:rPr>
            <w:rStyle w:val="Hyperlink"/>
            <w:rFonts w:ascii="Book Antiqua" w:eastAsia="Calibri" w:hAnsi="Book Antiqua" w:cs="Times New Roman"/>
            <w:szCs w:val="18"/>
            <w:lang w:val="id-ID"/>
          </w:rPr>
          <w:t>https://doi.org/10.1177/0899764009334308</w:t>
        </w:r>
      </w:hyperlink>
      <w:r>
        <w:rPr>
          <w:rFonts w:ascii="Book Antiqua" w:eastAsia="Calibri" w:hAnsi="Book Antiqua" w:cs="Times New Roman"/>
          <w:szCs w:val="18"/>
        </w:rPr>
        <w:t xml:space="preserve"> </w:t>
      </w:r>
    </w:p>
    <w:p w14:paraId="716BF133" w14:textId="2549C1F1"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Summerton, S. A. (2020). Implications of the COVID-19 Pandemic for Food Security and Social Protection in India. Indian Journal of Human Development, 14(2), 333–339. </w:t>
      </w:r>
      <w:hyperlink r:id="rId35" w:history="1">
        <w:r w:rsidRPr="001703DA">
          <w:rPr>
            <w:rStyle w:val="Hyperlink"/>
            <w:rFonts w:ascii="Book Antiqua" w:eastAsia="Calibri" w:hAnsi="Book Antiqua" w:cs="Times New Roman"/>
            <w:szCs w:val="18"/>
            <w:lang w:val="id-ID"/>
          </w:rPr>
          <w:t>https://doi.org/10.1177/0973703020944585</w:t>
        </w:r>
      </w:hyperlink>
      <w:r>
        <w:rPr>
          <w:rFonts w:ascii="Book Antiqua" w:eastAsia="Calibri" w:hAnsi="Book Antiqua" w:cs="Times New Roman"/>
          <w:szCs w:val="18"/>
        </w:rPr>
        <w:t xml:space="preserve"> </w:t>
      </w:r>
    </w:p>
    <w:p w14:paraId="55113626" w14:textId="4B175B90"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lastRenderedPageBreak/>
        <w:t xml:space="preserve">Suseno, Y. (2018). Disruptive innovation and the creation of social capital in Indonesia’s urban communities. Asia Pacific Business Review, 24(2), 174–195. </w:t>
      </w:r>
      <w:hyperlink r:id="rId36" w:history="1">
        <w:r w:rsidRPr="001703DA">
          <w:rPr>
            <w:rStyle w:val="Hyperlink"/>
            <w:rFonts w:ascii="Book Antiqua" w:eastAsia="Calibri" w:hAnsi="Book Antiqua" w:cs="Times New Roman"/>
            <w:szCs w:val="18"/>
            <w:lang w:val="id-ID"/>
          </w:rPr>
          <w:t>https://doi.org/10.1080/13602381.2018.1431251</w:t>
        </w:r>
      </w:hyperlink>
      <w:r>
        <w:rPr>
          <w:rFonts w:ascii="Book Antiqua" w:eastAsia="Calibri" w:hAnsi="Book Antiqua" w:cs="Times New Roman"/>
          <w:szCs w:val="18"/>
        </w:rPr>
        <w:t xml:space="preserve"> </w:t>
      </w:r>
    </w:p>
    <w:p w14:paraId="10573D21" w14:textId="251D3F13"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Suseno, Y., &amp; Rowley, C. (2018). Social capital in service-oriented firms: future directions. Https://Doi.Org/10.1080/13602381.2018.1431253, 24(2), 261–271. </w:t>
      </w:r>
      <w:hyperlink r:id="rId37" w:history="1">
        <w:r w:rsidRPr="001703DA">
          <w:rPr>
            <w:rStyle w:val="Hyperlink"/>
            <w:rFonts w:ascii="Book Antiqua" w:eastAsia="Calibri" w:hAnsi="Book Antiqua" w:cs="Times New Roman"/>
            <w:szCs w:val="18"/>
            <w:lang w:val="id-ID"/>
          </w:rPr>
          <w:t>https://doi.org/10.1080/13602381.2018.1431253</w:t>
        </w:r>
      </w:hyperlink>
      <w:r>
        <w:rPr>
          <w:rFonts w:ascii="Book Antiqua" w:eastAsia="Calibri" w:hAnsi="Book Antiqua" w:cs="Times New Roman"/>
          <w:szCs w:val="18"/>
        </w:rPr>
        <w:t xml:space="preserve"> </w:t>
      </w:r>
    </w:p>
    <w:p w14:paraId="7DD0CEFC" w14:textId="5A6B62D0"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Yamazaki, S., Resosudarmo, B. P., Girsang, W., &amp; Hoshino, E. (2018). Productivity, Social Capital and Perceived Environmental Threats in Small-Island Fisheries: Insights from Indonesia. Ecological Economics, 152, 62–75. </w:t>
      </w:r>
      <w:hyperlink r:id="rId38" w:history="1">
        <w:r w:rsidRPr="001703DA">
          <w:rPr>
            <w:rStyle w:val="Hyperlink"/>
            <w:rFonts w:ascii="Book Antiqua" w:eastAsia="Calibri" w:hAnsi="Book Antiqua" w:cs="Times New Roman"/>
            <w:szCs w:val="18"/>
            <w:lang w:val="id-ID"/>
          </w:rPr>
          <w:t>https://doi.org/10.1016/J.ECOLECON.2018.05.020</w:t>
        </w:r>
      </w:hyperlink>
      <w:r>
        <w:rPr>
          <w:rFonts w:ascii="Book Antiqua" w:eastAsia="Calibri" w:hAnsi="Book Antiqua" w:cs="Times New Roman"/>
          <w:szCs w:val="18"/>
        </w:rPr>
        <w:t xml:space="preserve"> </w:t>
      </w:r>
    </w:p>
    <w:p w14:paraId="4EA19BFF" w14:textId="58136130" w:rsidR="003009B3" w:rsidRPr="003009B3" w:rsidRDefault="003009B3" w:rsidP="003009B3">
      <w:pPr>
        <w:tabs>
          <w:tab w:val="left" w:pos="270"/>
        </w:tabs>
        <w:spacing w:after="0" w:line="276" w:lineRule="auto"/>
        <w:ind w:left="720" w:hanging="720"/>
        <w:jc w:val="both"/>
        <w:rPr>
          <w:rFonts w:ascii="Book Antiqua" w:eastAsia="Calibri" w:hAnsi="Book Antiqua" w:cs="Times New Roman"/>
          <w:szCs w:val="18"/>
        </w:rPr>
      </w:pPr>
      <w:r w:rsidRPr="003009B3">
        <w:rPr>
          <w:rFonts w:ascii="Book Antiqua" w:eastAsia="Calibri" w:hAnsi="Book Antiqua" w:cs="Times New Roman"/>
          <w:szCs w:val="18"/>
          <w:lang w:val="id-ID"/>
        </w:rPr>
        <w:t xml:space="preserve">Yuda, T. K., Damanik, J., &amp; Nurhadi. (2021). Examining emerging social policy during COVID-19 in Indonesia and the case for a community-based support system. Asia Pacific Journal of Social Work and Development, 31(1–2), 13–22. </w:t>
      </w:r>
      <w:hyperlink r:id="rId39" w:history="1">
        <w:r w:rsidRPr="001703DA">
          <w:rPr>
            <w:rStyle w:val="Hyperlink"/>
            <w:rFonts w:ascii="Book Antiqua" w:eastAsia="Calibri" w:hAnsi="Book Antiqua" w:cs="Times New Roman"/>
            <w:szCs w:val="18"/>
            <w:lang w:val="id-ID"/>
          </w:rPr>
          <w:t>https://doi.org/10.1080/02185385.2020.1829499</w:t>
        </w:r>
      </w:hyperlink>
      <w:r>
        <w:rPr>
          <w:rFonts w:ascii="Book Antiqua" w:eastAsia="Calibri" w:hAnsi="Book Antiqua" w:cs="Times New Roman"/>
          <w:szCs w:val="18"/>
        </w:rPr>
        <w:t xml:space="preserve"> </w:t>
      </w:r>
    </w:p>
    <w:p w14:paraId="0DE365AC" w14:textId="059F6FFB" w:rsidR="003009B3" w:rsidRDefault="003009B3" w:rsidP="003009B3">
      <w:pPr>
        <w:tabs>
          <w:tab w:val="left" w:pos="270"/>
        </w:tabs>
        <w:spacing w:after="0" w:line="276" w:lineRule="auto"/>
        <w:ind w:left="720" w:hanging="720"/>
        <w:jc w:val="both"/>
        <w:rPr>
          <w:rFonts w:ascii="Book Antiqua" w:eastAsia="Calibri" w:hAnsi="Book Antiqua" w:cs="Times New Roman"/>
          <w:szCs w:val="18"/>
          <w:lang w:val="id-ID"/>
        </w:rPr>
      </w:pPr>
      <w:r w:rsidRPr="003009B3">
        <w:rPr>
          <w:rFonts w:ascii="Book Antiqua" w:eastAsia="Calibri" w:hAnsi="Book Antiqua" w:cs="Times New Roman"/>
          <w:szCs w:val="18"/>
          <w:lang w:val="id-ID"/>
        </w:rPr>
        <w:t xml:space="preserve">Yuda, T. K., Kim, M., Pholpark, A., &amp; Rahman, H. N. B. A. (2022). Unmasking the social policy responses of COVID-19 in four Southeast Asian Nations: institutional patterns and policy adjustment. Asia Pacific Journal of Social Work and Development , 32(4), 294–317. </w:t>
      </w:r>
      <w:hyperlink r:id="rId40" w:history="1">
        <w:r w:rsidRPr="001703DA">
          <w:rPr>
            <w:rStyle w:val="Hyperlink"/>
            <w:rFonts w:ascii="Book Antiqua" w:eastAsia="Calibri" w:hAnsi="Book Antiqua" w:cs="Times New Roman"/>
            <w:szCs w:val="18"/>
            <w:lang w:val="id-ID"/>
          </w:rPr>
          <w:t>https://doi.org/10.1080/02185385.2022.2136234</w:t>
        </w:r>
      </w:hyperlink>
    </w:p>
    <w:p w14:paraId="29EB0C53" w14:textId="48B4580E" w:rsidR="003009B3" w:rsidRDefault="003009B3" w:rsidP="003009B3">
      <w:pPr>
        <w:tabs>
          <w:tab w:val="left" w:pos="270"/>
        </w:tabs>
        <w:spacing w:after="0" w:line="276" w:lineRule="auto"/>
        <w:ind w:left="720" w:hanging="720"/>
        <w:jc w:val="both"/>
        <w:rPr>
          <w:rFonts w:ascii="Book Antiqua" w:eastAsia="Calibri" w:hAnsi="Book Antiqua" w:cs="Times New Roman"/>
          <w:szCs w:val="18"/>
          <w:lang w:val="id-ID"/>
        </w:rPr>
      </w:pPr>
    </w:p>
    <w:p w14:paraId="49A2E7A1" w14:textId="77777777" w:rsidR="003009B3" w:rsidRDefault="003009B3" w:rsidP="003009B3">
      <w:pPr>
        <w:tabs>
          <w:tab w:val="left" w:pos="270"/>
        </w:tabs>
        <w:spacing w:after="0" w:line="276" w:lineRule="auto"/>
        <w:ind w:left="720" w:hanging="720"/>
        <w:jc w:val="both"/>
        <w:rPr>
          <w:rFonts w:ascii="Book Antiqua" w:eastAsia="Calibri" w:hAnsi="Book Antiqua" w:cs="Times New Roman"/>
          <w:szCs w:val="18"/>
          <w:lang w:val="id-ID"/>
        </w:rPr>
      </w:pPr>
    </w:p>
    <w:p w14:paraId="6064E2AC" w14:textId="77777777" w:rsidR="003328B1" w:rsidRDefault="003328B1" w:rsidP="003009B3">
      <w:pPr>
        <w:tabs>
          <w:tab w:val="left" w:pos="270"/>
        </w:tabs>
        <w:spacing w:after="0" w:line="240" w:lineRule="auto"/>
        <w:ind w:left="720" w:hanging="720"/>
        <w:jc w:val="center"/>
      </w:pPr>
    </w:p>
    <w:sectPr w:rsidR="003328B1" w:rsidSect="003328B1">
      <w:headerReference w:type="default" r:id="rId41"/>
      <w:footerReference w:type="default" r:id="rId42"/>
      <w:headerReference w:type="first" r:id="rId43"/>
      <w:footerReference w:type="first" r:id="rId44"/>
      <w:pgSz w:w="12240" w:h="15840"/>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7835F" w14:textId="77777777" w:rsidR="00A11533" w:rsidRDefault="00A11533" w:rsidP="00C27709">
      <w:pPr>
        <w:spacing w:after="0" w:line="240" w:lineRule="auto"/>
      </w:pPr>
      <w:r>
        <w:separator/>
      </w:r>
    </w:p>
  </w:endnote>
  <w:endnote w:type="continuationSeparator" w:id="0">
    <w:p w14:paraId="54FEABE9" w14:textId="77777777" w:rsidR="00A11533" w:rsidRDefault="00A11533" w:rsidP="00C2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B4E76" w14:textId="00DEBED9" w:rsidR="00C27709" w:rsidRPr="003328B1" w:rsidRDefault="00C27709" w:rsidP="003328B1">
    <w:pPr>
      <w:tabs>
        <w:tab w:val="center" w:pos="4513"/>
        <w:tab w:val="right" w:pos="9026"/>
      </w:tabs>
      <w:spacing w:after="0" w:line="240" w:lineRule="auto"/>
      <w:jc w:val="center"/>
      <w:rPr>
        <w:rFonts w:ascii="Calibri" w:eastAsia="Calibri" w:hAnsi="Calibri" w:cs="Times New Roman"/>
        <w:lang w:val="id-ID"/>
      </w:rPr>
    </w:pPr>
    <w:r w:rsidRPr="00C27709">
      <w:rPr>
        <w:rFonts w:ascii="Calibri" w:eastAsia="Calibri" w:hAnsi="Calibri" w:cs="Times New Roman"/>
        <w:noProof/>
        <w:sz w:val="20"/>
        <w:lang w:val="id-ID"/>
      </w:rPr>
      <mc:AlternateContent>
        <mc:Choice Requires="wps">
          <w:drawing>
            <wp:anchor distT="0" distB="0" distL="114300" distR="114300" simplePos="0" relativeHeight="251662336" behindDoc="0" locked="0" layoutInCell="1" allowOverlap="1" wp14:anchorId="5D573206" wp14:editId="00E6ADCF">
              <wp:simplePos x="0" y="0"/>
              <wp:positionH relativeFrom="margin">
                <wp:posOffset>-106680</wp:posOffset>
              </wp:positionH>
              <wp:positionV relativeFrom="paragraph">
                <wp:posOffset>-402590</wp:posOffset>
              </wp:positionV>
              <wp:extent cx="53949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39496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589D1B"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pt,-31.7pt" to="416.4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" strokecolor="windowTex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19991534"/>
  <w:p w14:paraId="2D325B20" w14:textId="01BFD00C" w:rsidR="003328B1" w:rsidRPr="00C27709" w:rsidRDefault="003328B1" w:rsidP="003328B1">
    <w:pPr>
      <w:tabs>
        <w:tab w:val="center" w:pos="4513"/>
        <w:tab w:val="right" w:pos="9026"/>
      </w:tabs>
      <w:spacing w:after="0" w:line="240" w:lineRule="auto"/>
      <w:ind w:left="851" w:hanging="993"/>
      <w:jc w:val="both"/>
      <w:rPr>
        <w:rFonts w:ascii="Book Antiqua" w:eastAsia="Calibri" w:hAnsi="Book Antiqua" w:cs="Times New Roman"/>
        <w:sz w:val="20"/>
        <w:lang w:val="id-ID"/>
      </w:rPr>
    </w:pPr>
    <w:r w:rsidRPr="00C27709">
      <w:rPr>
        <w:rFonts w:ascii="Calibri" w:eastAsia="Calibri" w:hAnsi="Calibri" w:cs="Times New Roman"/>
        <w:noProof/>
        <w:lang w:val="id-ID"/>
      </w:rPr>
      <mc:AlternateContent>
        <mc:Choice Requires="wps">
          <w:drawing>
            <wp:anchor distT="0" distB="0" distL="114300" distR="114300" simplePos="0" relativeHeight="251667456" behindDoc="0" locked="0" layoutInCell="1" allowOverlap="1" wp14:anchorId="369D16E1" wp14:editId="7E4A8757">
              <wp:simplePos x="0" y="0"/>
              <wp:positionH relativeFrom="margin">
                <wp:posOffset>-129540</wp:posOffset>
              </wp:positionH>
              <wp:positionV relativeFrom="paragraph">
                <wp:posOffset>-99060</wp:posOffset>
              </wp:positionV>
              <wp:extent cx="54559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326BC8"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pt,-7.8pt" to="419.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" strokecolor="windowText">
              <v:stroke joinstyle="miter"/>
              <w10:wrap anchorx="margin"/>
            </v:line>
          </w:pict>
        </mc:Fallback>
      </mc:AlternateContent>
    </w:r>
    <w:r w:rsidRPr="00C27709">
      <w:rPr>
        <w:rFonts w:ascii="Book Antiqua" w:eastAsia="Calibri" w:hAnsi="Book Antiqua" w:cs="Times New Roman"/>
        <w:sz w:val="20"/>
        <w:lang w:val="id-ID"/>
      </w:rPr>
      <w:t xml:space="preserve">Citation </w:t>
    </w:r>
    <w:r w:rsidRPr="00C27709">
      <w:rPr>
        <w:rFonts w:ascii="Book Antiqua" w:eastAsia="Calibri" w:hAnsi="Book Antiqua" w:cs="Times New Roman"/>
        <w:sz w:val="20"/>
        <w:lang w:val="id-ID"/>
      </w:rPr>
      <w:t xml:space="preserve">: Author, F.M. (Publication year). </w:t>
    </w:r>
    <w:r w:rsidRPr="00C27709">
      <w:rPr>
        <w:rFonts w:ascii="Book Antiqua" w:eastAsia="Calibri" w:hAnsi="Book Antiqua" w:cs="Times New Roman"/>
        <w:i/>
        <w:sz w:val="20"/>
        <w:lang w:val="id-ID"/>
      </w:rPr>
      <w:t>Article Title</w:t>
    </w:r>
    <w:r w:rsidRPr="00C27709">
      <w:rPr>
        <w:rFonts w:ascii="Calibri" w:eastAsia="Calibri" w:hAnsi="Calibri" w:cs="Times New Roman"/>
        <w:sz w:val="20"/>
        <w:lang w:val="id-ID"/>
      </w:rPr>
      <w:t xml:space="preserve">. </w:t>
    </w:r>
    <w:r w:rsidRPr="00C27709">
      <w:rPr>
        <w:rFonts w:ascii="Book Antiqua" w:eastAsia="Calibri" w:hAnsi="Book Antiqua" w:cs="Times New Roman"/>
        <w:sz w:val="20"/>
        <w:lang w:val="id-ID"/>
      </w:rPr>
      <w:t>Journal of Government and Civil Society, Vol. 1, No. 1, pp.-pp.</w:t>
    </w:r>
  </w:p>
  <w:bookmarkEnd w:id="0"/>
  <w:p w14:paraId="11B6CF10" w14:textId="77777777" w:rsidR="003328B1" w:rsidRDefault="00332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8612F" w14:textId="77777777" w:rsidR="00A11533" w:rsidRDefault="00A11533" w:rsidP="00C27709">
      <w:pPr>
        <w:spacing w:after="0" w:line="240" w:lineRule="auto"/>
      </w:pPr>
      <w:r>
        <w:separator/>
      </w:r>
    </w:p>
  </w:footnote>
  <w:footnote w:type="continuationSeparator" w:id="0">
    <w:p w14:paraId="2621D05E" w14:textId="77777777" w:rsidR="00A11533" w:rsidRDefault="00A11533" w:rsidP="00C2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2E3FC"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3D9665F2"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0676C276"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4B8E9B07" w14:textId="4DD1D8CB" w:rsidR="00C27709" w:rsidRPr="00C27709" w:rsidRDefault="00C27709" w:rsidP="00C27709">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lang w:val="id-ID"/>
      </w:rPr>
      <mc:AlternateContent>
        <mc:Choice Requires="wps">
          <w:drawing>
            <wp:anchor distT="0" distB="0" distL="114300" distR="114300" simplePos="0" relativeHeight="251659264" behindDoc="0" locked="0" layoutInCell="1" allowOverlap="1" wp14:anchorId="6CF4BE10" wp14:editId="1398C3ED">
              <wp:simplePos x="0" y="0"/>
              <wp:positionH relativeFrom="margin">
                <wp:posOffset>-167640</wp:posOffset>
              </wp:positionH>
              <wp:positionV relativeFrom="paragraph">
                <wp:posOffset>50800</wp:posOffset>
              </wp:positionV>
              <wp:extent cx="545592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1CD841"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4pt" to="4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" strokecolor="windowTex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01C06" w14:textId="77777777" w:rsidR="003328B1" w:rsidRPr="00C27709" w:rsidRDefault="003328B1" w:rsidP="003328B1">
    <w:pPr>
      <w:spacing w:after="0" w:line="276" w:lineRule="auto"/>
      <w:ind w:left="-108" w:hanging="10"/>
      <w:jc w:val="both"/>
      <w:rPr>
        <w:rFonts w:ascii="Book Antiqua" w:eastAsia="Calibri" w:hAnsi="Book Antiqua" w:cs="Times New Roman"/>
        <w:b/>
        <w:sz w:val="20"/>
        <w:szCs w:val="20"/>
        <w:lang w:val="id-ID"/>
      </w:rPr>
    </w:pPr>
    <w:r w:rsidRPr="00C27709">
      <w:rPr>
        <w:rFonts w:ascii="Book Antiqua" w:eastAsia="Calibri" w:hAnsi="Book Antiqua" w:cs="Times New Roman"/>
        <w:noProof/>
        <w:sz w:val="20"/>
        <w:szCs w:val="20"/>
        <w:lang w:val="id-ID"/>
      </w:rPr>
      <w:drawing>
        <wp:anchor distT="0" distB="0" distL="114300" distR="114300" simplePos="0" relativeHeight="251665408" behindDoc="0" locked="0" layoutInCell="1" allowOverlap="1" wp14:anchorId="3555E0E2" wp14:editId="3AA0FEFD">
          <wp:simplePos x="0" y="0"/>
          <wp:positionH relativeFrom="column">
            <wp:posOffset>4493260</wp:posOffset>
          </wp:positionH>
          <wp:positionV relativeFrom="paragraph">
            <wp:posOffset>71755</wp:posOffset>
          </wp:positionV>
          <wp:extent cx="746760" cy="5257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GSC.png"/>
                  <pic:cNvPicPr/>
                </pic:nvPicPr>
                <pic:blipFill>
                  <a:blip r:embed="rId1">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746760" cy="525780"/>
                  </a:xfrm>
                  <a:prstGeom prst="rect">
                    <a:avLst/>
                  </a:prstGeom>
                </pic:spPr>
              </pic:pic>
            </a:graphicData>
          </a:graphic>
          <wp14:sizeRelH relativeFrom="margin">
            <wp14:pctWidth>0</wp14:pctWidth>
          </wp14:sizeRelH>
          <wp14:sizeRelV relativeFrom="margin">
            <wp14:pctHeight>0</wp14:pctHeight>
          </wp14:sizeRelV>
        </wp:anchor>
      </w:drawing>
    </w:r>
    <w:r w:rsidRPr="00C27709">
      <w:rPr>
        <w:rFonts w:ascii="Book Antiqua" w:eastAsia="Calibri" w:hAnsi="Book Antiqua" w:cs="Times New Roman"/>
        <w:b/>
        <w:sz w:val="20"/>
        <w:szCs w:val="20"/>
        <w:lang w:val="id-ID"/>
      </w:rPr>
      <w:t>Journal of Government and Civil Society</w:t>
    </w:r>
  </w:p>
  <w:p w14:paraId="2FCFE487" w14:textId="77777777" w:rsidR="003328B1" w:rsidRPr="003328B1" w:rsidRDefault="003328B1" w:rsidP="003328B1">
    <w:pPr>
      <w:tabs>
        <w:tab w:val="left" w:pos="3636"/>
      </w:tabs>
      <w:spacing w:after="0" w:line="276" w:lineRule="auto"/>
      <w:ind w:left="-108" w:hanging="10"/>
      <w:jc w:val="both"/>
      <w:rPr>
        <w:rFonts w:ascii="Book Antiqua" w:eastAsia="Calibri" w:hAnsi="Book Antiqua" w:cs="Times New Roman"/>
        <w:sz w:val="20"/>
        <w:szCs w:val="20"/>
      </w:rPr>
    </w:pPr>
    <w:r w:rsidRPr="00C27709">
      <w:rPr>
        <w:rFonts w:ascii="Book Antiqua" w:eastAsia="Calibri" w:hAnsi="Book Antiqua" w:cs="Times New Roman"/>
        <w:sz w:val="20"/>
        <w:szCs w:val="20"/>
        <w:lang w:val="id-ID"/>
      </w:rPr>
      <w:t>Vol.</w:t>
    </w:r>
    <w:r>
      <w:rPr>
        <w:rFonts w:ascii="Book Antiqua" w:eastAsia="Calibri" w:hAnsi="Book Antiqua" w:cs="Times New Roman"/>
        <w:sz w:val="20"/>
        <w:szCs w:val="20"/>
      </w:rPr>
      <w:t>xx</w:t>
    </w:r>
    <w:r w:rsidRPr="00C27709">
      <w:rPr>
        <w:rFonts w:ascii="Book Antiqua" w:eastAsia="Calibri" w:hAnsi="Book Antiqua" w:cs="Times New Roman"/>
        <w:sz w:val="20"/>
        <w:szCs w:val="20"/>
        <w:lang w:val="id-ID"/>
      </w:rPr>
      <w:t xml:space="preserve">, pp. </w:t>
    </w:r>
    <w:r>
      <w:rPr>
        <w:rFonts w:ascii="Book Antiqua" w:eastAsia="Calibri" w:hAnsi="Book Antiqua" w:cs="Times New Roman"/>
        <w:sz w:val="20"/>
        <w:szCs w:val="20"/>
      </w:rPr>
      <w:t>xx</w:t>
    </w:r>
  </w:p>
  <w:p w14:paraId="557EDA6B" w14:textId="77777777" w:rsidR="003328B1" w:rsidRPr="00C27709" w:rsidRDefault="003328B1" w:rsidP="003328B1">
    <w:pPr>
      <w:tabs>
        <w:tab w:val="left" w:pos="3636"/>
      </w:tabs>
      <w:spacing w:after="0" w:line="276" w:lineRule="auto"/>
      <w:ind w:left="-108" w:hanging="10"/>
      <w:jc w:val="both"/>
      <w:rPr>
        <w:rFonts w:ascii="Book Antiqua" w:eastAsia="Calibri" w:hAnsi="Book Antiqua" w:cs="Times New Roman"/>
        <w:sz w:val="20"/>
        <w:szCs w:val="20"/>
        <w:lang w:val="id-ID"/>
      </w:rPr>
    </w:pPr>
    <w:r w:rsidRPr="00C27709">
      <w:rPr>
        <w:rFonts w:ascii="Book Antiqua" w:eastAsia="Calibri" w:hAnsi="Book Antiqua" w:cs="Times New Roman"/>
        <w:sz w:val="20"/>
        <w:szCs w:val="20"/>
        <w:lang w:val="id-ID"/>
      </w:rPr>
      <w:t>DOI: 10.31000/jgcs</w:t>
    </w:r>
  </w:p>
  <w:p w14:paraId="7E8E30BB" w14:textId="77777777" w:rsidR="003328B1" w:rsidRPr="00C27709" w:rsidRDefault="003328B1" w:rsidP="003328B1">
    <w:pPr>
      <w:tabs>
        <w:tab w:val="center" w:pos="4513"/>
        <w:tab w:val="right" w:pos="9026"/>
      </w:tabs>
      <w:spacing w:after="0" w:line="240" w:lineRule="auto"/>
      <w:ind w:left="-108"/>
      <w:jc w:val="both"/>
      <w:rPr>
        <w:rFonts w:ascii="Book Antiqua" w:eastAsia="Calibri" w:hAnsi="Book Antiqua" w:cs="Times New Roman"/>
        <w:sz w:val="16"/>
        <w:lang w:val="id-ID"/>
      </w:rPr>
    </w:pP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Received </w:t>
    </w:r>
    <w:r>
      <w:rPr>
        <w:rFonts w:ascii="Book Antiqua" w:eastAsia="Calibri" w:hAnsi="Book Antiqua" w:cs="Times New Roman"/>
        <w:sz w:val="16"/>
      </w:rPr>
      <w:t xml:space="preserve"> </w:t>
    </w: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Revised </w:t>
    </w: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Accepted 8 January 2013</w:t>
    </w:r>
  </w:p>
  <w:p w14:paraId="54CECAEC" w14:textId="1365A7CA" w:rsidR="003328B1" w:rsidRPr="003328B1" w:rsidRDefault="003328B1" w:rsidP="003328B1">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lang w:val="id-ID"/>
      </w:rPr>
      <mc:AlternateContent>
        <mc:Choice Requires="wps">
          <w:drawing>
            <wp:anchor distT="0" distB="0" distL="114300" distR="114300" simplePos="0" relativeHeight="251664384" behindDoc="0" locked="0" layoutInCell="1" allowOverlap="1" wp14:anchorId="4D63154A" wp14:editId="6D348881">
              <wp:simplePos x="0" y="0"/>
              <wp:positionH relativeFrom="margin">
                <wp:posOffset>-167640</wp:posOffset>
              </wp:positionH>
              <wp:positionV relativeFrom="paragraph">
                <wp:posOffset>50800</wp:posOffset>
              </wp:positionV>
              <wp:extent cx="54559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F3D22F"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4pt" to="4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" strokecolor="windowTex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3MDE0NDQ1NDYxNrFQ0lEKTi0uzszPAykwrAUA/Z2LJiwAAAA="/>
  </w:docVars>
  <w:rsids>
    <w:rsidRoot w:val="00C27709"/>
    <w:rsid w:val="00034436"/>
    <w:rsid w:val="000B7B75"/>
    <w:rsid w:val="001450C1"/>
    <w:rsid w:val="00146A24"/>
    <w:rsid w:val="00160E2C"/>
    <w:rsid w:val="001A15C7"/>
    <w:rsid w:val="001C5D10"/>
    <w:rsid w:val="001C7E43"/>
    <w:rsid w:val="0026291F"/>
    <w:rsid w:val="002A6109"/>
    <w:rsid w:val="003009B3"/>
    <w:rsid w:val="003328B1"/>
    <w:rsid w:val="00400652"/>
    <w:rsid w:val="00444394"/>
    <w:rsid w:val="004715E2"/>
    <w:rsid w:val="004D6B5F"/>
    <w:rsid w:val="00572BDA"/>
    <w:rsid w:val="005774F1"/>
    <w:rsid w:val="00586A9F"/>
    <w:rsid w:val="005B622A"/>
    <w:rsid w:val="006C4A2A"/>
    <w:rsid w:val="00732E96"/>
    <w:rsid w:val="00771A71"/>
    <w:rsid w:val="007C0C7B"/>
    <w:rsid w:val="007C5148"/>
    <w:rsid w:val="007D6528"/>
    <w:rsid w:val="007E5484"/>
    <w:rsid w:val="00810F6B"/>
    <w:rsid w:val="00844C49"/>
    <w:rsid w:val="008802F0"/>
    <w:rsid w:val="008C34DD"/>
    <w:rsid w:val="008C4C99"/>
    <w:rsid w:val="008E01C4"/>
    <w:rsid w:val="008F60D4"/>
    <w:rsid w:val="008F697A"/>
    <w:rsid w:val="009131CB"/>
    <w:rsid w:val="00916449"/>
    <w:rsid w:val="009D43AA"/>
    <w:rsid w:val="009E6121"/>
    <w:rsid w:val="00A11533"/>
    <w:rsid w:val="00AA29DB"/>
    <w:rsid w:val="00AC2B5A"/>
    <w:rsid w:val="00B31356"/>
    <w:rsid w:val="00B438E1"/>
    <w:rsid w:val="00C11033"/>
    <w:rsid w:val="00C27709"/>
    <w:rsid w:val="00CA7996"/>
    <w:rsid w:val="00D43D0D"/>
    <w:rsid w:val="00EC4AB7"/>
    <w:rsid w:val="00FB6286"/>
    <w:rsid w:val="00FD0033"/>
    <w:rsid w:val="00FE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9CD50"/>
  <w15:chartTrackingRefBased/>
  <w15:docId w15:val="{7138DCF3-1A3F-488B-BA09-5CEF521E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09"/>
  </w:style>
  <w:style w:type="paragraph" w:styleId="Footer">
    <w:name w:val="footer"/>
    <w:basedOn w:val="Normal"/>
    <w:link w:val="FooterChar"/>
    <w:uiPriority w:val="99"/>
    <w:unhideWhenUsed/>
    <w:rsid w:val="00C2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09"/>
  </w:style>
  <w:style w:type="table" w:styleId="TableGrid">
    <w:name w:val="Table Grid"/>
    <w:basedOn w:val="TableNormal"/>
    <w:uiPriority w:val="59"/>
    <w:rsid w:val="00C2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5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10"/>
    <w:rPr>
      <w:rFonts w:ascii="Segoe UI" w:hAnsi="Segoe UI" w:cs="Segoe UI"/>
      <w:sz w:val="18"/>
      <w:szCs w:val="18"/>
    </w:rPr>
  </w:style>
  <w:style w:type="table" w:customStyle="1" w:styleId="TableGrid1">
    <w:name w:val="Table Grid1"/>
    <w:basedOn w:val="TableNormal"/>
    <w:next w:val="TableGrid"/>
    <w:uiPriority w:val="39"/>
    <w:rsid w:val="0033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449"/>
    <w:rPr>
      <w:color w:val="0563C1" w:themeColor="hyperlink"/>
      <w:u w:val="single"/>
    </w:rPr>
  </w:style>
  <w:style w:type="character" w:styleId="UnresolvedMention">
    <w:name w:val="Unresolved Mention"/>
    <w:basedOn w:val="DefaultParagraphFont"/>
    <w:uiPriority w:val="99"/>
    <w:semiHidden/>
    <w:unhideWhenUsed/>
    <w:rsid w:val="00916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boks.katadata.co.id/datapublish/2022/04/18/jumlah-konfirmasi-positif-mingguan-di-sulawesi-tengah-paling-tinggi-terjadi-di-sigi" TargetMode="External"/><Relationship Id="rId18" Type="http://schemas.openxmlformats.org/officeDocument/2006/relationships/hyperlink" Target="https://doi.org/10.15294/EDAJ.V10I4.46897" TargetMode="External"/><Relationship Id="rId26" Type="http://schemas.openxmlformats.org/officeDocument/2006/relationships/hyperlink" Target="https://doi.org/10.1353/gia.2021.0014" TargetMode="External"/><Relationship Id="rId39" Type="http://schemas.openxmlformats.org/officeDocument/2006/relationships/hyperlink" Target="https://doi.org/10.1080/02185385.2020.1829499" TargetMode="External"/><Relationship Id="rId21" Type="http://schemas.openxmlformats.org/officeDocument/2006/relationships/hyperlink" Target="https://doi.org/10.1080/14742837.2020.1843014" TargetMode="External"/><Relationship Id="rId34" Type="http://schemas.openxmlformats.org/officeDocument/2006/relationships/hyperlink" Target="https://doi.org/10.1177/0899764009334308" TargetMode="External"/><Relationship Id="rId42" Type="http://schemas.openxmlformats.org/officeDocument/2006/relationships/footer" Target="footer1.xml"/><Relationship Id="rId7" Type="http://schemas.openxmlformats.org/officeDocument/2006/relationships/hyperlink" Target="mailto:ariana@unhas.ac.id" TargetMode="External"/><Relationship Id="rId2" Type="http://schemas.openxmlformats.org/officeDocument/2006/relationships/styles" Target="styles.xml"/><Relationship Id="rId16" Type="http://schemas.openxmlformats.org/officeDocument/2006/relationships/hyperlink" Target="https://doi.org/10.1177/1866802X221127712" TargetMode="External"/><Relationship Id="rId29" Type="http://schemas.openxmlformats.org/officeDocument/2006/relationships/hyperlink" Target="https://doi.org/10.1016/J.HELIYON.2021.E0716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11/SAJE.12277" TargetMode="External"/><Relationship Id="rId24" Type="http://schemas.openxmlformats.org/officeDocument/2006/relationships/hyperlink" Target="https://doi.org/10.1016/J.HELIYON.2020.E04879" TargetMode="External"/><Relationship Id="rId32" Type="http://schemas.openxmlformats.org/officeDocument/2006/relationships/hyperlink" Target="https://news.detik.com/berita/d-4954286/kasus-pertama-satu-warga-sulteng-dikonfirmasi-positif-corona" TargetMode="External"/><Relationship Id="rId37" Type="http://schemas.openxmlformats.org/officeDocument/2006/relationships/hyperlink" Target="https://doi.org/10.1080/13602381.2018.1431253" TargetMode="External"/><Relationship Id="rId40" Type="http://schemas.openxmlformats.org/officeDocument/2006/relationships/hyperlink" Target="https://doi.org/10.1080/02185385.2022.2136234"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978-3-319-54466-3_24" TargetMode="External"/><Relationship Id="rId23" Type="http://schemas.openxmlformats.org/officeDocument/2006/relationships/hyperlink" Target="https://doi.org/10.36574/jpp.v5i1.150" TargetMode="External"/><Relationship Id="rId28" Type="http://schemas.openxmlformats.org/officeDocument/2006/relationships/hyperlink" Target="https://www.jstor.org/stable/43111485" TargetMode="External"/><Relationship Id="rId36" Type="http://schemas.openxmlformats.org/officeDocument/2006/relationships/hyperlink" Target="https://doi.org/10.1080/13602381.2018.1431251" TargetMode="External"/><Relationship Id="rId10" Type="http://schemas.openxmlformats.org/officeDocument/2006/relationships/hyperlink" Target="https://doi.org/10.20527/btjpm.v4i3.5676" TargetMode="External"/><Relationship Id="rId19" Type="http://schemas.openxmlformats.org/officeDocument/2006/relationships/hyperlink" Target="https://setkab.go.id/pemanfaatan-dana-desa-tahun-2021-dan-prioritas-pemanfaatan-dana-desa-tahun-2022/" TargetMode="External"/><Relationship Id="rId31" Type="http://schemas.openxmlformats.org/officeDocument/2006/relationships/hyperlink" Target="https://doi.org/10.25299/jtb.2020.vol3(2).5809"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7/S0143814X20000045" TargetMode="External"/><Relationship Id="rId14" Type="http://schemas.openxmlformats.org/officeDocument/2006/relationships/hyperlink" Target="https://doi.org/10.1177/14680181211021260" TargetMode="External"/><Relationship Id="rId22" Type="http://schemas.openxmlformats.org/officeDocument/2006/relationships/hyperlink" Target="https://www.ksp.go.id/roa-jaga-roa-cara-palu-membantu-pasien-isoman.html" TargetMode="External"/><Relationship Id="rId27" Type="http://schemas.openxmlformats.org/officeDocument/2006/relationships/hyperlink" Target="https://doi.org/10.1080/12265934.2020.1730934" TargetMode="External"/><Relationship Id="rId30" Type="http://schemas.openxmlformats.org/officeDocument/2006/relationships/hyperlink" Target="https://doi.org/10.14710/jis.18.1.2019.1-16" TargetMode="External"/><Relationship Id="rId35" Type="http://schemas.openxmlformats.org/officeDocument/2006/relationships/hyperlink" Target="https://doi.org/10.1177/0973703020944585" TargetMode="External"/><Relationship Id="rId43" Type="http://schemas.openxmlformats.org/officeDocument/2006/relationships/header" Target="header2.xml"/><Relationship Id="rId8" Type="http://schemas.openxmlformats.org/officeDocument/2006/relationships/hyperlink" Target="https://doi.org/10.1080/14616688.2021.1916584" TargetMode="External"/><Relationship Id="rId3" Type="http://schemas.openxmlformats.org/officeDocument/2006/relationships/settings" Target="settings.xml"/><Relationship Id="rId12" Type="http://schemas.openxmlformats.org/officeDocument/2006/relationships/hyperlink" Target="https://doi.org/10.55927/EAJMR.V1I4.435" TargetMode="External"/><Relationship Id="rId17" Type="http://schemas.openxmlformats.org/officeDocument/2006/relationships/hyperlink" Target="https://doi.org/10.1111/awr.12187" TargetMode="External"/><Relationship Id="rId25" Type="http://schemas.openxmlformats.org/officeDocument/2006/relationships/hyperlink" Target="https://doi.org/10.1191/1464993402PS027RA" TargetMode="External"/><Relationship Id="rId33" Type="http://schemas.openxmlformats.org/officeDocument/2006/relationships/hyperlink" Target="https://doi.org/10.31002/JPALG.V7I1.7436" TargetMode="External"/><Relationship Id="rId38" Type="http://schemas.openxmlformats.org/officeDocument/2006/relationships/hyperlink" Target="https://doi.org/10.1016/J.ECOLECON.2018.05.020" TargetMode="External"/><Relationship Id="rId46" Type="http://schemas.openxmlformats.org/officeDocument/2006/relationships/theme" Target="theme/theme1.xml"/><Relationship Id="rId20" Type="http://schemas.openxmlformats.org/officeDocument/2006/relationships/hyperlink" Target="https://doi.org/10.1080/02185377.2014.988277"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7EF95-6220-4639-AE9E-25378BB1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17</Pages>
  <Words>7129</Words>
  <Characters>40639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user</cp:lastModifiedBy>
  <cp:revision>41</cp:revision>
  <dcterms:created xsi:type="dcterms:W3CDTF">2019-09-21T10:37:00Z</dcterms:created>
  <dcterms:modified xsi:type="dcterms:W3CDTF">2025-01-16T08:35:00Z</dcterms:modified>
</cp:coreProperties>
</file>