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A94DD6" w14:textId="72A942E2" w:rsidR="00C27709" w:rsidRPr="00134D6C" w:rsidRDefault="00134D6C" w:rsidP="00134D6C">
      <w:pPr>
        <w:spacing w:after="0" w:line="240" w:lineRule="auto"/>
        <w:jc w:val="center"/>
        <w:rPr>
          <w:rFonts w:ascii="Arial" w:eastAsia="Times New Roman" w:hAnsi="Arial" w:cs="Arial"/>
          <w:b/>
          <w:bCs/>
          <w:sz w:val="28"/>
          <w:szCs w:val="28"/>
        </w:rPr>
      </w:pPr>
      <w:r w:rsidRPr="00134D6C">
        <w:rPr>
          <w:rFonts w:ascii="Arial" w:eastAsia="Times New Roman" w:hAnsi="Arial" w:cs="Arial"/>
          <w:b/>
          <w:bCs/>
          <w:sz w:val="28"/>
          <w:szCs w:val="28"/>
          <w:lang w:val="id-ID"/>
        </w:rPr>
        <w:t xml:space="preserve">Digital </w:t>
      </w:r>
      <w:proofErr w:type="spellStart"/>
      <w:r w:rsidRPr="00134D6C">
        <w:rPr>
          <w:rFonts w:ascii="Arial" w:eastAsia="Times New Roman" w:hAnsi="Arial" w:cs="Arial"/>
          <w:b/>
          <w:bCs/>
          <w:sz w:val="28"/>
          <w:szCs w:val="28"/>
          <w:lang w:val="id-ID"/>
        </w:rPr>
        <w:t>Innovations</w:t>
      </w:r>
      <w:proofErr w:type="spellEnd"/>
      <w:r w:rsidRPr="00134D6C">
        <w:rPr>
          <w:rFonts w:ascii="Arial" w:eastAsia="Times New Roman" w:hAnsi="Arial" w:cs="Arial"/>
          <w:b/>
          <w:bCs/>
          <w:sz w:val="28"/>
          <w:szCs w:val="28"/>
          <w:lang w:val="id-ID"/>
        </w:rPr>
        <w:t xml:space="preserve"> in </w:t>
      </w:r>
      <w:proofErr w:type="spellStart"/>
      <w:r w:rsidRPr="00134D6C">
        <w:rPr>
          <w:rFonts w:ascii="Arial" w:eastAsia="Times New Roman" w:hAnsi="Arial" w:cs="Arial"/>
          <w:b/>
          <w:bCs/>
          <w:sz w:val="28"/>
          <w:szCs w:val="28"/>
          <w:lang w:val="id-ID"/>
        </w:rPr>
        <w:t>Southeast</w:t>
      </w:r>
      <w:proofErr w:type="spellEnd"/>
      <w:r w:rsidRPr="00134D6C">
        <w:rPr>
          <w:rFonts w:ascii="Arial" w:eastAsia="Times New Roman" w:hAnsi="Arial" w:cs="Arial"/>
          <w:b/>
          <w:bCs/>
          <w:sz w:val="28"/>
          <w:szCs w:val="28"/>
          <w:lang w:val="id-ID"/>
        </w:rPr>
        <w:t xml:space="preserve"> Asian: </w:t>
      </w:r>
      <w:proofErr w:type="spellStart"/>
      <w:r w:rsidRPr="00134D6C">
        <w:rPr>
          <w:rFonts w:ascii="Arial" w:eastAsia="Times New Roman" w:hAnsi="Arial" w:cs="Arial"/>
          <w:b/>
          <w:bCs/>
          <w:sz w:val="28"/>
          <w:szCs w:val="28"/>
          <w:lang w:val="id-ID"/>
        </w:rPr>
        <w:t>Research-Driven</w:t>
      </w:r>
      <w:proofErr w:type="spellEnd"/>
      <w:r w:rsidRPr="00134D6C">
        <w:rPr>
          <w:rFonts w:ascii="Arial" w:eastAsia="Times New Roman" w:hAnsi="Arial" w:cs="Arial"/>
          <w:b/>
          <w:bCs/>
          <w:sz w:val="28"/>
          <w:szCs w:val="28"/>
          <w:lang w:val="id-ID"/>
        </w:rPr>
        <w:t xml:space="preserve"> </w:t>
      </w:r>
      <w:proofErr w:type="spellStart"/>
      <w:r w:rsidRPr="00134D6C">
        <w:rPr>
          <w:rFonts w:ascii="Arial" w:eastAsia="Times New Roman" w:hAnsi="Arial" w:cs="Arial"/>
          <w:b/>
          <w:bCs/>
          <w:sz w:val="28"/>
          <w:szCs w:val="28"/>
          <w:lang w:val="id-ID"/>
        </w:rPr>
        <w:t>Mapping</w:t>
      </w:r>
      <w:proofErr w:type="spellEnd"/>
      <w:r w:rsidRPr="00134D6C">
        <w:rPr>
          <w:rFonts w:ascii="Arial" w:eastAsia="Times New Roman" w:hAnsi="Arial" w:cs="Arial"/>
          <w:b/>
          <w:bCs/>
          <w:sz w:val="28"/>
          <w:szCs w:val="28"/>
          <w:lang w:val="id-ID"/>
        </w:rPr>
        <w:t xml:space="preserve"> </w:t>
      </w:r>
      <w:proofErr w:type="spellStart"/>
      <w:r w:rsidRPr="00134D6C">
        <w:rPr>
          <w:rFonts w:ascii="Arial" w:eastAsia="Times New Roman" w:hAnsi="Arial" w:cs="Arial"/>
          <w:b/>
          <w:bCs/>
          <w:sz w:val="28"/>
          <w:szCs w:val="28"/>
          <w:lang w:val="id-ID"/>
        </w:rPr>
        <w:t>Local</w:t>
      </w:r>
      <w:proofErr w:type="spellEnd"/>
      <w:r w:rsidRPr="00134D6C">
        <w:rPr>
          <w:rFonts w:ascii="Arial" w:eastAsia="Times New Roman" w:hAnsi="Arial" w:cs="Arial"/>
          <w:b/>
          <w:bCs/>
          <w:sz w:val="28"/>
          <w:szCs w:val="28"/>
          <w:lang w:val="id-ID"/>
        </w:rPr>
        <w:t xml:space="preserve"> </w:t>
      </w:r>
      <w:proofErr w:type="spellStart"/>
      <w:r w:rsidRPr="00134D6C">
        <w:rPr>
          <w:rFonts w:ascii="Arial" w:eastAsia="Times New Roman" w:hAnsi="Arial" w:cs="Arial"/>
          <w:b/>
          <w:bCs/>
          <w:sz w:val="28"/>
          <w:szCs w:val="28"/>
          <w:lang w:val="id-ID"/>
        </w:rPr>
        <w:t>Governance</w:t>
      </w:r>
      <w:proofErr w:type="spellEnd"/>
      <w:r w:rsidRPr="00134D6C">
        <w:rPr>
          <w:rFonts w:ascii="Arial" w:eastAsia="Times New Roman" w:hAnsi="Arial" w:cs="Arial"/>
          <w:b/>
          <w:bCs/>
          <w:sz w:val="28"/>
          <w:szCs w:val="28"/>
          <w:lang w:val="id-ID"/>
        </w:rPr>
        <w:t xml:space="preserve"> </w:t>
      </w:r>
      <w:proofErr w:type="spellStart"/>
      <w:r w:rsidRPr="00134D6C">
        <w:rPr>
          <w:rFonts w:ascii="Arial" w:eastAsia="Times New Roman" w:hAnsi="Arial" w:cs="Arial"/>
          <w:b/>
          <w:bCs/>
          <w:sz w:val="28"/>
          <w:szCs w:val="28"/>
          <w:lang w:val="id-ID"/>
        </w:rPr>
        <w:t>for</w:t>
      </w:r>
      <w:proofErr w:type="spellEnd"/>
      <w:r w:rsidRPr="00134D6C">
        <w:rPr>
          <w:rFonts w:ascii="Arial" w:eastAsia="Times New Roman" w:hAnsi="Arial" w:cs="Arial"/>
          <w:b/>
          <w:bCs/>
          <w:sz w:val="28"/>
          <w:szCs w:val="28"/>
          <w:lang w:val="id-ID"/>
        </w:rPr>
        <w:t xml:space="preserve"> </w:t>
      </w:r>
      <w:proofErr w:type="spellStart"/>
      <w:r w:rsidRPr="00134D6C">
        <w:rPr>
          <w:rFonts w:ascii="Arial" w:eastAsia="Times New Roman" w:hAnsi="Arial" w:cs="Arial"/>
          <w:b/>
          <w:bCs/>
          <w:sz w:val="28"/>
          <w:szCs w:val="28"/>
          <w:lang w:val="id-ID"/>
        </w:rPr>
        <w:t>Efficiency</w:t>
      </w:r>
      <w:proofErr w:type="spellEnd"/>
      <w:r w:rsidRPr="00134D6C">
        <w:rPr>
          <w:rFonts w:ascii="Arial" w:eastAsia="Times New Roman" w:hAnsi="Arial" w:cs="Arial"/>
          <w:b/>
          <w:bCs/>
          <w:sz w:val="28"/>
          <w:szCs w:val="28"/>
          <w:lang w:val="id-ID"/>
        </w:rPr>
        <w:t xml:space="preserve"> </w:t>
      </w:r>
      <w:proofErr w:type="spellStart"/>
      <w:r w:rsidRPr="00134D6C">
        <w:rPr>
          <w:rFonts w:ascii="Arial" w:eastAsia="Times New Roman" w:hAnsi="Arial" w:cs="Arial"/>
          <w:b/>
          <w:bCs/>
          <w:sz w:val="28"/>
          <w:szCs w:val="28"/>
          <w:lang w:val="id-ID"/>
        </w:rPr>
        <w:t>and</w:t>
      </w:r>
      <w:proofErr w:type="spellEnd"/>
      <w:r w:rsidRPr="00134D6C">
        <w:rPr>
          <w:rFonts w:ascii="Arial" w:eastAsia="Times New Roman" w:hAnsi="Arial" w:cs="Arial"/>
          <w:b/>
          <w:bCs/>
          <w:sz w:val="28"/>
          <w:szCs w:val="28"/>
          <w:lang w:val="id-ID"/>
        </w:rPr>
        <w:t xml:space="preserve"> </w:t>
      </w:r>
      <w:proofErr w:type="spellStart"/>
      <w:r w:rsidRPr="00134D6C">
        <w:rPr>
          <w:rFonts w:ascii="Arial" w:eastAsia="Times New Roman" w:hAnsi="Arial" w:cs="Arial"/>
          <w:b/>
          <w:bCs/>
          <w:sz w:val="28"/>
          <w:szCs w:val="28"/>
          <w:lang w:val="id-ID"/>
        </w:rPr>
        <w:t>Participation</w:t>
      </w:r>
      <w:proofErr w:type="spellEnd"/>
    </w:p>
    <w:p w14:paraId="4720F862" w14:textId="59190A1D" w:rsidR="003353A2" w:rsidRDefault="009F728E" w:rsidP="00F94379">
      <w:pPr>
        <w:rPr>
          <w:rFonts w:ascii="Arial" w:eastAsia="Calibri" w:hAnsi="Arial" w:cs="Arial"/>
          <w:lang w:val="id-ID"/>
        </w:rPr>
      </w:pPr>
      <w:r>
        <w:rPr>
          <w:rFonts w:ascii="Arial" w:eastAsia="Calibri" w:hAnsi="Arial" w:cs="Arial"/>
          <w:sz w:val="18"/>
          <w:szCs w:val="18"/>
          <w:lang w:val="id-ID"/>
        </w:rPr>
        <w:t xml:space="preserve"> </w:t>
      </w: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BFBFBF" w:themeFill="background1" w:themeFillShade="BF"/>
        <w:tblLook w:val="04A0" w:firstRow="1" w:lastRow="0" w:firstColumn="1" w:lastColumn="0" w:noHBand="0" w:noVBand="1"/>
      </w:tblPr>
      <w:tblGrid>
        <w:gridCol w:w="1560"/>
        <w:gridCol w:w="6520"/>
      </w:tblGrid>
      <w:tr w:rsidR="00A86074" w14:paraId="513CAB75" w14:textId="77777777" w:rsidTr="00811609">
        <w:trPr>
          <w:trHeight w:val="2269"/>
        </w:trPr>
        <w:tc>
          <w:tcPr>
            <w:tcW w:w="1560" w:type="dxa"/>
            <w:shd w:val="clear" w:color="auto" w:fill="FFFFFF" w:themeFill="background1"/>
          </w:tcPr>
          <w:p w14:paraId="3B4ADCF8" w14:textId="77777777" w:rsidR="00A86074" w:rsidRDefault="00A86074" w:rsidP="00A86074">
            <w:pPr>
              <w:spacing w:line="276" w:lineRule="auto"/>
              <w:jc w:val="both"/>
              <w:rPr>
                <w:rFonts w:ascii="Arial" w:eastAsia="Calibri" w:hAnsi="Arial" w:cs="Arial"/>
                <w:bCs/>
                <w:sz w:val="16"/>
                <w:szCs w:val="16"/>
              </w:rPr>
            </w:pPr>
          </w:p>
          <w:p w14:paraId="08510C50" w14:textId="5C4096B7" w:rsidR="00A86074" w:rsidRPr="00801D8F" w:rsidRDefault="00A86074" w:rsidP="00A86074">
            <w:pPr>
              <w:spacing w:line="276" w:lineRule="auto"/>
              <w:jc w:val="both"/>
              <w:rPr>
                <w:rFonts w:ascii="Arial" w:eastAsia="Calibri" w:hAnsi="Arial" w:cs="Arial"/>
                <w:b/>
                <w:sz w:val="16"/>
                <w:szCs w:val="16"/>
              </w:rPr>
            </w:pPr>
            <w:r w:rsidRPr="00801D8F">
              <w:rPr>
                <w:rFonts w:ascii="Arial" w:eastAsia="Calibri" w:hAnsi="Arial" w:cs="Arial"/>
                <w:b/>
                <w:sz w:val="16"/>
                <w:szCs w:val="16"/>
              </w:rPr>
              <w:t>Submitted:</w:t>
            </w:r>
          </w:p>
          <w:p w14:paraId="34E2D94D" w14:textId="4C98B423" w:rsidR="00A86074" w:rsidRPr="00801D8F" w:rsidRDefault="00A86074" w:rsidP="00A86074">
            <w:pPr>
              <w:spacing w:line="276" w:lineRule="auto"/>
              <w:jc w:val="both"/>
              <w:rPr>
                <w:rFonts w:ascii="Arial" w:eastAsia="Calibri" w:hAnsi="Arial" w:cs="Arial"/>
                <w:bCs/>
                <w:sz w:val="16"/>
                <w:szCs w:val="16"/>
              </w:rPr>
            </w:pPr>
            <w:r w:rsidRPr="00801D8F">
              <w:rPr>
                <w:rFonts w:ascii="Arial" w:eastAsia="Calibri" w:hAnsi="Arial" w:cs="Arial"/>
                <w:bCs/>
                <w:sz w:val="16"/>
                <w:szCs w:val="16"/>
              </w:rPr>
              <w:t xml:space="preserve">20 January </w:t>
            </w:r>
            <w:proofErr w:type="spellStart"/>
            <w:r w:rsidRPr="00801D8F">
              <w:rPr>
                <w:rFonts w:ascii="Arial" w:eastAsia="Calibri" w:hAnsi="Arial" w:cs="Arial"/>
                <w:bCs/>
                <w:sz w:val="16"/>
                <w:szCs w:val="16"/>
              </w:rPr>
              <w:t>xxxx</w:t>
            </w:r>
            <w:proofErr w:type="spellEnd"/>
          </w:p>
          <w:p w14:paraId="2852195A" w14:textId="19438745" w:rsidR="00A86074" w:rsidRPr="00801D8F" w:rsidRDefault="00A86074" w:rsidP="00A86074">
            <w:pPr>
              <w:spacing w:line="276" w:lineRule="auto"/>
              <w:jc w:val="both"/>
              <w:rPr>
                <w:rFonts w:ascii="Arial" w:eastAsia="Calibri" w:hAnsi="Arial" w:cs="Arial"/>
                <w:b/>
                <w:sz w:val="16"/>
                <w:szCs w:val="16"/>
              </w:rPr>
            </w:pPr>
            <w:r w:rsidRPr="00801D8F">
              <w:rPr>
                <w:rFonts w:ascii="Arial" w:eastAsia="Calibri" w:hAnsi="Arial" w:cs="Arial"/>
                <w:b/>
                <w:sz w:val="16"/>
                <w:szCs w:val="16"/>
              </w:rPr>
              <w:t xml:space="preserve">Revised: </w:t>
            </w:r>
          </w:p>
          <w:p w14:paraId="4EA932C3" w14:textId="2A18FAF2" w:rsidR="00A86074" w:rsidRPr="00801D8F" w:rsidRDefault="00A86074" w:rsidP="00A86074">
            <w:pPr>
              <w:spacing w:line="276" w:lineRule="auto"/>
              <w:jc w:val="both"/>
              <w:rPr>
                <w:rFonts w:ascii="Arial" w:eastAsia="Calibri" w:hAnsi="Arial" w:cs="Arial"/>
                <w:bCs/>
                <w:sz w:val="16"/>
                <w:szCs w:val="16"/>
              </w:rPr>
            </w:pPr>
            <w:r w:rsidRPr="00801D8F">
              <w:rPr>
                <w:rFonts w:ascii="Arial" w:eastAsia="Calibri" w:hAnsi="Arial" w:cs="Arial"/>
                <w:bCs/>
                <w:sz w:val="16"/>
                <w:szCs w:val="16"/>
              </w:rPr>
              <w:t xml:space="preserve">13 March </w:t>
            </w:r>
            <w:proofErr w:type="spellStart"/>
            <w:r w:rsidRPr="00801D8F">
              <w:rPr>
                <w:rFonts w:ascii="Arial" w:eastAsia="Calibri" w:hAnsi="Arial" w:cs="Arial"/>
                <w:bCs/>
                <w:sz w:val="16"/>
                <w:szCs w:val="16"/>
              </w:rPr>
              <w:t>xxxx</w:t>
            </w:r>
            <w:proofErr w:type="spellEnd"/>
          </w:p>
          <w:p w14:paraId="7E8F4BC5" w14:textId="77777777" w:rsidR="00A86074" w:rsidRPr="00801D8F" w:rsidRDefault="00A86074" w:rsidP="00A86074">
            <w:pPr>
              <w:rPr>
                <w:rFonts w:ascii="Arial" w:eastAsia="Calibri" w:hAnsi="Arial" w:cs="Arial"/>
                <w:b/>
                <w:sz w:val="16"/>
                <w:szCs w:val="16"/>
              </w:rPr>
            </w:pPr>
            <w:r w:rsidRPr="00801D8F">
              <w:rPr>
                <w:rFonts w:ascii="Arial" w:eastAsia="Calibri" w:hAnsi="Arial" w:cs="Arial"/>
                <w:b/>
                <w:sz w:val="16"/>
                <w:szCs w:val="16"/>
              </w:rPr>
              <w:t>Accepted:</w:t>
            </w:r>
          </w:p>
          <w:p w14:paraId="1D5DDF91" w14:textId="7CB7B362" w:rsidR="00A86074" w:rsidRPr="00A86074" w:rsidRDefault="00A86074" w:rsidP="00A86074">
            <w:pPr>
              <w:rPr>
                <w:rFonts w:ascii="Arial" w:eastAsia="Calibri" w:hAnsi="Arial" w:cs="Arial"/>
                <w:bCs/>
                <w:sz w:val="16"/>
                <w:szCs w:val="16"/>
              </w:rPr>
            </w:pPr>
            <w:r w:rsidRPr="00801D8F">
              <w:rPr>
                <w:rFonts w:ascii="Arial" w:eastAsia="Calibri" w:hAnsi="Arial" w:cs="Arial"/>
                <w:bCs/>
                <w:sz w:val="16"/>
                <w:szCs w:val="16"/>
              </w:rPr>
              <w:t xml:space="preserve">27 April </w:t>
            </w:r>
            <w:proofErr w:type="spellStart"/>
            <w:r w:rsidRPr="00801D8F">
              <w:rPr>
                <w:rFonts w:ascii="Arial" w:eastAsia="Calibri" w:hAnsi="Arial" w:cs="Arial"/>
                <w:bCs/>
                <w:sz w:val="16"/>
                <w:szCs w:val="16"/>
              </w:rPr>
              <w:t>xxxx</w:t>
            </w:r>
            <w:proofErr w:type="spellEnd"/>
          </w:p>
        </w:tc>
        <w:tc>
          <w:tcPr>
            <w:tcW w:w="6520" w:type="dxa"/>
            <w:shd w:val="clear" w:color="auto" w:fill="BFBFBF" w:themeFill="background1" w:themeFillShade="BF"/>
          </w:tcPr>
          <w:p w14:paraId="2817D472" w14:textId="77777777" w:rsidR="00A86074" w:rsidRPr="00A02FC5" w:rsidRDefault="00A86074" w:rsidP="00FE15DA">
            <w:pPr>
              <w:jc w:val="both"/>
              <w:rPr>
                <w:rFonts w:ascii="Arial" w:eastAsia="Calibri" w:hAnsi="Arial" w:cs="Arial"/>
                <w:sz w:val="18"/>
                <w:szCs w:val="18"/>
                <w:lang w:val="id-ID"/>
              </w:rPr>
            </w:pPr>
          </w:p>
          <w:p w14:paraId="0BEF0ECF" w14:textId="7EAF59E0" w:rsidR="00A86074" w:rsidRPr="00A02FC5" w:rsidRDefault="00A86074" w:rsidP="00FE15DA">
            <w:pPr>
              <w:jc w:val="both"/>
              <w:rPr>
                <w:rFonts w:ascii="Arial" w:eastAsia="Calibri" w:hAnsi="Arial" w:cs="Arial"/>
                <w:b/>
                <w:bCs/>
                <w:sz w:val="18"/>
                <w:szCs w:val="18"/>
                <w:lang w:val="id-ID"/>
              </w:rPr>
            </w:pPr>
            <w:proofErr w:type="spellStart"/>
            <w:r w:rsidRPr="00A02FC5">
              <w:rPr>
                <w:rFonts w:ascii="Arial" w:eastAsia="Calibri" w:hAnsi="Arial" w:cs="Arial"/>
                <w:b/>
                <w:bCs/>
                <w:sz w:val="18"/>
                <w:szCs w:val="18"/>
                <w:lang w:val="id-ID"/>
              </w:rPr>
              <w:t>Abstract</w:t>
            </w:r>
            <w:proofErr w:type="spellEnd"/>
          </w:p>
          <w:p w14:paraId="6D17D92A" w14:textId="77777777" w:rsidR="00A86074" w:rsidRPr="00A02FC5" w:rsidRDefault="00A86074" w:rsidP="00FE15DA">
            <w:pPr>
              <w:jc w:val="both"/>
              <w:rPr>
                <w:rFonts w:ascii="Arial" w:eastAsia="Calibri" w:hAnsi="Arial" w:cs="Arial"/>
                <w:sz w:val="18"/>
                <w:szCs w:val="18"/>
                <w:lang w:val="id-ID"/>
              </w:rPr>
            </w:pPr>
          </w:p>
          <w:p w14:paraId="1025F1F2" w14:textId="191BB621" w:rsidR="004A6EC6" w:rsidRPr="00A02FC5" w:rsidRDefault="00454A75" w:rsidP="00FE15DA">
            <w:pPr>
              <w:jc w:val="both"/>
              <w:rPr>
                <w:rFonts w:ascii="Arial" w:eastAsia="Calibri" w:hAnsi="Arial" w:cs="Arial"/>
                <w:sz w:val="18"/>
                <w:szCs w:val="18"/>
                <w:lang w:val="id-ID"/>
              </w:rPr>
            </w:pPr>
            <w:proofErr w:type="spellStart"/>
            <w:r w:rsidRPr="00454A75">
              <w:rPr>
                <w:rFonts w:ascii="Arial" w:eastAsia="Calibri" w:hAnsi="Arial" w:cs="Arial"/>
                <w:sz w:val="18"/>
                <w:szCs w:val="18"/>
                <w:lang w:val="id-ID"/>
              </w:rPr>
              <w:t>This</w:t>
            </w:r>
            <w:proofErr w:type="spellEnd"/>
            <w:r w:rsidRPr="00454A75">
              <w:rPr>
                <w:rFonts w:ascii="Arial" w:eastAsia="Calibri" w:hAnsi="Arial" w:cs="Arial"/>
                <w:sz w:val="18"/>
                <w:szCs w:val="18"/>
                <w:lang w:val="id-ID"/>
              </w:rPr>
              <w:t xml:space="preserve"> study </w:t>
            </w:r>
            <w:proofErr w:type="spellStart"/>
            <w:r w:rsidRPr="00454A75">
              <w:rPr>
                <w:rFonts w:ascii="Arial" w:eastAsia="Calibri" w:hAnsi="Arial" w:cs="Arial"/>
                <w:sz w:val="18"/>
                <w:szCs w:val="18"/>
                <w:lang w:val="id-ID"/>
              </w:rPr>
              <w:t>addresses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issues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of</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bureaucratic</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inefficiency</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and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low</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public</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participation</w:t>
            </w:r>
            <w:proofErr w:type="spellEnd"/>
            <w:r w:rsidRPr="00454A75">
              <w:rPr>
                <w:rFonts w:ascii="Arial" w:eastAsia="Calibri" w:hAnsi="Arial" w:cs="Arial"/>
                <w:sz w:val="18"/>
                <w:szCs w:val="18"/>
                <w:lang w:val="id-ID"/>
              </w:rPr>
              <w:t xml:space="preserve"> in </w:t>
            </w:r>
            <w:proofErr w:type="spellStart"/>
            <w:r w:rsidRPr="00454A75">
              <w:rPr>
                <w:rFonts w:ascii="Arial" w:eastAsia="Calibri" w:hAnsi="Arial" w:cs="Arial"/>
                <w:sz w:val="18"/>
                <w:szCs w:val="18"/>
                <w:lang w:val="id-ID"/>
              </w:rPr>
              <w:t>governance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by</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systematically</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mapping</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the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scope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of</w:t>
            </w:r>
            <w:proofErr w:type="spellEnd"/>
            <w:r w:rsidRPr="00454A75">
              <w:rPr>
                <w:rFonts w:ascii="Arial" w:eastAsia="Calibri" w:hAnsi="Arial" w:cs="Arial"/>
                <w:sz w:val="18"/>
                <w:szCs w:val="18"/>
                <w:lang w:val="id-ID"/>
              </w:rPr>
              <w:t xml:space="preserve"> digital </w:t>
            </w:r>
            <w:proofErr w:type="spellStart"/>
            <w:r w:rsidRPr="00454A75">
              <w:rPr>
                <w:rFonts w:ascii="Arial" w:eastAsia="Calibri" w:hAnsi="Arial" w:cs="Arial"/>
                <w:sz w:val="18"/>
                <w:szCs w:val="18"/>
                <w:lang w:val="id-ID"/>
              </w:rPr>
              <w:t>innovation</w:t>
            </w:r>
            <w:proofErr w:type="spellEnd"/>
            <w:r w:rsidRPr="00454A75">
              <w:rPr>
                <w:rFonts w:ascii="Arial" w:eastAsia="Calibri" w:hAnsi="Arial" w:cs="Arial"/>
                <w:sz w:val="18"/>
                <w:szCs w:val="18"/>
                <w:lang w:val="id-ID"/>
              </w:rPr>
              <w:t xml:space="preserve"> in </w:t>
            </w:r>
            <w:proofErr w:type="spellStart"/>
            <w:r w:rsidRPr="00454A75">
              <w:rPr>
                <w:rFonts w:ascii="Arial" w:eastAsia="Calibri" w:hAnsi="Arial" w:cs="Arial"/>
                <w:sz w:val="18"/>
                <w:szCs w:val="18"/>
                <w:lang w:val="id-ID"/>
              </w:rPr>
              <w:t>local</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governance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throughout</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Southeast</w:t>
            </w:r>
            <w:proofErr w:type="spellEnd"/>
            <w:r w:rsidRPr="00454A75">
              <w:rPr>
                <w:rFonts w:ascii="Arial" w:eastAsia="Calibri" w:hAnsi="Arial" w:cs="Arial"/>
                <w:sz w:val="18"/>
                <w:szCs w:val="18"/>
                <w:lang w:val="id-ID"/>
              </w:rPr>
              <w:t xml:space="preserve"> Asia. The </w:t>
            </w:r>
            <w:proofErr w:type="spellStart"/>
            <w:r w:rsidRPr="00454A75">
              <w:rPr>
                <w:rFonts w:ascii="Arial" w:eastAsia="Calibri" w:hAnsi="Arial" w:cs="Arial"/>
                <w:sz w:val="18"/>
                <w:szCs w:val="18"/>
                <w:lang w:val="id-ID"/>
              </w:rPr>
              <w:t>research</w:t>
            </w:r>
            <w:proofErr w:type="spellEnd"/>
            <w:r w:rsidRPr="00454A75">
              <w:rPr>
                <w:rFonts w:ascii="Arial" w:eastAsia="Calibri" w:hAnsi="Arial" w:cs="Arial"/>
                <w:sz w:val="18"/>
                <w:szCs w:val="18"/>
                <w:lang w:val="id-ID"/>
              </w:rPr>
              <w:t xml:space="preserve"> seeks </w:t>
            </w:r>
            <w:proofErr w:type="spellStart"/>
            <w:r w:rsidRPr="00454A75">
              <w:rPr>
                <w:rFonts w:ascii="Arial" w:eastAsia="Calibri" w:hAnsi="Arial" w:cs="Arial"/>
                <w:sz w:val="18"/>
                <w:szCs w:val="18"/>
                <w:lang w:val="id-ID"/>
              </w:rPr>
              <w:t>to</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understand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how</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technology</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aids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governance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outcomes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guided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by</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the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region’s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disparities</w:t>
            </w:r>
            <w:proofErr w:type="spellEnd"/>
            <w:r w:rsidRPr="00454A75">
              <w:rPr>
                <w:rFonts w:ascii="Arial" w:eastAsia="Calibri" w:hAnsi="Arial" w:cs="Arial"/>
                <w:sz w:val="18"/>
                <w:szCs w:val="18"/>
                <w:lang w:val="id-ID"/>
              </w:rPr>
              <w:t xml:space="preserve"> in digital </w:t>
            </w:r>
            <w:proofErr w:type="spellStart"/>
            <w:r w:rsidRPr="00454A75">
              <w:rPr>
                <w:rFonts w:ascii="Arial" w:eastAsia="Calibri" w:hAnsi="Arial" w:cs="Arial"/>
                <w:sz w:val="18"/>
                <w:szCs w:val="18"/>
                <w:lang w:val="id-ID"/>
              </w:rPr>
              <w:t>infrastructure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and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institutional</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readiness</w:t>
            </w:r>
            <w:proofErr w:type="spellEnd"/>
            <w:r w:rsidRPr="00454A75">
              <w:rPr>
                <w:rFonts w:ascii="Arial" w:eastAsia="Calibri" w:hAnsi="Arial" w:cs="Arial"/>
                <w:sz w:val="18"/>
                <w:szCs w:val="18"/>
                <w:lang w:val="id-ID"/>
              </w:rPr>
              <w:t xml:space="preserve">. The study </w:t>
            </w:r>
            <w:proofErr w:type="spellStart"/>
            <w:r w:rsidRPr="00454A75">
              <w:rPr>
                <w:rFonts w:ascii="Arial" w:eastAsia="Calibri" w:hAnsi="Arial" w:cs="Arial"/>
                <w:sz w:val="18"/>
                <w:szCs w:val="18"/>
                <w:lang w:val="id-ID"/>
              </w:rPr>
              <w:t>conducts</w:t>
            </w:r>
            <w:proofErr w:type="spellEnd"/>
            <w:r w:rsidRPr="00454A75">
              <w:rPr>
                <w:rFonts w:ascii="Arial" w:eastAsia="Calibri" w:hAnsi="Arial" w:cs="Arial"/>
                <w:sz w:val="18"/>
                <w:szCs w:val="18"/>
                <w:lang w:val="id-ID"/>
              </w:rPr>
              <w:t xml:space="preserve"> a </w:t>
            </w:r>
            <w:proofErr w:type="spellStart"/>
            <w:r w:rsidRPr="00454A75">
              <w:rPr>
                <w:rFonts w:ascii="Arial" w:eastAsia="Calibri" w:hAnsi="Arial" w:cs="Arial"/>
                <w:sz w:val="18"/>
                <w:szCs w:val="18"/>
                <w:lang w:val="id-ID"/>
              </w:rPr>
              <w:t>systematic</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literature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review</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of</w:t>
            </w:r>
            <w:proofErr w:type="spellEnd"/>
            <w:r w:rsidRPr="00454A75">
              <w:rPr>
                <w:rFonts w:ascii="Arial" w:eastAsia="Calibri" w:hAnsi="Arial" w:cs="Arial"/>
                <w:sz w:val="18"/>
                <w:szCs w:val="18"/>
                <w:lang w:val="id-ID"/>
              </w:rPr>
              <w:t xml:space="preserve"> 996 </w:t>
            </w:r>
            <w:proofErr w:type="spellStart"/>
            <w:r w:rsidRPr="00454A75">
              <w:rPr>
                <w:rFonts w:ascii="Arial" w:eastAsia="Calibri" w:hAnsi="Arial" w:cs="Arial"/>
                <w:sz w:val="18"/>
                <w:szCs w:val="18"/>
                <w:lang w:val="id-ID"/>
              </w:rPr>
              <w:t>publications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from</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Scopus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following</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the</w:t>
            </w:r>
            <w:proofErr w:type="spellEnd"/>
            <w:r w:rsidRPr="00454A75">
              <w:rPr>
                <w:rFonts w:ascii="Arial" w:eastAsia="Calibri" w:hAnsi="Arial" w:cs="Arial"/>
                <w:sz w:val="18"/>
                <w:szCs w:val="18"/>
                <w:lang w:val="id-ID"/>
              </w:rPr>
              <w:t xml:space="preserve"> PRISMA </w:t>
            </w:r>
            <w:proofErr w:type="spellStart"/>
            <w:r w:rsidRPr="00454A75">
              <w:rPr>
                <w:rFonts w:ascii="Arial" w:eastAsia="Calibri" w:hAnsi="Arial" w:cs="Arial"/>
                <w:sz w:val="18"/>
                <w:szCs w:val="18"/>
                <w:lang w:val="id-ID"/>
              </w:rPr>
              <w:t>protocol</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and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employing</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bibliometric</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analysis</w:t>
            </w:r>
            <w:proofErr w:type="spellEnd"/>
            <w:r w:rsidRPr="00454A75">
              <w:rPr>
                <w:rFonts w:ascii="Arial" w:eastAsia="Calibri" w:hAnsi="Arial" w:cs="Arial"/>
                <w:sz w:val="18"/>
                <w:szCs w:val="18"/>
                <w:lang w:val="id-ID"/>
              </w:rPr>
              <w:t xml:space="preserve"> via </w:t>
            </w:r>
            <w:proofErr w:type="spellStart"/>
            <w:r w:rsidRPr="00454A75">
              <w:rPr>
                <w:rFonts w:ascii="Arial" w:eastAsia="Calibri" w:hAnsi="Arial" w:cs="Arial"/>
                <w:sz w:val="18"/>
                <w:szCs w:val="18"/>
                <w:lang w:val="id-ID"/>
              </w:rPr>
              <w:t>RStudio-Biblioshiny</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and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CiteSpace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to</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derive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trends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themes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and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gaps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concerning</w:t>
            </w:r>
            <w:proofErr w:type="spellEnd"/>
            <w:r w:rsidRPr="00454A75">
              <w:rPr>
                <w:rFonts w:ascii="Arial" w:eastAsia="Calibri" w:hAnsi="Arial" w:cs="Arial"/>
                <w:sz w:val="18"/>
                <w:szCs w:val="18"/>
                <w:lang w:val="id-ID"/>
              </w:rPr>
              <w:t xml:space="preserve"> Indonesia, Malaysia, </w:t>
            </w:r>
            <w:proofErr w:type="spellStart"/>
            <w:r w:rsidRPr="00454A75">
              <w:rPr>
                <w:rFonts w:ascii="Arial" w:eastAsia="Calibri" w:hAnsi="Arial" w:cs="Arial"/>
                <w:sz w:val="18"/>
                <w:szCs w:val="18"/>
                <w:lang w:val="id-ID"/>
              </w:rPr>
              <w:t>Singapore</w:t>
            </w:r>
            <w:proofErr w:type="spellEnd"/>
            <w:r w:rsidRPr="00454A75">
              <w:rPr>
                <w:rFonts w:ascii="Arial" w:eastAsia="Calibri" w:hAnsi="Arial" w:cs="Arial"/>
                <w:sz w:val="18"/>
                <w:szCs w:val="18"/>
                <w:lang w:val="id-ID"/>
              </w:rPr>
              <w:t xml:space="preserve">, Thailand, </w:t>
            </w:r>
            <w:proofErr w:type="spellStart"/>
            <w:r w:rsidRPr="00454A75">
              <w:rPr>
                <w:rFonts w:ascii="Arial" w:eastAsia="Calibri" w:hAnsi="Arial" w:cs="Arial"/>
                <w:sz w:val="18"/>
                <w:szCs w:val="18"/>
                <w:lang w:val="id-ID"/>
              </w:rPr>
              <w:t>and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the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Philippines</w:t>
            </w:r>
            <w:proofErr w:type="spellEnd"/>
            <w:r w:rsidRPr="00454A75">
              <w:rPr>
                <w:rFonts w:ascii="Arial" w:eastAsia="Calibri" w:hAnsi="Arial" w:cs="Arial"/>
                <w:sz w:val="18"/>
                <w:szCs w:val="18"/>
                <w:lang w:val="id-ID"/>
              </w:rPr>
              <w:t xml:space="preserve">. The </w:t>
            </w:r>
            <w:proofErr w:type="spellStart"/>
            <w:r w:rsidRPr="00454A75">
              <w:rPr>
                <w:rFonts w:ascii="Arial" w:eastAsia="Calibri" w:hAnsi="Arial" w:cs="Arial"/>
                <w:sz w:val="18"/>
                <w:szCs w:val="18"/>
                <w:lang w:val="id-ID"/>
              </w:rPr>
              <w:t>results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demonstrate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and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actively</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reinforce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the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three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dominant</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innovation</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clusters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smart</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cities</w:t>
            </w:r>
            <w:proofErr w:type="spellEnd"/>
            <w:r w:rsidRPr="00454A75">
              <w:rPr>
                <w:rFonts w:ascii="Arial" w:eastAsia="Calibri" w:hAnsi="Arial" w:cs="Arial"/>
                <w:sz w:val="18"/>
                <w:szCs w:val="18"/>
                <w:lang w:val="id-ID"/>
              </w:rPr>
              <w:t>, e-</w:t>
            </w:r>
            <w:proofErr w:type="spellStart"/>
            <w:r w:rsidRPr="00454A75">
              <w:rPr>
                <w:rFonts w:ascii="Arial" w:eastAsia="Calibri" w:hAnsi="Arial" w:cs="Arial"/>
                <w:sz w:val="18"/>
                <w:szCs w:val="18"/>
                <w:lang w:val="id-ID"/>
              </w:rPr>
              <w:t>government</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systems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and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citizen</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participation</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platforms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that</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foster</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greater</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democratic</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engagement</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alongside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improved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administrative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efficiency</w:t>
            </w:r>
            <w:proofErr w:type="spellEnd"/>
            <w:r w:rsidRPr="00454A75">
              <w:rPr>
                <w:rFonts w:ascii="Arial" w:eastAsia="Calibri" w:hAnsi="Arial" w:cs="Arial"/>
                <w:sz w:val="18"/>
                <w:szCs w:val="18"/>
                <w:lang w:val="id-ID"/>
              </w:rPr>
              <w:t xml:space="preserve">. The </w:t>
            </w:r>
            <w:proofErr w:type="spellStart"/>
            <w:r w:rsidRPr="00454A75">
              <w:rPr>
                <w:rFonts w:ascii="Arial" w:eastAsia="Calibri" w:hAnsi="Arial" w:cs="Arial"/>
                <w:sz w:val="18"/>
                <w:szCs w:val="18"/>
                <w:lang w:val="id-ID"/>
              </w:rPr>
              <w:t>analysis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emphasizes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the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factors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critical</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for</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successful</w:t>
            </w:r>
            <w:proofErr w:type="spellEnd"/>
            <w:r w:rsidRPr="00454A75">
              <w:rPr>
                <w:rFonts w:ascii="Arial" w:eastAsia="Calibri" w:hAnsi="Arial" w:cs="Arial"/>
                <w:sz w:val="18"/>
                <w:szCs w:val="18"/>
                <w:lang w:val="id-ID"/>
              </w:rPr>
              <w:t xml:space="preserve"> digital </w:t>
            </w:r>
            <w:proofErr w:type="spellStart"/>
            <w:r w:rsidRPr="00454A75">
              <w:rPr>
                <w:rFonts w:ascii="Arial" w:eastAsia="Calibri" w:hAnsi="Arial" w:cs="Arial"/>
                <w:sz w:val="18"/>
                <w:szCs w:val="18"/>
                <w:lang w:val="id-ID"/>
              </w:rPr>
              <w:t>transformation</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institutional</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readiness</w:t>
            </w:r>
            <w:proofErr w:type="spellEnd"/>
            <w:r w:rsidRPr="00454A75">
              <w:rPr>
                <w:rFonts w:ascii="Arial" w:eastAsia="Calibri" w:hAnsi="Arial" w:cs="Arial"/>
                <w:sz w:val="18"/>
                <w:szCs w:val="18"/>
                <w:lang w:val="id-ID"/>
              </w:rPr>
              <w:t xml:space="preserve">, digital </w:t>
            </w:r>
            <w:proofErr w:type="spellStart"/>
            <w:r w:rsidRPr="00454A75">
              <w:rPr>
                <w:rFonts w:ascii="Arial" w:eastAsia="Calibri" w:hAnsi="Arial" w:cs="Arial"/>
                <w:sz w:val="18"/>
                <w:szCs w:val="18"/>
                <w:lang w:val="id-ID"/>
              </w:rPr>
              <w:t>competency</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and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cross-organizational</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collaboration</w:t>
            </w:r>
            <w:proofErr w:type="spellEnd"/>
            <w:r w:rsidRPr="00454A75">
              <w:rPr>
                <w:rFonts w:ascii="Arial" w:eastAsia="Calibri" w:hAnsi="Arial" w:cs="Arial"/>
                <w:sz w:val="18"/>
                <w:szCs w:val="18"/>
                <w:lang w:val="id-ID"/>
              </w:rPr>
              <w:t xml:space="preserve">. By </w:t>
            </w:r>
            <w:proofErr w:type="spellStart"/>
            <w:r w:rsidRPr="00454A75">
              <w:rPr>
                <w:rFonts w:ascii="Arial" w:eastAsia="Calibri" w:hAnsi="Arial" w:cs="Arial"/>
                <w:sz w:val="18"/>
                <w:szCs w:val="18"/>
                <w:lang w:val="id-ID"/>
              </w:rPr>
              <w:t>synthesizing</w:t>
            </w:r>
            <w:proofErr w:type="spellEnd"/>
            <w:r w:rsidRPr="00454A75">
              <w:rPr>
                <w:rFonts w:ascii="Arial" w:eastAsia="Calibri" w:hAnsi="Arial" w:cs="Arial"/>
                <w:sz w:val="18"/>
                <w:szCs w:val="18"/>
                <w:lang w:val="id-ID"/>
              </w:rPr>
              <w:t xml:space="preserve"> regional </w:t>
            </w:r>
            <w:proofErr w:type="spellStart"/>
            <w:r w:rsidRPr="00454A75">
              <w:rPr>
                <w:rFonts w:ascii="Arial" w:eastAsia="Calibri" w:hAnsi="Arial" w:cs="Arial"/>
                <w:sz w:val="18"/>
                <w:szCs w:val="18"/>
                <w:lang w:val="id-ID"/>
              </w:rPr>
              <w:t>best</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practices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and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thematic</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patterns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the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research</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provides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strategic</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recommendations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for</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policymakers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aiming</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to</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cultivate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flexible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inclusive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and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ethically</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responsible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frameworks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of</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implications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focused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on</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formulated</w:t>
            </w:r>
            <w:proofErr w:type="spellEnd"/>
            <w:r w:rsidRPr="00454A75">
              <w:rPr>
                <w:rFonts w:ascii="Arial" w:eastAsia="Calibri" w:hAnsi="Arial" w:cs="Arial"/>
                <w:sz w:val="18"/>
                <w:szCs w:val="18"/>
                <w:lang w:val="id-ID"/>
              </w:rPr>
              <w:t xml:space="preserve"> digital </w:t>
            </w:r>
            <w:proofErr w:type="spellStart"/>
            <w:r w:rsidRPr="00454A75">
              <w:rPr>
                <w:rFonts w:ascii="Arial" w:eastAsia="Calibri" w:hAnsi="Arial" w:cs="Arial"/>
                <w:sz w:val="18"/>
                <w:szCs w:val="18"/>
                <w:lang w:val="id-ID"/>
              </w:rPr>
              <w:t>governance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These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findings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emphasize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the</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need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to</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align</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technology</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with</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community</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needs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and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participatory</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processes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thereby</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directing</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further</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research</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on</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interoperability</w:t>
            </w:r>
            <w:proofErr w:type="spellEnd"/>
            <w:r w:rsidRPr="00454A75">
              <w:rPr>
                <w:rFonts w:ascii="Arial" w:eastAsia="Calibri" w:hAnsi="Arial" w:cs="Arial"/>
                <w:sz w:val="18"/>
                <w:szCs w:val="18"/>
                <w:lang w:val="id-ID"/>
              </w:rPr>
              <w:t xml:space="preserve">, AI </w:t>
            </w:r>
            <w:proofErr w:type="spellStart"/>
            <w:r w:rsidRPr="00454A75">
              <w:rPr>
                <w:rFonts w:ascii="Arial" w:eastAsia="Calibri" w:hAnsi="Arial" w:cs="Arial"/>
                <w:sz w:val="18"/>
                <w:szCs w:val="18"/>
                <w:lang w:val="id-ID"/>
              </w:rPr>
              <w:t>ethics</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and</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public</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trust</w:t>
            </w:r>
            <w:proofErr w:type="spellEnd"/>
            <w:r w:rsidRPr="00454A75">
              <w:rPr>
                <w:rFonts w:ascii="Arial" w:eastAsia="Calibri" w:hAnsi="Arial" w:cs="Arial"/>
                <w:sz w:val="18"/>
                <w:szCs w:val="18"/>
                <w:lang w:val="id-ID"/>
              </w:rPr>
              <w:t xml:space="preserve"> in digital </w:t>
            </w:r>
            <w:proofErr w:type="spellStart"/>
            <w:r w:rsidRPr="00454A75">
              <w:rPr>
                <w:rFonts w:ascii="Arial" w:eastAsia="Calibri" w:hAnsi="Arial" w:cs="Arial"/>
                <w:sz w:val="18"/>
                <w:szCs w:val="18"/>
                <w:lang w:val="id-ID"/>
              </w:rPr>
              <w:t>public</w:t>
            </w:r>
            <w:proofErr w:type="spellEnd"/>
            <w:r w:rsidRPr="00454A75">
              <w:rPr>
                <w:rFonts w:ascii="Arial" w:eastAsia="Calibri" w:hAnsi="Arial" w:cs="Arial"/>
                <w:sz w:val="18"/>
                <w:szCs w:val="18"/>
                <w:lang w:val="id-ID"/>
              </w:rPr>
              <w:t xml:space="preserve"> </w:t>
            </w:r>
            <w:proofErr w:type="spellStart"/>
            <w:r w:rsidRPr="00454A75">
              <w:rPr>
                <w:rFonts w:ascii="Arial" w:eastAsia="Calibri" w:hAnsi="Arial" w:cs="Arial"/>
                <w:sz w:val="18"/>
                <w:szCs w:val="18"/>
                <w:lang w:val="id-ID"/>
              </w:rPr>
              <w:t>administration</w:t>
            </w:r>
            <w:proofErr w:type="spellEnd"/>
            <w:r w:rsidRPr="00454A75">
              <w:rPr>
                <w:rFonts w:ascii="Arial" w:eastAsia="Calibri" w:hAnsi="Arial" w:cs="Arial"/>
                <w:sz w:val="18"/>
                <w:szCs w:val="18"/>
                <w:lang w:val="id-ID"/>
              </w:rPr>
              <w:t>.</w:t>
            </w:r>
          </w:p>
          <w:p w14:paraId="468809EC" w14:textId="77777777" w:rsidR="00C676A5" w:rsidRPr="00A02FC5" w:rsidRDefault="00C676A5" w:rsidP="00FE15DA">
            <w:pPr>
              <w:jc w:val="both"/>
              <w:rPr>
                <w:rFonts w:ascii="Arial" w:eastAsia="Calibri" w:hAnsi="Arial" w:cs="Arial"/>
                <w:sz w:val="18"/>
                <w:szCs w:val="18"/>
                <w:lang w:val="id-ID"/>
              </w:rPr>
            </w:pPr>
          </w:p>
          <w:p w14:paraId="5374091B" w14:textId="4368C1AF" w:rsidR="00A86074" w:rsidRPr="00A02FC5" w:rsidRDefault="00A86074" w:rsidP="00FE15DA">
            <w:pPr>
              <w:jc w:val="both"/>
              <w:rPr>
                <w:rFonts w:ascii="Arial" w:eastAsia="Calibri" w:hAnsi="Arial" w:cs="Arial"/>
                <w:sz w:val="18"/>
                <w:szCs w:val="18"/>
                <w:lang w:val="id-ID"/>
              </w:rPr>
            </w:pPr>
            <w:proofErr w:type="spellStart"/>
            <w:r w:rsidRPr="00A02FC5">
              <w:rPr>
                <w:rFonts w:ascii="Arial" w:eastAsia="Calibri" w:hAnsi="Arial" w:cs="Arial"/>
                <w:sz w:val="18"/>
                <w:szCs w:val="18"/>
                <w:lang w:val="id-ID"/>
              </w:rPr>
              <w:t>Keywords</w:t>
            </w:r>
            <w:proofErr w:type="spellEnd"/>
            <w:r w:rsidRPr="00A02FC5">
              <w:rPr>
                <w:rFonts w:ascii="Arial" w:eastAsia="Calibri" w:hAnsi="Arial" w:cs="Arial"/>
                <w:sz w:val="18"/>
                <w:szCs w:val="18"/>
                <w:lang w:val="id-ID"/>
              </w:rPr>
              <w:t xml:space="preserve">: </w:t>
            </w:r>
            <w:r w:rsidR="00061813" w:rsidRPr="00061813">
              <w:rPr>
                <w:rFonts w:ascii="Arial" w:eastAsia="Calibri" w:hAnsi="Arial" w:cs="Arial"/>
                <w:sz w:val="18"/>
                <w:szCs w:val="18"/>
                <w:lang w:val="id-ID"/>
              </w:rPr>
              <w:t xml:space="preserve">Digital </w:t>
            </w:r>
            <w:proofErr w:type="spellStart"/>
            <w:r w:rsidR="00061813" w:rsidRPr="00061813">
              <w:rPr>
                <w:rFonts w:ascii="Arial" w:eastAsia="Calibri" w:hAnsi="Arial" w:cs="Arial"/>
                <w:sz w:val="18"/>
                <w:szCs w:val="18"/>
                <w:lang w:val="id-ID"/>
              </w:rPr>
              <w:t>Transformation</w:t>
            </w:r>
            <w:proofErr w:type="spellEnd"/>
            <w:r w:rsidR="00061813" w:rsidRPr="00061813">
              <w:rPr>
                <w:rFonts w:ascii="Arial" w:eastAsia="Calibri" w:hAnsi="Arial" w:cs="Arial"/>
                <w:sz w:val="18"/>
                <w:szCs w:val="18"/>
                <w:lang w:val="id-ID"/>
              </w:rPr>
              <w:t>, E-</w:t>
            </w:r>
            <w:proofErr w:type="spellStart"/>
            <w:r w:rsidR="00061813" w:rsidRPr="00061813">
              <w:rPr>
                <w:rFonts w:ascii="Arial" w:eastAsia="Calibri" w:hAnsi="Arial" w:cs="Arial"/>
                <w:sz w:val="18"/>
                <w:szCs w:val="18"/>
                <w:lang w:val="id-ID"/>
              </w:rPr>
              <w:t>Government</w:t>
            </w:r>
            <w:proofErr w:type="spellEnd"/>
            <w:r w:rsidR="00061813" w:rsidRPr="00061813">
              <w:rPr>
                <w:rFonts w:ascii="Arial" w:eastAsia="Calibri" w:hAnsi="Arial" w:cs="Arial"/>
                <w:sz w:val="18"/>
                <w:szCs w:val="18"/>
                <w:lang w:val="id-ID"/>
              </w:rPr>
              <w:t xml:space="preserve">, </w:t>
            </w:r>
            <w:proofErr w:type="spellStart"/>
            <w:r w:rsidR="00061813" w:rsidRPr="00061813">
              <w:rPr>
                <w:rFonts w:ascii="Arial" w:eastAsia="Calibri" w:hAnsi="Arial" w:cs="Arial"/>
                <w:sz w:val="18"/>
                <w:szCs w:val="18"/>
                <w:lang w:val="id-ID"/>
              </w:rPr>
              <w:t>Smart</w:t>
            </w:r>
            <w:proofErr w:type="spellEnd"/>
            <w:r w:rsidR="00061813" w:rsidRPr="00061813">
              <w:rPr>
                <w:rFonts w:ascii="Arial" w:eastAsia="Calibri" w:hAnsi="Arial" w:cs="Arial"/>
                <w:sz w:val="18"/>
                <w:szCs w:val="18"/>
                <w:lang w:val="id-ID"/>
              </w:rPr>
              <w:t xml:space="preserve"> </w:t>
            </w:r>
            <w:proofErr w:type="spellStart"/>
            <w:r w:rsidR="00061813" w:rsidRPr="00061813">
              <w:rPr>
                <w:rFonts w:ascii="Arial" w:eastAsia="Calibri" w:hAnsi="Arial" w:cs="Arial"/>
                <w:sz w:val="18"/>
                <w:szCs w:val="18"/>
                <w:lang w:val="id-ID"/>
              </w:rPr>
              <w:t>Cities</w:t>
            </w:r>
            <w:proofErr w:type="spellEnd"/>
            <w:r w:rsidR="00061813" w:rsidRPr="00061813">
              <w:rPr>
                <w:rFonts w:ascii="Arial" w:eastAsia="Calibri" w:hAnsi="Arial" w:cs="Arial"/>
                <w:sz w:val="18"/>
                <w:szCs w:val="18"/>
                <w:lang w:val="id-ID"/>
              </w:rPr>
              <w:t xml:space="preserve">, </w:t>
            </w:r>
            <w:proofErr w:type="spellStart"/>
            <w:r w:rsidR="00061813" w:rsidRPr="00061813">
              <w:rPr>
                <w:rFonts w:ascii="Arial" w:eastAsia="Calibri" w:hAnsi="Arial" w:cs="Arial"/>
                <w:sz w:val="18"/>
                <w:szCs w:val="18"/>
                <w:lang w:val="id-ID"/>
              </w:rPr>
              <w:t>Local</w:t>
            </w:r>
            <w:proofErr w:type="spellEnd"/>
            <w:r w:rsidR="00061813" w:rsidRPr="00061813">
              <w:rPr>
                <w:rFonts w:ascii="Arial" w:eastAsia="Calibri" w:hAnsi="Arial" w:cs="Arial"/>
                <w:sz w:val="18"/>
                <w:szCs w:val="18"/>
                <w:lang w:val="id-ID"/>
              </w:rPr>
              <w:t xml:space="preserve"> </w:t>
            </w:r>
            <w:proofErr w:type="spellStart"/>
            <w:r w:rsidR="00061813" w:rsidRPr="00061813">
              <w:rPr>
                <w:rFonts w:ascii="Arial" w:eastAsia="Calibri" w:hAnsi="Arial" w:cs="Arial"/>
                <w:sz w:val="18"/>
                <w:szCs w:val="18"/>
                <w:lang w:val="id-ID"/>
              </w:rPr>
              <w:t>Governance</w:t>
            </w:r>
            <w:proofErr w:type="spellEnd"/>
            <w:r w:rsidR="00061813" w:rsidRPr="00061813">
              <w:rPr>
                <w:rFonts w:ascii="Arial" w:eastAsia="Calibri" w:hAnsi="Arial" w:cs="Arial"/>
                <w:sz w:val="18"/>
                <w:szCs w:val="18"/>
                <w:lang w:val="id-ID"/>
              </w:rPr>
              <w:t xml:space="preserve">, </w:t>
            </w:r>
            <w:proofErr w:type="spellStart"/>
            <w:r w:rsidR="00061813" w:rsidRPr="00061813">
              <w:rPr>
                <w:rFonts w:ascii="Arial" w:eastAsia="Calibri" w:hAnsi="Arial" w:cs="Arial"/>
                <w:sz w:val="18"/>
                <w:szCs w:val="18"/>
                <w:lang w:val="id-ID"/>
              </w:rPr>
              <w:t>Public</w:t>
            </w:r>
            <w:proofErr w:type="spellEnd"/>
            <w:r w:rsidR="00061813" w:rsidRPr="00061813">
              <w:rPr>
                <w:rFonts w:ascii="Arial" w:eastAsia="Calibri" w:hAnsi="Arial" w:cs="Arial"/>
                <w:sz w:val="18"/>
                <w:szCs w:val="18"/>
                <w:lang w:val="id-ID"/>
              </w:rPr>
              <w:t xml:space="preserve"> </w:t>
            </w:r>
            <w:proofErr w:type="spellStart"/>
            <w:r w:rsidR="00061813" w:rsidRPr="00061813">
              <w:rPr>
                <w:rFonts w:ascii="Arial" w:eastAsia="Calibri" w:hAnsi="Arial" w:cs="Arial"/>
                <w:sz w:val="18"/>
                <w:szCs w:val="18"/>
                <w:lang w:val="id-ID"/>
              </w:rPr>
              <w:t>Participation</w:t>
            </w:r>
            <w:proofErr w:type="spellEnd"/>
            <w:r w:rsidR="004E0D19">
              <w:rPr>
                <w:rFonts w:ascii="Arial" w:eastAsia="Calibri" w:hAnsi="Arial" w:cs="Arial"/>
                <w:sz w:val="18"/>
                <w:szCs w:val="18"/>
                <w:lang w:val="id-ID"/>
              </w:rPr>
              <w:t>.</w:t>
            </w:r>
            <w:r w:rsidRPr="00A02FC5">
              <w:rPr>
                <w:rFonts w:ascii="Arial" w:eastAsia="Calibri" w:hAnsi="Arial" w:cs="Arial"/>
                <w:sz w:val="18"/>
                <w:szCs w:val="18"/>
                <w:lang w:val="id-ID"/>
              </w:rPr>
              <w:t xml:space="preserve"> </w:t>
            </w:r>
          </w:p>
          <w:p w14:paraId="258E4087" w14:textId="77777777" w:rsidR="00A86074" w:rsidRPr="00A02FC5" w:rsidRDefault="00A86074" w:rsidP="00FE15DA">
            <w:pPr>
              <w:jc w:val="both"/>
              <w:rPr>
                <w:rFonts w:ascii="Arial" w:eastAsia="Calibri" w:hAnsi="Arial" w:cs="Arial"/>
                <w:sz w:val="18"/>
                <w:szCs w:val="18"/>
                <w:lang w:val="id-ID"/>
              </w:rPr>
            </w:pPr>
          </w:p>
          <w:p w14:paraId="355677BF" w14:textId="77777777" w:rsidR="00A86074" w:rsidRPr="00A02FC5" w:rsidRDefault="00A86074" w:rsidP="00FE15DA">
            <w:pPr>
              <w:jc w:val="both"/>
              <w:rPr>
                <w:rFonts w:ascii="Arial" w:eastAsia="Calibri" w:hAnsi="Arial" w:cs="Arial"/>
                <w:sz w:val="18"/>
                <w:szCs w:val="18"/>
                <w:lang w:val="id-ID"/>
              </w:rPr>
            </w:pPr>
          </w:p>
        </w:tc>
      </w:tr>
      <w:tr w:rsidR="00A86074" w:rsidRPr="00061813" w14:paraId="1B176903" w14:textId="77777777" w:rsidTr="00811609">
        <w:trPr>
          <w:trHeight w:val="2192"/>
        </w:trPr>
        <w:tc>
          <w:tcPr>
            <w:tcW w:w="1560" w:type="dxa"/>
            <w:shd w:val="clear" w:color="auto" w:fill="FFFFFF" w:themeFill="background1"/>
          </w:tcPr>
          <w:p w14:paraId="1F8A95E0" w14:textId="77777777" w:rsidR="00A86074" w:rsidRDefault="00A86074" w:rsidP="003353A2">
            <w:pPr>
              <w:rPr>
                <w:rFonts w:ascii="Arial" w:eastAsia="Calibri" w:hAnsi="Arial" w:cs="Arial"/>
                <w:lang w:val="id-ID"/>
              </w:rPr>
            </w:pPr>
          </w:p>
        </w:tc>
        <w:tc>
          <w:tcPr>
            <w:tcW w:w="6520" w:type="dxa"/>
            <w:shd w:val="clear" w:color="auto" w:fill="BFBFBF" w:themeFill="background1" w:themeFillShade="BF"/>
          </w:tcPr>
          <w:p w14:paraId="7E8EEAC2" w14:textId="35EB361C" w:rsidR="00A86074" w:rsidRPr="00A02FC5" w:rsidRDefault="00A86074" w:rsidP="00FE15DA">
            <w:pPr>
              <w:jc w:val="both"/>
              <w:rPr>
                <w:rFonts w:ascii="Arial" w:eastAsia="Calibri" w:hAnsi="Arial" w:cs="Arial"/>
                <w:b/>
                <w:bCs/>
                <w:i/>
                <w:iCs/>
                <w:sz w:val="18"/>
                <w:szCs w:val="18"/>
                <w:lang w:val="id-ID"/>
              </w:rPr>
            </w:pPr>
            <w:r w:rsidRPr="00A02FC5">
              <w:rPr>
                <w:rFonts w:ascii="Arial" w:eastAsia="Calibri" w:hAnsi="Arial" w:cs="Arial"/>
                <w:b/>
                <w:bCs/>
                <w:i/>
                <w:iCs/>
                <w:sz w:val="18"/>
                <w:szCs w:val="18"/>
                <w:lang w:val="id-ID"/>
              </w:rPr>
              <w:t>Abstrak</w:t>
            </w:r>
          </w:p>
          <w:p w14:paraId="4BD10E03" w14:textId="77777777" w:rsidR="00A86074" w:rsidRPr="00A02FC5" w:rsidRDefault="00A86074" w:rsidP="00FE15DA">
            <w:pPr>
              <w:jc w:val="both"/>
              <w:rPr>
                <w:rFonts w:ascii="Arial" w:eastAsia="Calibri" w:hAnsi="Arial" w:cs="Arial"/>
                <w:i/>
                <w:iCs/>
                <w:sz w:val="18"/>
                <w:szCs w:val="18"/>
                <w:lang w:val="id-ID"/>
              </w:rPr>
            </w:pPr>
          </w:p>
          <w:p w14:paraId="2E13548B" w14:textId="2DF7A29A" w:rsidR="00A86074" w:rsidRPr="00A02FC5" w:rsidRDefault="00454A75" w:rsidP="00454A75">
            <w:pPr>
              <w:jc w:val="both"/>
              <w:rPr>
                <w:rFonts w:ascii="Arial" w:eastAsia="Calibri" w:hAnsi="Arial" w:cs="Arial"/>
                <w:i/>
                <w:iCs/>
                <w:sz w:val="18"/>
                <w:szCs w:val="18"/>
                <w:lang w:val="id-ID"/>
              </w:rPr>
            </w:pPr>
            <w:r w:rsidRPr="00454A75">
              <w:rPr>
                <w:rFonts w:ascii="Arial" w:eastAsia="Calibri" w:hAnsi="Arial" w:cs="Arial"/>
                <w:i/>
                <w:iCs/>
                <w:sz w:val="18"/>
                <w:szCs w:val="18"/>
                <w:lang w:val="id-ID"/>
              </w:rPr>
              <w:t xml:space="preserve">Studi ini membahas masalah </w:t>
            </w:r>
            <w:proofErr w:type="spellStart"/>
            <w:r w:rsidRPr="00454A75">
              <w:rPr>
                <w:rFonts w:ascii="Arial" w:eastAsia="Calibri" w:hAnsi="Arial" w:cs="Arial"/>
                <w:i/>
                <w:iCs/>
                <w:sz w:val="18"/>
                <w:szCs w:val="18"/>
                <w:lang w:val="id-ID"/>
              </w:rPr>
              <w:t>ketidak</w:t>
            </w:r>
            <w:proofErr w:type="spellEnd"/>
            <w:r w:rsidRPr="00454A75">
              <w:rPr>
                <w:rFonts w:ascii="Arial" w:eastAsia="Calibri" w:hAnsi="Arial" w:cs="Arial"/>
                <w:i/>
                <w:iCs/>
                <w:sz w:val="18"/>
                <w:szCs w:val="18"/>
                <w:lang w:val="id-ID"/>
              </w:rPr>
              <w:t xml:space="preserve"> </w:t>
            </w:r>
            <w:proofErr w:type="spellStart"/>
            <w:r w:rsidRPr="00454A75">
              <w:rPr>
                <w:rFonts w:ascii="Arial" w:eastAsia="Calibri" w:hAnsi="Arial" w:cs="Arial"/>
                <w:i/>
                <w:iCs/>
                <w:sz w:val="18"/>
                <w:szCs w:val="18"/>
                <w:lang w:val="id-ID"/>
              </w:rPr>
              <w:t>efisienan</w:t>
            </w:r>
            <w:proofErr w:type="spellEnd"/>
            <w:r w:rsidRPr="00454A75">
              <w:rPr>
                <w:rFonts w:ascii="Arial" w:eastAsia="Calibri" w:hAnsi="Arial" w:cs="Arial"/>
                <w:i/>
                <w:iCs/>
                <w:sz w:val="18"/>
                <w:szCs w:val="18"/>
                <w:lang w:val="id-ID"/>
              </w:rPr>
              <w:t xml:space="preserve"> birokrasi dan rendahnya partisipasi publik dalam tata kelola pemerintahan dengan secara sistematis memetakan ruang lingkup inovasi digital dalam tata kelola pemerintahan di seluruh Asia Tenggara. Penelitian ini bertujuan untuk memahami bagaimana teknologi mendukung hasil tata kelola pemerintahan, dengan mempertimbangkan disparitas infrastruktur digital dan kesiapan institusional di wilayah tersebut. Studi ini melakukan tinjauan literatur sistematis terhadap 996 publikasi dari </w:t>
            </w:r>
            <w:proofErr w:type="spellStart"/>
            <w:r w:rsidRPr="00454A75">
              <w:rPr>
                <w:rFonts w:ascii="Arial" w:eastAsia="Calibri" w:hAnsi="Arial" w:cs="Arial"/>
                <w:i/>
                <w:iCs/>
                <w:sz w:val="18"/>
                <w:szCs w:val="18"/>
                <w:lang w:val="id-ID"/>
              </w:rPr>
              <w:t>Scopus</w:t>
            </w:r>
            <w:proofErr w:type="spellEnd"/>
            <w:r w:rsidRPr="00454A75">
              <w:rPr>
                <w:rFonts w:ascii="Arial" w:eastAsia="Calibri" w:hAnsi="Arial" w:cs="Arial"/>
                <w:i/>
                <w:iCs/>
                <w:sz w:val="18"/>
                <w:szCs w:val="18"/>
                <w:lang w:val="id-ID"/>
              </w:rPr>
              <w:t xml:space="preserve">, mengikuti protokol PRISMA, dan menggunakan analisis </w:t>
            </w:r>
            <w:proofErr w:type="spellStart"/>
            <w:r w:rsidRPr="00454A75">
              <w:rPr>
                <w:rFonts w:ascii="Arial" w:eastAsia="Calibri" w:hAnsi="Arial" w:cs="Arial"/>
                <w:i/>
                <w:iCs/>
                <w:sz w:val="18"/>
                <w:szCs w:val="18"/>
                <w:lang w:val="id-ID"/>
              </w:rPr>
              <w:t>bibliometrik</w:t>
            </w:r>
            <w:proofErr w:type="spellEnd"/>
            <w:r w:rsidRPr="00454A75">
              <w:rPr>
                <w:rFonts w:ascii="Arial" w:eastAsia="Calibri" w:hAnsi="Arial" w:cs="Arial"/>
                <w:i/>
                <w:iCs/>
                <w:sz w:val="18"/>
                <w:szCs w:val="18"/>
                <w:lang w:val="id-ID"/>
              </w:rPr>
              <w:t xml:space="preserve"> melalui </w:t>
            </w:r>
            <w:proofErr w:type="spellStart"/>
            <w:r w:rsidRPr="00454A75">
              <w:rPr>
                <w:rFonts w:ascii="Arial" w:eastAsia="Calibri" w:hAnsi="Arial" w:cs="Arial"/>
                <w:i/>
                <w:iCs/>
                <w:sz w:val="18"/>
                <w:szCs w:val="18"/>
                <w:lang w:val="id-ID"/>
              </w:rPr>
              <w:t>RStudio-Biblioshiny</w:t>
            </w:r>
            <w:proofErr w:type="spellEnd"/>
            <w:r w:rsidRPr="00454A75">
              <w:rPr>
                <w:rFonts w:ascii="Arial" w:eastAsia="Calibri" w:hAnsi="Arial" w:cs="Arial"/>
                <w:i/>
                <w:iCs/>
                <w:sz w:val="18"/>
                <w:szCs w:val="18"/>
                <w:lang w:val="id-ID"/>
              </w:rPr>
              <w:t xml:space="preserve"> dan </w:t>
            </w:r>
            <w:proofErr w:type="spellStart"/>
            <w:r w:rsidRPr="00454A75">
              <w:rPr>
                <w:rFonts w:ascii="Arial" w:eastAsia="Calibri" w:hAnsi="Arial" w:cs="Arial"/>
                <w:i/>
                <w:iCs/>
                <w:sz w:val="18"/>
                <w:szCs w:val="18"/>
                <w:lang w:val="id-ID"/>
              </w:rPr>
              <w:t>CiteSpace</w:t>
            </w:r>
            <w:proofErr w:type="spellEnd"/>
            <w:r w:rsidRPr="00454A75">
              <w:rPr>
                <w:rFonts w:ascii="Arial" w:eastAsia="Calibri" w:hAnsi="Arial" w:cs="Arial"/>
                <w:i/>
                <w:iCs/>
                <w:sz w:val="18"/>
                <w:szCs w:val="18"/>
                <w:lang w:val="id-ID"/>
              </w:rPr>
              <w:t xml:space="preserve"> untuk mengidentifikasi tren, tema, dan celah terkait Indonesia, Malaysia, Singapura, Thailand, dan Filipina. Hasilnya menunjukkan dan secara aktif memperkuat tiga kluster inovasi dominan: kota pintar, sistem e-pemerintahan, dan platform partisipasi warga yang mendorong keterlibatan demokratis yang lebih besar bersamaan dengan efisiensi administratif yang lebih baik. Analisis ini menyoroti faktor-faktor kritis untuk transformasi digital yang sukses: kesiapan institusional, kompetensi digital, dan kolaborasi lintas organisasi. Dengan </w:t>
            </w:r>
            <w:proofErr w:type="spellStart"/>
            <w:r w:rsidRPr="00454A75">
              <w:rPr>
                <w:rFonts w:ascii="Arial" w:eastAsia="Calibri" w:hAnsi="Arial" w:cs="Arial"/>
                <w:i/>
                <w:iCs/>
                <w:sz w:val="18"/>
                <w:szCs w:val="18"/>
                <w:lang w:val="id-ID"/>
              </w:rPr>
              <w:t>mensintesis</w:t>
            </w:r>
            <w:proofErr w:type="spellEnd"/>
            <w:r w:rsidRPr="00454A75">
              <w:rPr>
                <w:rFonts w:ascii="Arial" w:eastAsia="Calibri" w:hAnsi="Arial" w:cs="Arial"/>
                <w:i/>
                <w:iCs/>
                <w:sz w:val="18"/>
                <w:szCs w:val="18"/>
                <w:lang w:val="id-ID"/>
              </w:rPr>
              <w:t xml:space="preserve"> praktik terbaik regional dan pola tematik, penelitian ini memberikan rekomendasi strategis bagi pembuat kebijakan yang bertujuan untuk mengembangkan kerangka kerja yang fleksibel, inklusif, dan etis dalam tata kelola digital. Temuan ini menekankan pentingnya menyelaraskan teknologi dengan kebutuhan komunitas dan proses </w:t>
            </w:r>
            <w:proofErr w:type="spellStart"/>
            <w:r w:rsidRPr="00454A75">
              <w:rPr>
                <w:rFonts w:ascii="Arial" w:eastAsia="Calibri" w:hAnsi="Arial" w:cs="Arial"/>
                <w:i/>
                <w:iCs/>
                <w:sz w:val="18"/>
                <w:szCs w:val="18"/>
                <w:lang w:val="id-ID"/>
              </w:rPr>
              <w:t>partisipatif</w:t>
            </w:r>
            <w:proofErr w:type="spellEnd"/>
            <w:r w:rsidRPr="00454A75">
              <w:rPr>
                <w:rFonts w:ascii="Arial" w:eastAsia="Calibri" w:hAnsi="Arial" w:cs="Arial"/>
                <w:i/>
                <w:iCs/>
                <w:sz w:val="18"/>
                <w:szCs w:val="18"/>
                <w:lang w:val="id-ID"/>
              </w:rPr>
              <w:t xml:space="preserve">, sehingga mengarahkan penelitian lebih lanjut pada </w:t>
            </w:r>
            <w:proofErr w:type="spellStart"/>
            <w:r w:rsidRPr="00454A75">
              <w:rPr>
                <w:rFonts w:ascii="Arial" w:eastAsia="Calibri" w:hAnsi="Arial" w:cs="Arial"/>
                <w:i/>
                <w:iCs/>
                <w:sz w:val="18"/>
                <w:szCs w:val="18"/>
                <w:lang w:val="id-ID"/>
              </w:rPr>
              <w:t>interoperabilitas</w:t>
            </w:r>
            <w:proofErr w:type="spellEnd"/>
            <w:r w:rsidRPr="00454A75">
              <w:rPr>
                <w:rFonts w:ascii="Arial" w:eastAsia="Calibri" w:hAnsi="Arial" w:cs="Arial"/>
                <w:i/>
                <w:iCs/>
                <w:sz w:val="18"/>
                <w:szCs w:val="18"/>
                <w:lang w:val="id-ID"/>
              </w:rPr>
              <w:t>, etika AI, dan kepercayaan publik dalam administrasi publik digital.</w:t>
            </w:r>
          </w:p>
          <w:p w14:paraId="369F2EF7" w14:textId="77777777" w:rsidR="00A86074" w:rsidRPr="00A02FC5" w:rsidRDefault="00A86074" w:rsidP="00FE15DA">
            <w:pPr>
              <w:jc w:val="both"/>
              <w:rPr>
                <w:rFonts w:ascii="Arial" w:eastAsia="Calibri" w:hAnsi="Arial" w:cs="Arial"/>
                <w:i/>
                <w:iCs/>
                <w:sz w:val="18"/>
                <w:szCs w:val="18"/>
                <w:lang w:val="id-ID"/>
              </w:rPr>
            </w:pPr>
          </w:p>
          <w:p w14:paraId="13D984BD" w14:textId="218E4E49" w:rsidR="00A86074" w:rsidRDefault="00A86074" w:rsidP="00FE15DA">
            <w:pPr>
              <w:jc w:val="both"/>
              <w:rPr>
                <w:rFonts w:ascii="Arial" w:eastAsia="Calibri" w:hAnsi="Arial" w:cs="Arial"/>
                <w:i/>
                <w:iCs/>
                <w:sz w:val="18"/>
                <w:szCs w:val="18"/>
                <w:lang w:val="id-ID"/>
              </w:rPr>
            </w:pPr>
            <w:r w:rsidRPr="00A02FC5">
              <w:rPr>
                <w:rFonts w:ascii="Arial" w:eastAsia="Calibri" w:hAnsi="Arial" w:cs="Arial"/>
                <w:i/>
                <w:iCs/>
                <w:sz w:val="18"/>
                <w:szCs w:val="18"/>
                <w:lang w:val="id-ID"/>
              </w:rPr>
              <w:t xml:space="preserve">Kata Kunci: </w:t>
            </w:r>
            <w:r w:rsidR="00061813" w:rsidRPr="00061813">
              <w:rPr>
                <w:rFonts w:ascii="Arial" w:eastAsia="Calibri" w:hAnsi="Arial" w:cs="Arial"/>
                <w:i/>
                <w:iCs/>
                <w:sz w:val="18"/>
                <w:szCs w:val="18"/>
                <w:lang w:val="id-ID"/>
              </w:rPr>
              <w:t>Transformasi Digital, E-</w:t>
            </w:r>
            <w:proofErr w:type="spellStart"/>
            <w:r w:rsidR="00061813" w:rsidRPr="00061813">
              <w:rPr>
                <w:rFonts w:ascii="Arial" w:eastAsia="Calibri" w:hAnsi="Arial" w:cs="Arial"/>
                <w:i/>
                <w:iCs/>
                <w:sz w:val="18"/>
                <w:szCs w:val="18"/>
                <w:lang w:val="id-ID"/>
              </w:rPr>
              <w:t>Government</w:t>
            </w:r>
            <w:proofErr w:type="spellEnd"/>
            <w:r w:rsidR="00061813" w:rsidRPr="00061813">
              <w:rPr>
                <w:rFonts w:ascii="Arial" w:eastAsia="Calibri" w:hAnsi="Arial" w:cs="Arial"/>
                <w:i/>
                <w:iCs/>
                <w:sz w:val="18"/>
                <w:szCs w:val="18"/>
                <w:lang w:val="id-ID"/>
              </w:rPr>
              <w:t xml:space="preserve">, </w:t>
            </w:r>
            <w:proofErr w:type="spellStart"/>
            <w:r w:rsidR="00061813" w:rsidRPr="00061813">
              <w:rPr>
                <w:rFonts w:ascii="Arial" w:eastAsia="Calibri" w:hAnsi="Arial" w:cs="Arial"/>
                <w:i/>
                <w:iCs/>
                <w:sz w:val="18"/>
                <w:szCs w:val="18"/>
                <w:lang w:val="id-ID"/>
              </w:rPr>
              <w:t>Smart</w:t>
            </w:r>
            <w:proofErr w:type="spellEnd"/>
            <w:r w:rsidR="00061813" w:rsidRPr="00061813">
              <w:rPr>
                <w:rFonts w:ascii="Arial" w:eastAsia="Calibri" w:hAnsi="Arial" w:cs="Arial"/>
                <w:i/>
                <w:iCs/>
                <w:sz w:val="18"/>
                <w:szCs w:val="18"/>
                <w:lang w:val="id-ID"/>
              </w:rPr>
              <w:t xml:space="preserve"> </w:t>
            </w:r>
            <w:proofErr w:type="spellStart"/>
            <w:r w:rsidR="00061813" w:rsidRPr="00061813">
              <w:rPr>
                <w:rFonts w:ascii="Arial" w:eastAsia="Calibri" w:hAnsi="Arial" w:cs="Arial"/>
                <w:i/>
                <w:iCs/>
                <w:sz w:val="18"/>
                <w:szCs w:val="18"/>
                <w:lang w:val="id-ID"/>
              </w:rPr>
              <w:t>Cities</w:t>
            </w:r>
            <w:proofErr w:type="spellEnd"/>
            <w:r w:rsidR="00061813" w:rsidRPr="00061813">
              <w:rPr>
                <w:rFonts w:ascii="Arial" w:eastAsia="Calibri" w:hAnsi="Arial" w:cs="Arial"/>
                <w:i/>
                <w:iCs/>
                <w:sz w:val="18"/>
                <w:szCs w:val="18"/>
                <w:lang w:val="id-ID"/>
              </w:rPr>
              <w:t>, Tata Kelola Pemerintahan Lokal, Partisipasi Publik</w:t>
            </w:r>
            <w:r w:rsidRPr="00A02FC5">
              <w:rPr>
                <w:rFonts w:ascii="Arial" w:eastAsia="Calibri" w:hAnsi="Arial" w:cs="Arial"/>
                <w:i/>
                <w:iCs/>
                <w:sz w:val="18"/>
                <w:szCs w:val="18"/>
                <w:lang w:val="id-ID"/>
              </w:rPr>
              <w:t>.</w:t>
            </w:r>
          </w:p>
          <w:p w14:paraId="15D5756B" w14:textId="77777777" w:rsidR="00811609" w:rsidRPr="00A02FC5" w:rsidRDefault="00811609" w:rsidP="00FE15DA">
            <w:pPr>
              <w:jc w:val="both"/>
              <w:rPr>
                <w:rFonts w:ascii="Arial" w:eastAsia="Calibri" w:hAnsi="Arial" w:cs="Arial"/>
                <w:i/>
                <w:iCs/>
                <w:sz w:val="18"/>
                <w:szCs w:val="18"/>
                <w:lang w:val="id-ID"/>
              </w:rPr>
            </w:pPr>
          </w:p>
          <w:p w14:paraId="22A47B35" w14:textId="77777777" w:rsidR="00A86074" w:rsidRPr="00A02FC5" w:rsidRDefault="00A86074" w:rsidP="00FE15DA">
            <w:pPr>
              <w:jc w:val="both"/>
              <w:rPr>
                <w:rFonts w:ascii="Arial" w:eastAsia="Calibri" w:hAnsi="Arial" w:cs="Arial"/>
                <w:sz w:val="18"/>
                <w:szCs w:val="18"/>
                <w:lang w:val="id-ID"/>
              </w:rPr>
            </w:pPr>
          </w:p>
        </w:tc>
      </w:tr>
    </w:tbl>
    <w:p w14:paraId="5D57CEB0" w14:textId="77777777" w:rsidR="00811609" w:rsidRDefault="00811609" w:rsidP="00916449">
      <w:pPr>
        <w:spacing w:after="0" w:line="276" w:lineRule="auto"/>
        <w:jc w:val="both"/>
        <w:rPr>
          <w:rFonts w:ascii="Arial" w:eastAsia="Calibri" w:hAnsi="Arial" w:cs="Arial"/>
          <w:b/>
          <w:lang w:val="id-ID"/>
        </w:rPr>
      </w:pPr>
    </w:p>
    <w:p w14:paraId="1DC10A9C" w14:textId="6B85925A" w:rsidR="00811609" w:rsidRDefault="00811609" w:rsidP="00916449">
      <w:pPr>
        <w:spacing w:after="0" w:line="276" w:lineRule="auto"/>
        <w:jc w:val="both"/>
        <w:rPr>
          <w:rFonts w:ascii="Arial" w:eastAsia="Calibri" w:hAnsi="Arial" w:cs="Arial"/>
          <w:b/>
          <w:lang w:val="id-ID"/>
        </w:rPr>
      </w:pPr>
      <w:r w:rsidRPr="00761E7E">
        <w:rPr>
          <w:rFonts w:ascii="Arial" w:eastAsia="Calibri" w:hAnsi="Arial" w:cs="Arial"/>
          <w:noProof/>
          <w:lang w:val="id-ID"/>
        </w:rPr>
        <mc:AlternateContent>
          <mc:Choice Requires="wps">
            <w:drawing>
              <wp:anchor distT="0" distB="0" distL="114300" distR="114300" simplePos="0" relativeHeight="251661312" behindDoc="0" locked="0" layoutInCell="1" allowOverlap="1" wp14:anchorId="7E4C7D4E" wp14:editId="577007DB">
                <wp:simplePos x="0" y="0"/>
                <wp:positionH relativeFrom="margin">
                  <wp:posOffset>0</wp:posOffset>
                </wp:positionH>
                <wp:positionV relativeFrom="paragraph">
                  <wp:posOffset>0</wp:posOffset>
                </wp:positionV>
                <wp:extent cx="5038725" cy="18000"/>
                <wp:effectExtent l="0" t="0" r="0" b="0"/>
                <wp:wrapNone/>
                <wp:docPr id="2117503034" name="Rectangle 2117503034"/>
                <wp:cNvGraphicFramePr/>
                <a:graphic xmlns:a="http://schemas.openxmlformats.org/drawingml/2006/main">
                  <a:graphicData uri="http://schemas.microsoft.com/office/word/2010/wordprocessingShape">
                    <wps:wsp>
                      <wps:cNvSpPr/>
                      <wps:spPr>
                        <a:xfrm flipV="1">
                          <a:off x="0" y="0"/>
                          <a:ext cx="5038725" cy="1800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F2F6F1" id="Rectangle 2117503034" o:spid="_x0000_s1026" style="position:absolute;margin-left:0;margin-top:0;width:396.75pt;height:1.4pt;flip:y;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" fillcolor="#c00000" stroked="f" strokeweight="1pt">
                <w10:wrap anchorx="margin"/>
              </v:rect>
            </w:pict>
          </mc:Fallback>
        </mc:AlternateContent>
      </w:r>
    </w:p>
    <w:p w14:paraId="1B412E8F" w14:textId="5076FCDB" w:rsidR="00916449" w:rsidRPr="00A86074" w:rsidRDefault="00916449" w:rsidP="00916449">
      <w:pPr>
        <w:spacing w:after="0" w:line="276" w:lineRule="auto"/>
        <w:jc w:val="both"/>
        <w:rPr>
          <w:rFonts w:ascii="Arial" w:eastAsia="Calibri" w:hAnsi="Arial" w:cs="Arial"/>
          <w:b/>
          <w:lang w:val="id-ID"/>
        </w:rPr>
      </w:pPr>
      <w:r w:rsidRPr="00761E7E">
        <w:rPr>
          <w:rFonts w:ascii="Arial" w:eastAsia="Calibri" w:hAnsi="Arial" w:cs="Arial"/>
          <w:b/>
          <w:lang w:val="id-ID"/>
        </w:rPr>
        <w:t>INTRODUCTION</w:t>
      </w:r>
    </w:p>
    <w:p w14:paraId="720DBA75" w14:textId="00A486CF" w:rsidR="002F40B4" w:rsidRPr="002F40B4" w:rsidRDefault="002F40B4" w:rsidP="002F40B4">
      <w:pPr>
        <w:spacing w:after="0" w:line="276" w:lineRule="auto"/>
        <w:ind w:firstLine="851"/>
        <w:jc w:val="both"/>
        <w:rPr>
          <w:rFonts w:ascii="Arial" w:hAnsi="Arial" w:cs="Arial"/>
          <w:szCs w:val="20"/>
        </w:rPr>
      </w:pPr>
      <w:r w:rsidRPr="002F40B4">
        <w:rPr>
          <w:rFonts w:ascii="Arial" w:hAnsi="Arial" w:cs="Arial"/>
          <w:szCs w:val="20"/>
        </w:rPr>
        <w:t xml:space="preserve">In Southeast Asia, digital transformation has become one of the more pressing triggers for reform within local governance systems. Within the context of the socio-economic and political landscape frameworks, digitalization creates new opportunities for improving the bureaucratic functions of an administration, including efficiency, transparency, and public participation </w:t>
      </w:r>
      <w:proofErr w:type="spellStart"/>
      <w:r w:rsidR="00D61553" w:rsidRPr="00D61553">
        <w:rPr>
          <w:rFonts w:ascii="Arial" w:hAnsi="Arial" w:cs="Arial"/>
          <w:szCs w:val="20"/>
        </w:rPr>
        <w:t>participation</w:t>
      </w:r>
      <w:proofErr w:type="spellEnd"/>
      <w:r w:rsidR="00D61553" w:rsidRPr="00D61553">
        <w:rPr>
          <w:rFonts w:ascii="Arial" w:hAnsi="Arial" w:cs="Arial"/>
          <w:szCs w:val="20"/>
        </w:rPr>
        <w:t xml:space="preserve"> </w:t>
      </w:r>
      <w:proofErr w:type="spellStart"/>
      <w:r w:rsidR="003848FC" w:rsidRPr="004F2B90">
        <w:rPr>
          <w:rFonts w:ascii="Arial" w:hAnsi="Arial" w:cs="Arial"/>
          <w:szCs w:val="20"/>
        </w:rPr>
        <w:t>participation</w:t>
      </w:r>
      <w:proofErr w:type="spellEnd"/>
      <w:r w:rsidR="003848FC">
        <w:rPr>
          <w:rFonts w:ascii="Arial" w:hAnsi="Arial" w:cs="Arial"/>
          <w:szCs w:val="20"/>
        </w:rPr>
        <w:t xml:space="preserve"> </w:t>
      </w:r>
      <w:r w:rsidR="003848FC" w:rsidRPr="004F2B90">
        <w:rPr>
          <w:rFonts w:ascii="Arial" w:hAnsi="Arial" w:cs="Arial"/>
          <w:szCs w:val="20"/>
        </w:rPr>
        <w:fldChar w:fldCharType="begin" w:fldLock="1"/>
      </w:r>
      <w:r w:rsidR="009717CF">
        <w:rPr>
          <w:rFonts w:ascii="Arial" w:hAnsi="Arial" w:cs="Arial"/>
          <w:szCs w:val="20"/>
        </w:rPr>
        <w:instrText>ADDIN CSL_CITATION {"citationItems":[{"id":"ITEM-1","itemData":{"DOI":"10.1016/j.worlddev.2025.106996","ISSN":"0305750X (ISSN)","abstract":"The aim of the paper is to analyze the digitalization from a three dimensions perspective: the one of the technological infrastructures, the one of the employees and its willingness to implement changes, and the one of the citizens. The reasoning behind choosing the dimensions relies in their importance and interconnectedness. The first dimension, technological infrastructure and tools, deals with the assessment of the technological readiness of Romanian public institutions for digitalization. The focus of this dimension will be to analyze the existing hardware, software, data management practices, and cybersecurity measures, the foundation upon which digital initiatives are built. By analyzing the extent of cloud adoption, data center utilization, and cybersecurity strategies, this dimension sheds light on the critical underpinnings of successful digital transformation. The second dimension deals with the assessment of employees willingness to take part in the digital transformation and to implement the changes. The framework selected for this dimension is the ADKAR (Awareness, Desire, Knowledge, Ability, and Reinforcement) framework which offers a structured approach to managing organizational change. By applying this framework, the study explores how Romanian public institutions manage resistance to digital transformation, foster a culture of technological adaptation, and ensure the successful implementation of digital initiatives. Finally, the third dimension involves the citizens and assess the public engagement and participation. The third dimension explores the extent to which Romanian public institutions leverage digital platforms to engage citizens and stakeholders. The study examines online portals, transparency in decision-making, and mechanisms for gathering public input. By investigating the accessibility, effectiveness, and inclusivity of digital engagement channels, the research aims to identify best practices that enhance citizen participation and contribute to more responsive governance. These three dimensions will be operationalized in a questionnaire which will be send to all the city halls in Romania. In Romania, there are 3.228 administrative territorial units. Among these 3.228, 103 municipalities (including Bucharest), 320 cities, and 2859 rural communes. Respondents will be asked to identify their role and to answer a set of questions measuring the three dimensions (technological infrastructure, employee willingness to participat…","author":[{"dropping-particle":"","family":"Greavu-Şerban","given":"V","non-dropping-particle":"","parse-names":false,"suffix":""},{"dropping-particle":"","family":"Gheorghiu","given":"A","non-dropping-particle":"","parse-names":false,"suffix":""},{"dropping-particle":"","family":"Ungureanu","given":"C","non-dropping-particle":"","parse-names":false,"suffix":""}],"container-title":"World Development","id":"ITEM-1","issued":{"date-parts":[["2025"]]},"language":"English","publisher":"Elsevier Ltd","publisher-place":"Alexandru Ioan Cuza University of Iaşi, Carol I, Iași, Romania","title":"A multidimensional perspective of digitization in Romanian public institutions","type":"article-journal","volume":"191"},"uris":["http://www.mendeley.com/documents/?uuid=464122d3-2d5e-4804-bdf5-17807d1fb738","http://www.mendeley.com/documents/?uuid=989bc07f-7b5a-4094-a327-0c4616e3780e"]}],"mendeley":{"formattedCitation":"(Greavu-Şerban et al., 2025)","plainTextFormattedCitation":"(Greavu-Şerban et al., 2025)","previouslyFormattedCitation":"(Greavu-Şerban et al., 2025)"},"properties":{"noteIndex":0},"schema":"https://github.com/citation-style-language/schema/raw/master/csl-citation.json"}</w:instrText>
      </w:r>
      <w:r w:rsidR="003848FC" w:rsidRPr="004F2B90">
        <w:rPr>
          <w:rFonts w:ascii="Arial" w:hAnsi="Arial" w:cs="Arial"/>
          <w:szCs w:val="20"/>
        </w:rPr>
        <w:fldChar w:fldCharType="separate"/>
      </w:r>
      <w:r w:rsidR="003848FC" w:rsidRPr="004D5D1F">
        <w:rPr>
          <w:rFonts w:ascii="Arial" w:hAnsi="Arial" w:cs="Arial"/>
          <w:noProof/>
          <w:szCs w:val="20"/>
        </w:rPr>
        <w:t>(Greavu-Şerban et al., 2025)</w:t>
      </w:r>
      <w:r w:rsidR="003848FC" w:rsidRPr="004F2B90">
        <w:rPr>
          <w:rFonts w:ascii="Arial" w:hAnsi="Arial" w:cs="Arial"/>
          <w:szCs w:val="20"/>
        </w:rPr>
        <w:fldChar w:fldCharType="end"/>
      </w:r>
      <w:r w:rsidR="003848FC" w:rsidRPr="004F2B90">
        <w:rPr>
          <w:rFonts w:ascii="Arial" w:hAnsi="Arial" w:cs="Arial"/>
          <w:szCs w:val="20"/>
        </w:rPr>
        <w:t xml:space="preserve">. </w:t>
      </w:r>
      <w:r w:rsidRPr="002F40B4">
        <w:rPr>
          <w:rFonts w:ascii="Arial" w:hAnsi="Arial" w:cs="Arial"/>
          <w:szCs w:val="20"/>
        </w:rPr>
        <w:t xml:space="preserve">In response to changing governance issues, countries like Indonesia, Malaysia, and the Philippines have incorporated varying degrees of technology with e-government systems, smart cities, and online participatory governance </w:t>
      </w:r>
      <w:r w:rsidR="003848FC" w:rsidRPr="004F2B90">
        <w:rPr>
          <w:rFonts w:ascii="Arial" w:hAnsi="Arial" w:cs="Arial"/>
          <w:szCs w:val="20"/>
        </w:rPr>
        <w:fldChar w:fldCharType="begin" w:fldLock="1"/>
      </w:r>
      <w:r w:rsidR="009717CF">
        <w:rPr>
          <w:rFonts w:ascii="Arial" w:hAnsi="Arial" w:cs="Arial"/>
          <w:szCs w:val="20"/>
        </w:rPr>
        <w:instrText>ADDIN CSL_CITATION {"citationItems":[{"id":"ITEM-1","itemData":{"DOI":"10.15294/jils.v6i2.47795","ISSN":"25481592","abstract":"Indonesia passed an e-government law in 2018, ushering the country's society into the information age across a range of sectors, including social, economic, communication, transportation, literacy, and public services. This transformation has benefited enormously from the facilitation of information technology in terms of productivity, comfort, compassion, and time elapsed. Local governments in Indonesia, on the other hand, are slowing the adoption of egovernment, which has progressed to the second stage of implementation, which is the introduction or integration of crosssectoral systems. This article claims that local governments face challenges in this second stage as a result of departmental egos that make it difficult to unite around shared objectives. The whole government approach is suggested in this paper as a concrete policy strategy for eradicating sectoral egos within local government departments. It places a premium on collaboration in order to accomplish the government's vision and objectives.","author":[{"dropping-particle":"","family":"Matitah","given":"Martitah","non-dropping-particle":"","parse-names":false,"suffix":""},{"dropping-particle":"","family":"Arifin","given":"Saru","non-dropping-particle":"","parse-names":false,"suffix":""},{"dropping-particle":"","family":"Sumarto","given":"Slamet","non-dropping-particle":"","parse-names":false,"suffix":""},{"dropping-particle":"","family":"Widiyanto","given":"Widiyanto","non-dropping-particle":"","parse-names":false,"suffix":""}],"container-title":"Journal of Indonesian Legal Studies","id":"ITEM-1","issue":"2","issued":{"date-parts":[["2021"]]},"language":"English","note":"Export Date: 30 September 2022\n\nCorrespondence Address: Matitah, M.; Faculty of Law, Indonesia; email: martitahlatif@yahoo.co.id\n\nReferences: Almarabeh, T., Abuali, A., A general framework for Egovernment: Definition maturity challenges, opportunities, and success (2010) European Journal of Scientific Research, 39 (1), pp. 29-42; \nBecker, J., Niehaves, B., Algermissen, L., Delfmann, P., Falk, T., (2004) E-Government Success Factors, pp. 503-504;\nBuluamang, Y.M.O., Handika, L.P., Komunikasi Pemerintahan Antar Perangkat Daerah di Provinsi Nusa Tenggara Timur (NTT) (2018) Jurnal Penelitian Komunikasi, 21 (1), pp. 57-72. , https://doi.org/10.20422/jpk.v21i1.481;\nCarter, L., Bélanger, F., The utilization of e-government services: Citizen trust, innovation and acceptance factors (2005) Information Systems Journal, 15 (1), pp. 5-25. , https://doi.org/10.1111/j.1365-2575.2005.00183.x;\n(2016) Cetak Biru (Blueptint) Sistem Aplikasi E-Government Bagi Lembaga Pemerintah Daerah, , https://doi.org/10.1093/pa/gsg026, In depkominfo. depkominfo;\nDjunaedi, A., Beberapa pemikiran penerapan e-government dalam pemerintah daerah di Indonesia (2002) Seminar Nasional Egovernment &amp;amp; Workshop Linux, , http://mpkd.ugm.ac.id/weblama/homepageadj/support/publikasi/ti-egov/egovtpemdaindo.pdf, 30 Oktober 2002;\nEvangelidis, A., Akomode, J., Taleb-Bendiab, A., Taylor, M., Risk assessment &amp;amp; success factors for e-government in a uk establishment (2002) Lecture Notes in Computer Science (Including Subseries Lecture Notes in Artificial Intelligence and Lecture Notes in Bioinformatics, 2456, pp. 395-402. , https://doi.org/10.1007/3-540-46138-8_64;\nFang, Z., e-Goverment in digital era: Concept, practice and development (2002) International Journal of the Computer, the Internet and Management, 10 (2), pp. 1-22;\nGichoya, D., Successful implementation of ICT projects in government (2005) Proceedings of the European Conference on Egovernment, ECEG, 3 (4), pp. 171-182;\nHadinagoro, S.S., (2020) Reduksi Ego Sektoral Dan Perkuat Sinergi Demi Produktivitas Nasional, , Perpustakaan Nasional Republik Indonesia;\nHardjaloka, L., Studi penerapan E-Government di Indonesia dan negara lainnya sebagai solusi pemberantasan korupsi di sektor publik Implementation Study on E-Government in Indonesia and Other Countries As A Solution in Eradicating Corruption in Public Sector) (2014) Jurnal Rechtsvinding, 3 (3), pp. 435-452. , https://rechtsvinding.bphn.go.id/ejournal/index.php/jrv/article/viewFile/35/37;\nHasibuan, Z.A., Langkah-Langkah Strategis dan Taktis Pengembangan E-Government Untuk Pemda (2007) Jurnal Sistem Informasi MTI UI, 3 (1), pp. 1-5;\nIndrajit, R.E., Evolusi Strategis Integrasi Sistem Informasi Ragam Institusi: Kiat Memecahkan Permasalahan Politis dalam Kerangka Manajemen Perubahan (2006) Prosiding Konferensi Nasional Teknologi Informasi &amp;amp; Komunikasi Untuk Indonesia, pp. 98-101;\nJaeger, P.T., Thompson, K.M., E-government around the world: Lessons, challenges, and future directions (2003) Government Information Quarterly, 20 (4), pp. 389-394. , https://doi.org/10.1016/j.giq.2003.08.001;\nKe, W., Wei, K.K., Successful e-government in Singapore (2004) Communications of the ACM, 47 (6), pp. 95-99. , https://doi.org/10.1145/990680.990687;\nLin, F., Fofanah, S.S., Liang, D., Assessing citizen adoption of e-Government initiatives in Gambia: A validation of the technology acceptance model in information systems success (2011) Government Information Quarterly, 28 (2), pp. 271-279. , https://doi.org/10.1016/j.giq.2010.09.004;\nLin, F., Fofanah, S.S., Liang, D., Almarabeh, T., Abuali, A., A general framework for E-government: Definition maturity challenges, opportunities, and success (2010) Government Information Quarterly, 28 (2), pp. 271-279. , https://doi.org/10.1016/j.giq.2010.09.004;\nMiddleton, M., Approaches to Evaluation of Websites for (2007) Public Sector Services. Proce, pp. 279-284;\nNdou, V., -Government for Developing Countries: Opportunities and Challenges (2004) Developing, 18 (1), pp. 1-24;\nRasyid, E., Partini, P., Haryadi, F.T., Zulfikar, A., Jaringan komunikasi dalam pengelolaan perencanaan program penanggulangan kemiskinan di Provinsi Sulawesi Barat (2019) Jurnal Kajian Komunikasi, 7 (2), p. 133. , https://doi.org/10.24198/jkk.v7i2.19574;\nSaha, P., Nath, A., Salehi-Sangari, E., Success of government e-service delivery: Does satisfaction matter? (2010) Lecture Notes in Computer Science (Including Subseries Lecture Notes in Artificial Intelligence and Lecture Notes in Bioinformatics), 6228 LNCS, pp. 204-215. , https://doi.org/10.1007/978-3-642-14799-9_18;\nSatriya, E., Pentingnya Revitalisasi E-Government di Indonesia (2006) Prosiding Konferensi Nasional Teknologi Informasi &amp;amp; Komunikasi Untuk Indonesia, 38, pp. 38-43. , 3-4 Mei 2006, Aula Barat &amp;amp; Timur Institut Teknologi Bandung;\nWiryanto, W., Afif, M.M., (2003) Akuntabilitas Layanan Publik Mel Alui Penerapan Sistem Pemerintahan Berbasis Elektronik, pp. 63-77;\nYunita, N.P., Aprianto, R.D., Kondisi Terkini Perkembangan Pelaksanaan E-Government Di Indonesia: Analisis Website (2018) Seminar Nasional Teknologi Informasi Dan Komunikasi, 2018, pp. 329-336","page":"279-306","publisher":"Universitas Negeri Semarang","publisher-place":"Faculty of Law, Universitas Negeri Semarang, Indonesia","title":"Confronting E-Government Adoption in Indonesian Local Government","type":"article-journal","volume":"6"},"uris":["http://www.mendeley.com/documents/?uuid=e4872ee3-1af2-4043-8f28-49d770fcbd6f"]},{"id":"ITEM-2","itemData":{"DOI":"10.14445/22315381/CATI1P221","ISSN":"23490918 (ISSN)","abstract":"World has evolved to incorporate information and communication technologies (ICT) to enhance the quality of life. Internet of Things (IoT), Big Data, smart applications and industrial revolution 4.0 have emerged and become part of today's world. Smart city is part of the revolution makes use of the smart technologies to improve the quality of life and performance of urban services such as transportation, public infrastructure and utilities. Malaysia is also taking this advantage to strengthen the infrastructure and connectivity concentrating in green technology, innovation, industrial development and city info structure. Kelantan state government has taken several initiatives to support the smart city implementation in Kota Bharu. Unfortunately, the progress of the initiatives seems to be quite slow compared to other cities in Malaysia. This conceptual paper discusses smart city concept in Malaysia and other countries as well. Kelantan state government may refer to this paper to set up policies regarding the development of Kota Bharu smart city. Generic architecture will be explained thoroughly in this paper. This paper highlights several critical success factors (CSFs) that determine the successful implementation of smart city project. Several examples of smart city applications will also be described. © 2020 SSRG International Journal of Engineering Trends and Technology. All rights reserved.","author":[{"dropping-particle":"","family":"Zukarnain","given":"Z A","non-dropping-particle":"","parse-names":false,"suffix":""},{"dropping-particle":"","family":"Sudin","given":"R","non-dropping-particle":"","parse-names":false,"suffix":""},{"dropping-particle":"","family":"Rahman","given":"N A","non-dropping-particle":"","parse-names":false,"suffix":""},{"dropping-particle":"","family":"Jamaludin","given":"M","non-dropping-particle":"","parse-names":false,"suffix":""}],"container-title":"International Journal of Engineering Trends and Technology","id":"ITEM-2","issue":"1","issued":{"date-parts":[["2020"]]},"language":"English","note":"Cited By :1\n\nExport Date: 23 April 2023\n\nReferences: Monzon, A., Smart cities concept and challenges: Bases for the assessment of smart city projects (2015) 2015 international conference on smart cities and green ICT systems (SMARTGREENS), pp. 1-11; \nSiuryte, A., Davidaviciene, V., An Analysis of Key Factors in Developing A Smart City (2016) VGTU Journal, 8 (2), pp. 254-262;\nAnttiroiko, A.-V., Wellness and the City (2018) Wellness City, pp. 21-31. , Springer;\nZanella, A., Mui, N., Castellani, A., Rangelista, L., Zarzi, M., Internet of Things for Smart Cities (2014) IEEE Internet of Things Journal;\nSilva, B. N., Khan, M., Han, K., Towards Sustainable “Smart Cities: A review of Trends, Architectures, Components, and Open Challenges in Smart Cities (2018) Sustainable Cities and Society”, pp. 697-713;\nTrindade, E. P., Hinning, M. P. F., de Costa, E. M., Marques, J. S., Bastos, R. C., Yigitcanlar, T., Ssustainable “Development of Smart Cities: A Systematic Review of the Literature (2017) Journal of Open Innovation Technology, Market, and Complexity, pp. 3-11;\nChourabi, H., Nam, T., Walker, S., Gil-Garcia, J. R., Mellouli, S., Nahon, K., Pardo, T. A., Scholl, H. J., Understanding Smart Cities: An Integrative Framework (2012) 2012 45th Hawai International Conference on System Science;\nRodriguez, J. A., Fernandez, F. J., Arboleya, P., Study of the Architecture of a Smart city (2018) 2nd International Resesrach Conference on Sustainable Energy, Engineering Materials and Environment;\nHarms, J.R., Critical Success Factors for a Smart City Strategy (2016) Twenty Student Conference;\nRahman, N. A. A., Zainordin, Z. M., Zawawi, E. M. A., Social Attributes and Public Participation Towards Smart City Development (2017) Politeknik &amp;amp; Kolej Komuniti Journal of Social Sciences and Humanities, 1;\nMijac, M., Androcec, D., Picek, R., Smart City Services Driven by IoT: A Systematic Review (2017) Journal of Economic and Social Development, 2, pp. 41-50;\nHeuser, L., International Smart City plans, Experiences, Success Factors (2017) Magyar Jovo Internet Konferencia;\nPatel, P. R., Padhya, H. J., Review Paper for Smart City (2017) International Journal of Advanced Research in Engineering, Services &amp;amp; Management;\nGiffinger, R., Gudrun, H., Smart cities ranking: An effective instrument for the positioning of the cities (2010) Architecture, City and Environment, 4 (12), pp. 7-25;\nRakesh, S., Hegde, N. P., Internet of Thins and Big Data Analytics for Development Smart Cities: A Review (2018) International Journal of Computer Engineering &amp;amp; Technology, 9 (3), pp. 42-46;\nMangla, S.K., Luthra, S., Jakhar, S., Berwal, Y. P. S., Success Factors to Smart Cities in India: An Empirical Investigation (2017) Industrial Engineering Journal, X (4), pp. 6-12;\nMyeong, S., Jung, Y., Lee, E., A Study on Determinant Factors in Smart City Development (2018) An Analysis Hierarchy Process Analysis, Sustainability, 10;\nSureshchandra, S. M., Bhavsar, J. J., Pitroda, J. R., Assessment of Critical Success Factors For Smart Cities Using Significant Index Method (2016) International Journal of Advance Research and Innovative Ideas in Education, 2 (3), pp. 802-810;\nMohd Adnan, Y., Hamzah, H., Daud, M. N., Dali, M., Alias, A., A framework for reconciling user requirements and actual provision for Smart City implementation (2016) Proceedings of the 11th International Conference on Urban Regeneration and Sustainability;\n(2015), https://www.pmo.gov.my/dokumenattached/speech/files/RMK11_Ucapan.pdf, Rancangan Malaysia Kesebelas. Available; (2016), https://www.malaysianwireless.com/2017/01/mcmc-malaysia-telecommunications-3q16/, Malaysian Wireless. AvailableUR - https://www.scopus.com/inward/record.uri?eid=2-s2.0-85099277263&amp;amp;doi=10.14445%2f22315381%2fCATI1P221&amp;amp;partnerID=40&amp;amp;md5=4c58137a8ecdfc10396343fdcc698374","page":"114-119","publisher":"Seventh Sense Research Group","publisher-place":"Department of Computer Science, Universiti Teknologi MARA, Kelantan Branch, Machang, Kelantan, Malaysia","title":"Exploring the potential of smart city in Kota Bharu","type":"article-journal"},"uris":["http://www.mendeley.com/documents/?uuid=bf9d8696-812a-4b4b-8639-ac0986c4bfe8"]},{"id":"ITEM-3","itemData":{"DOI":"10.23919/ICACT60172.2024.10472009","ISBN":"17389445 (ISSN); 979-118842812-0 (ISBN)","abstract":"Digital citizen participatory toolkits are gaining interest among researchers and practitioners for their crucial role in empowering citizens, promoting accountability, and ensuring diverse voices are heard in policymaking. This study aims to develop and implement BOSESKO: Building on Opinions and Sentiments for Sustainability and Knowledge Opportunities (formerly known as Kalahok) - a multilingual, inclusive, deliberative, synoptic, digital participatory toolkit that digitized data collection and analysis to engage communities in governance using technology-based methodologies. BOSESKO is available in English, Filipino, Ilokano, and Bikol versions for web and mobile devices. It primarily encourages public feedback on disaster preparedness and Universal Access to Quality Tertiary Education (UAQTE) implementation in the Philippines. Its adaptable design extends its utility beyond its initial scope. BOSESKO explored machine learning, natural language processing, and software integration for data gathering, processing, visualization, and system development while employing a hybrid approach with Extreme Programming (XP) and Scrum, Significant findings demonstrated that BOSESKO enabled the orderly solicitation and submission of inputs from local communities through the creation, management, consolidation, analysis, and visualization of responses. The result of the analysis based on the performance of BOSESKO's web application and mobile application 4.78 and 4.40, respectively, and this can guide agencies in formulating data-driven policies for UAQTE, Disaster Risk Reduction Management, Climate Adaptation (DRRM/CA), among others.  © 2024 Global IT Research Institute - GIRI.","author":[{"dropping-particle":"","family":"Llovido","given":"J L","non-dropping-particle":"","parse-names":false,"suffix":""},{"dropping-particle":"","family":"Brogada","given":"M A D","non-dropping-particle":"","parse-names":false,"suffix":""},{"dropping-particle":"","family":"Relucio","given":"F S","non-dropping-particle":"","parse-names":false,"suffix":""},{"dropping-particle":"","family":"Austero","given":"L D","non-dropping-particle":"","parse-names":false,"suffix":""},{"dropping-particle":"","family":"MacEda","given":"L L","non-dropping-particle":"","parse-names":false,"suffix":""},{"dropping-particle":"","family":"Abisado","given":"M B","non-dropping-particle":"","parse-names":false,"suffix":""}],"container-title":"International Conference on Advanced Communication Technology, ICACT","id":"ITEM-3","issued":{"date-parts":[["2024"]]},"language":"English","page":"376-383","publisher":"Institute of Electrical and Electronics Engineers Inc.","publisher-place":"College of Science, Bicol University, Computer Science and Information Technology Department, Albay, Legazpi City, Philippines","title":"BOSESKO: Designing A Synoptic Multi-Platform Digital System for Citizen Participation","type":"paper-conference"},"uris":["http://www.mendeley.com/documents/?uuid=78fa9e40-cf12-438c-a342-2d10270406c7","http://www.mendeley.com/documents/?uuid=cc9a1f09-4da0-4ec7-96cf-826f8f3873cc"]}],"mendeley":{"formattedCitation":"(Llovido et al., 2024; Matitah et al., 2021; Zukarnain et al., 2020)","plainTextFormattedCitation":"(Llovido et al., 2024; Matitah et al., 2021; Zukarnain et al., 2020)","previouslyFormattedCitation":"(Llovido et al., 2024; Matitah et al., 2021; Zukarnain et al., 2020)"},"properties":{"noteIndex":0},"schema":"https://github.com/citation-style-language/schema/raw/master/csl-citation.json"}</w:instrText>
      </w:r>
      <w:r w:rsidR="003848FC" w:rsidRPr="004F2B90">
        <w:rPr>
          <w:rFonts w:ascii="Arial" w:hAnsi="Arial" w:cs="Arial"/>
          <w:szCs w:val="20"/>
        </w:rPr>
        <w:fldChar w:fldCharType="separate"/>
      </w:r>
      <w:r w:rsidR="003848FC" w:rsidRPr="004D5D1F">
        <w:rPr>
          <w:rFonts w:ascii="Arial" w:hAnsi="Arial" w:cs="Arial"/>
          <w:noProof/>
          <w:szCs w:val="20"/>
        </w:rPr>
        <w:t>(Llovido et al., 2024; Matitah et al., 2021; Zukarnain et al., 2020)</w:t>
      </w:r>
      <w:r w:rsidR="003848FC" w:rsidRPr="004F2B90">
        <w:rPr>
          <w:rFonts w:ascii="Arial" w:hAnsi="Arial" w:cs="Arial"/>
          <w:szCs w:val="20"/>
        </w:rPr>
        <w:fldChar w:fldCharType="end"/>
      </w:r>
      <w:r w:rsidR="003848FC" w:rsidRPr="004F2B90">
        <w:rPr>
          <w:rFonts w:ascii="Arial" w:hAnsi="Arial" w:cs="Arial"/>
          <w:szCs w:val="20"/>
        </w:rPr>
        <w:t xml:space="preserve">. </w:t>
      </w:r>
      <w:r w:rsidRPr="002F40B4">
        <w:rPr>
          <w:rFonts w:ascii="Arial" w:hAnsi="Arial" w:cs="Arial"/>
          <w:szCs w:val="20"/>
        </w:rPr>
        <w:t xml:space="preserve">There is still insufficient understanding regarding the gap-driven initiatives implemented concerning the adoption and localized implementation of practical digital innovations </w:t>
      </w:r>
      <w:r w:rsidR="003848FC" w:rsidRPr="004F2B90">
        <w:rPr>
          <w:rFonts w:ascii="Arial" w:hAnsi="Arial" w:cs="Arial"/>
          <w:szCs w:val="20"/>
        </w:rPr>
        <w:fldChar w:fldCharType="begin" w:fldLock="1"/>
      </w:r>
      <w:r w:rsidR="009717CF">
        <w:rPr>
          <w:rFonts w:ascii="Arial" w:hAnsi="Arial" w:cs="Arial"/>
          <w:szCs w:val="20"/>
        </w:rPr>
        <w:instrText>ADDIN CSL_CITATION {"citationItems":[{"id":"ITEM-1","itemData":{"DOI":"10.3390/su15129645","ISSN":"20711050 (ISSN)","abstract":"Digital technologies are used in various local government activities. Adopting suitable digital technology strategies could enhance service efficiency, effectiveness, and accountability. The challenges of technology adoption among local governments, however, are also evident. One of the major challenges is capacity, including the lack of knowledge or awareness of how to balance the local government’s resources and the strategies that need to be implemented. This challenge also forms a research gap. The study aims to consolidate the understanding of local government digital technology adoption strategies via the Preferred Reporting Items for Systematic Reviews and Meta-Analyses (PRISMA). It analyses the adoption opportunities, challenges, and strategies through the lens of people, processes, and technology frameworks. The results show that: (a) Strategies concerning the people aspects include building a platform for public participation, employees’ skills, and decision-makers' positive mindset development. (b) Strategies concerning the process aspects include recognizing the players’ roles, having a clear aim and procedure, proper regulation, and receiving user input. (c) Strategies considering the technology aspects include understanding the effect of the technology, technological preparedness, and convenience adoption. The findings inform local government policymakers in digital technology adoption and transformation endeavors. © 2023 by the authors.","author":[{"dropping-particle":"","family":"David","given":"A","non-dropping-particle":"","parse-names":false,"suffix":""},{"dropping-particle":"","family":"Yigitcanlar","given":"T","non-dropping-particle":"","parse-names":false,"suffix":""},{"dropping-particle":"","family":"Li","given":"R Y M","non-dropping-particle":"","parse-names":false,"suffix":""},{"dropping-particle":"","family":"Corchado","given":"J M","non-dropping-particle":"","parse-names":false,"suffix":""},{"dropping-particle":"","family":"Cheong","given":"P H","non-dropping-particle":"","parse-names":false,"suffix":""},{"dropping-particle":"","family":"Mossberger","given":"K","non-dropping-particle":"","parse-names":false,"suffix":""},{"dropping-particle":"","family":"Mehmood","given":"R","non-dropping-particle":"","parse-names":false,"suffix":""}],"container-title":"Sustainability (Switzerland)","id":"ITEM-1","issue":"12","issued":{"date-parts":[["2023"]]},"language":"English","publisher":"Multidisciplinary Digital Publishing Institute (MDPI)","publisher-place":"City 4.0 Lab, School of Architecture and Built Environment, Queensland University of Technology, Brisbane, 4000, QLD, Australia","title":"Understanding Local Government Digital Technology Adoption Strategies: A PRISMA Review","type":"article-journal","volume":"15"},"uris":["http://www.mendeley.com/documents/?uuid=0969f05b-c8bc-43bd-8064-e8870320f091","http://www.mendeley.com/documents/?uuid=3f2fe661-8898-4985-b9c9-8c09fc9bdc7a"]}],"mendeley":{"formattedCitation":"(David et al., 2023)","plainTextFormattedCitation":"(David et al., 2023)","previouslyFormattedCitation":"(David et al., 2023)"},"properties":{"noteIndex":0},"schema":"https://github.com/citation-style-language/schema/raw/master/csl-citation.json"}</w:instrText>
      </w:r>
      <w:r w:rsidR="003848FC" w:rsidRPr="004F2B90">
        <w:rPr>
          <w:rFonts w:ascii="Arial" w:hAnsi="Arial" w:cs="Arial"/>
          <w:szCs w:val="20"/>
        </w:rPr>
        <w:fldChar w:fldCharType="separate"/>
      </w:r>
      <w:r w:rsidR="003848FC" w:rsidRPr="004D5D1F">
        <w:rPr>
          <w:rFonts w:ascii="Arial" w:hAnsi="Arial" w:cs="Arial"/>
          <w:noProof/>
          <w:szCs w:val="20"/>
        </w:rPr>
        <w:t>(David et al., 2023)</w:t>
      </w:r>
      <w:r w:rsidR="003848FC" w:rsidRPr="004F2B90">
        <w:rPr>
          <w:rFonts w:ascii="Arial" w:hAnsi="Arial" w:cs="Arial"/>
          <w:szCs w:val="20"/>
        </w:rPr>
        <w:fldChar w:fldCharType="end"/>
      </w:r>
      <w:r w:rsidR="003848FC" w:rsidRPr="004F2B90">
        <w:rPr>
          <w:rFonts w:ascii="Arial" w:hAnsi="Arial" w:cs="Arial"/>
          <w:szCs w:val="20"/>
        </w:rPr>
        <w:t>.</w:t>
      </w:r>
    </w:p>
    <w:p w14:paraId="13B6FFBC" w14:textId="1B01B057" w:rsidR="002F40B4" w:rsidRPr="002F40B4" w:rsidRDefault="003848FC" w:rsidP="002F40B4">
      <w:pPr>
        <w:spacing w:after="0" w:line="276" w:lineRule="auto"/>
        <w:ind w:firstLine="851"/>
        <w:jc w:val="both"/>
        <w:rPr>
          <w:rFonts w:ascii="Arial" w:hAnsi="Arial" w:cs="Arial"/>
          <w:szCs w:val="20"/>
        </w:rPr>
      </w:pPr>
      <w:r w:rsidRPr="004F2B90">
        <w:rPr>
          <w:rFonts w:ascii="Arial" w:hAnsi="Arial" w:cs="Arial"/>
          <w:szCs w:val="20"/>
        </w:rPr>
        <w:fldChar w:fldCharType="begin" w:fldLock="1"/>
      </w:r>
      <w:r w:rsidR="009717CF">
        <w:rPr>
          <w:rFonts w:ascii="Arial" w:hAnsi="Arial" w:cs="Arial"/>
          <w:szCs w:val="20"/>
        </w:rPr>
        <w:instrText>ADDIN CSL_CITATION {"citationItems":[{"id":"ITEM-1","itemData":{"DOI":"10.1142/S0219877024500329","ISSN":"02198770 (ISSN)","abstract":"Purpose: After the pandemic digital technologies have increasingly become the focus of companies' innovation management processes. This trend has led to a rapid expansion of the field, with a growing number of research papers on various facets of this topic being published in academic journals. However, the proliferation of literature in the field has complicated the ease with which practitioners and academics can stay up to date with the latest developments and build on recent findings in their respective work. In order to succeed within the field of digital innovation management a strong grasp of the newest trends is required to not fall behind competitors, and to be able to develop cutting edge research. To address this challenge, this paper aims to answer the research question: What are the most common themes in post-pandemic digital innovation management literature? Design/methodology/approach: To answer this question, this study conducted a systematic literature review of 148 academic papers published between 2020 and 2023. The identified trends were subsequently organized into a framework that provides a comprehensive understanding of the field. Findings: The identified trends can be classified as either catalysts or new opportunities. Catalysts are trends that companies can implement to make their digital innovation management more efficient. The four identified catalysts are: the use of artificial intelligence as a vital part of innovating, educating leaders and employees, incorporating digital knowledge management practices, and collaborating with innovation networks. The articles also point to three trends classified as new opportunities that digital innovation management can enable, such as more sustainable initiatives, better foreign aid, and a transition to platformization. Originality: This study summarizes the research direction of digital innovation management and synthesizes important key developments leading up to the year 2023, which researchers and practitioners should be aware of.  © 2024 World Scientific Publishing Company.","author":[{"dropping-particle":"","family":"Smolinski","given":"J","non-dropping-particle":"","parse-names":false,"suffix":""}],"container-title":"International Journal of Innovation and Technology Management","id":"ITEM-1","issue":"4","issued":{"date-parts":[["2024"]]},"language":"English","publisher":"World Scientific","publisher-place":"Copenhagen Business School, Solbjerg Plads 3, Frederiksberg, 2000, Denmark","title":"Navigating the Digital Frontier: Emerging Trends in Digital Innovation Management for 2023 and Beyond","type":"article-journal","volume":"21"},"uris":["http://www.mendeley.com/documents/?uuid=3d301684-41c3-4d88-8444-e25eada3b06d","http://www.mendeley.com/documents/?uuid=b884ebd2-037c-4cbd-865b-0119420517a9"]}],"mendeley":{"formattedCitation":"(Smolinski, 2024)","manualFormatting":"Smolinski, (2024)","plainTextFormattedCitation":"(Smolinski, 2024)","previouslyFormattedCitation":"(Smolinski, 2024)"},"properties":{"noteIndex":0},"schema":"https://github.com/citation-style-language/schema/raw/master/csl-citation.json"}</w:instrText>
      </w:r>
      <w:r w:rsidRPr="004F2B90">
        <w:rPr>
          <w:rFonts w:ascii="Arial" w:hAnsi="Arial" w:cs="Arial"/>
          <w:szCs w:val="20"/>
        </w:rPr>
        <w:fldChar w:fldCharType="separate"/>
      </w:r>
      <w:r w:rsidRPr="004D5D1F">
        <w:rPr>
          <w:rFonts w:ascii="Arial" w:hAnsi="Arial" w:cs="Arial"/>
          <w:noProof/>
          <w:szCs w:val="20"/>
        </w:rPr>
        <w:t xml:space="preserve">Smolinski, </w:t>
      </w:r>
      <w:r>
        <w:rPr>
          <w:rFonts w:ascii="Arial" w:hAnsi="Arial" w:cs="Arial"/>
          <w:noProof/>
          <w:szCs w:val="20"/>
        </w:rPr>
        <w:t>(</w:t>
      </w:r>
      <w:r w:rsidRPr="004D5D1F">
        <w:rPr>
          <w:rFonts w:ascii="Arial" w:hAnsi="Arial" w:cs="Arial"/>
          <w:noProof/>
          <w:szCs w:val="20"/>
        </w:rPr>
        <w:t>2024)</w:t>
      </w:r>
      <w:r w:rsidRPr="004F2B90">
        <w:rPr>
          <w:rFonts w:ascii="Arial" w:hAnsi="Arial" w:cs="Arial"/>
          <w:szCs w:val="20"/>
        </w:rPr>
        <w:fldChar w:fldCharType="end"/>
      </w:r>
      <w:r>
        <w:rPr>
          <w:rFonts w:ascii="Arial" w:hAnsi="Arial" w:cs="Arial"/>
          <w:szCs w:val="20"/>
        </w:rPr>
        <w:t xml:space="preserve"> </w:t>
      </w:r>
      <w:r w:rsidR="002F40B4" w:rsidRPr="002F40B4">
        <w:rPr>
          <w:rFonts w:ascii="Arial" w:hAnsi="Arial" w:cs="Arial"/>
          <w:szCs w:val="20"/>
        </w:rPr>
        <w:t xml:space="preserve">underscores the fragmentation of research across various literature streams as lacking in-depth thematic synthesis. In turn, such a synthesis makes it difficult for policymakers and practitioners to extract best practices and evaluate </w:t>
      </w:r>
      <w:r w:rsidR="00DC4D13" w:rsidRPr="002F40B4">
        <w:rPr>
          <w:rFonts w:ascii="Arial" w:hAnsi="Arial" w:cs="Arial"/>
          <w:szCs w:val="20"/>
        </w:rPr>
        <w:t>digitalization</w:t>
      </w:r>
      <w:r w:rsidR="00DC4D13">
        <w:rPr>
          <w:rFonts w:ascii="Arial" w:hAnsi="Arial" w:cs="Arial"/>
          <w:szCs w:val="20"/>
        </w:rPr>
        <w:t>’</w:t>
      </w:r>
      <w:r w:rsidR="00DC4D13" w:rsidRPr="002F40B4">
        <w:rPr>
          <w:rFonts w:ascii="Arial" w:hAnsi="Arial" w:cs="Arial"/>
          <w:szCs w:val="20"/>
        </w:rPr>
        <w:t>s</w:t>
      </w:r>
      <w:r w:rsidR="002F40B4" w:rsidRPr="002F40B4">
        <w:rPr>
          <w:rFonts w:ascii="Arial" w:hAnsi="Arial" w:cs="Arial"/>
          <w:szCs w:val="20"/>
        </w:rPr>
        <w:t xml:space="preserve"> real impact on operational efficiency and public participation </w:t>
      </w:r>
      <w:r w:rsidRPr="004F2B90">
        <w:rPr>
          <w:rFonts w:ascii="Arial" w:hAnsi="Arial" w:cs="Arial"/>
          <w:szCs w:val="20"/>
        </w:rPr>
        <w:fldChar w:fldCharType="begin" w:fldLock="1"/>
      </w:r>
      <w:r w:rsidR="009717CF">
        <w:rPr>
          <w:rFonts w:ascii="Arial" w:hAnsi="Arial" w:cs="Arial"/>
          <w:szCs w:val="20"/>
        </w:rPr>
        <w:instrText>ADDIN CSL_CITATION {"citationItems":[{"id":"ITEM-1","itemData":{"DOI":"10.3390/electronics12030641","ISSN":"20799292 (ISSN)","abstract":"The phenomenon of digitisation of the public sector is an irreversible process that affects both the way public institutions are organised and the communication relationships between people and institutions. The COVID-19 pandemic represented a challenge and a strong impetus in accelerating the digitisation process of public administration at the global level such that it is currently difficult to make a clear distinction between governance and e-governance. The purpose of this research is to investigate the impact of the intensification of the digitisation process of public services in increasing the efficiency of governments at the level of the member states of the European Union, based on a cluster analysis. A robust least squares regression method was used to estimate the effects of the three dimensions of the e-government development index (EGDI) on government effectiveness. The results of the analysis highlighted the fact that the skills of the population in using online services determine the increase in a double percentage of government efficiency in intensively digitised states compared to states where the digitisation of public services is less developed. The development of the telecommunications infrastructure also has a significant positive impact on the efficiency of the government. However, online services offered by public authorities have proven to negatively influence government efficiency in both clusters. © 2023 by the authors.","author":[{"dropping-particle":"","family":"Doran","given":"N M","non-dropping-particle":"","parse-names":false,"suffix":""},{"dropping-particle":"","family":"Puiu","given":"S","non-dropping-particle":"","parse-names":false,"suffix":""},{"dropping-particle":"","family":"Bădîrcea","given":"R M","non-dropping-particle":"","parse-names":false,"suffix":""},{"dropping-particle":"","family":"Pirtea","given":"M G","non-dropping-particle":"","parse-names":false,"suffix":""},{"dropping-particle":"","family":"Doran","given":"M D","non-dropping-particle":"","parse-names":false,"suffix":""},{"dropping-particle":"","family":"Ciobanu","given":"G","non-dropping-particle":"","parse-names":false,"suffix":""},{"dropping-particle":"","family":"Mihit","given":"L D","non-dropping-particle":"","parse-names":false,"suffix":""}],"container-title":"Electronics (Switzerland)","id":"ITEM-1","issue":"3","issued":{"date-parts":[["2023"]]},"language":"English","publisher":"MDPI","publisher-place":"Department of Finance, Banking and Economic Analysis, Faculty of Economics and Business Administration, University of Craiova, 13 A. I. Cuza, Craiova, 200585, Romania","title":"E-Government Development—A Key Factor in Government Administration Effectiveness in the European Union","type":"article-journal","volume":"12"},"uris":["http://www.mendeley.com/documents/?uuid=dfe193a3-ddfb-4cd6-bc43-cdea9296525f","http://www.mendeley.com/documents/?uuid=2f9a76df-ec87-462c-a77f-c83d03a82d92"]}],"mendeley":{"formattedCitation":"(Doran et al., 2023)","plainTextFormattedCitation":"(Doran et al., 2023)","previouslyFormattedCitation":"(Doran et al., 2023)"},"properties":{"noteIndex":0},"schema":"https://github.com/citation-style-language/schema/raw/master/csl-citation.json"}</w:instrText>
      </w:r>
      <w:r w:rsidRPr="004F2B90">
        <w:rPr>
          <w:rFonts w:ascii="Arial" w:hAnsi="Arial" w:cs="Arial"/>
          <w:szCs w:val="20"/>
        </w:rPr>
        <w:fldChar w:fldCharType="separate"/>
      </w:r>
      <w:r w:rsidRPr="004D5D1F">
        <w:rPr>
          <w:rFonts w:ascii="Arial" w:hAnsi="Arial" w:cs="Arial"/>
          <w:noProof/>
          <w:szCs w:val="20"/>
        </w:rPr>
        <w:t>(Doran et al., 2023)</w:t>
      </w:r>
      <w:r w:rsidRPr="004F2B90">
        <w:rPr>
          <w:rFonts w:ascii="Arial" w:hAnsi="Arial" w:cs="Arial"/>
          <w:szCs w:val="20"/>
        </w:rPr>
        <w:fldChar w:fldCharType="end"/>
      </w:r>
      <w:r w:rsidRPr="004F2B90">
        <w:rPr>
          <w:rFonts w:ascii="Arial" w:hAnsi="Arial" w:cs="Arial"/>
          <w:szCs w:val="20"/>
        </w:rPr>
        <w:t xml:space="preserve">. </w:t>
      </w:r>
      <w:r w:rsidR="002F40B4" w:rsidRPr="002F40B4">
        <w:rPr>
          <w:rFonts w:ascii="Arial" w:hAnsi="Arial" w:cs="Arial"/>
          <w:szCs w:val="20"/>
        </w:rPr>
        <w:t xml:space="preserve">In this regard, more holistic approaches are necessary to understand the landscape of digital innovation within the framework of regional governance, particularly in the Southeast Asian context, which is marked by cultural diversity coupled with uneven levels of development and challenges in digital infrastructure </w:t>
      </w:r>
      <w:r w:rsidRPr="004F2B90">
        <w:rPr>
          <w:rFonts w:ascii="Arial" w:hAnsi="Arial" w:cs="Arial"/>
          <w:szCs w:val="20"/>
        </w:rPr>
        <w:fldChar w:fldCharType="begin" w:fldLock="1"/>
      </w:r>
      <w:r w:rsidR="009717CF">
        <w:rPr>
          <w:rFonts w:ascii="Arial" w:hAnsi="Arial" w:cs="Arial"/>
          <w:szCs w:val="20"/>
        </w:rPr>
        <w:instrText>ADDIN CSL_CITATION {"citationItems":[{"id":"ITEM-1","itemData":{"DOI":"10.7441/joc.2025.01.06","ISSN":"1804171X (ISSN)","abstract":"Digital competitiveness relies on the interplay between innovative ecosystems, multifaceted digital tools, and robust institutional frameworks. As nations undergo digital transformation, public authorities must adopt policies that promote digital inclusion, cyber resilience, and cross-border digital exchange. However, these efforts are often uneven, creating disparities that challenge competitive parties, particularly among developing countries. This paper examines the digital performance and competitiveness of public sector institutions in Southeast Asia, a region characterized by economic dynamism and increasing global relevance. Grounded in institutional theory and digital diffusion theory, the paper assesses digital governance using internationally recognized indices. Employing panel data from 2003 to 2022, the econometric analysis identifies institutional quality and demographic factors as key drivers of E-government performance in the region. The findings extend theoretical insights by demonstrating the conditional impact of macroeconomic factors and political stability on digital adoption. This paper also advances the understanding of structural determinants of digital competitiveness and provides actionable insights for policymakers. Recommendations focus on institutional reforms to enhance transparency, public trust, and political stability to ensure sustainable digital transformation and global competitiveness. © 2025 Tomas Bata University in Zlín. All rights reserved.","author":[{"dropping-particle":"","family":"Caplanova","given":"A","non-dropping-particle":"","parse-names":false,"suffix":""},{"dropping-particle":"","family":"Dimelis","given":"S","non-dropping-particle":"","parse-names":false,"suffix":""}],"container-title":"Journal of Competitiveness","id":"ITEM-1","issue":"1","issued":{"date-parts":[["2025"]]},"language":"English","page":"101-126","publisher":"Tomas Bata University in Zlín","publisher-place":"University of Economics in Bratislava, Faculty of Economics and Finance, Department of Economics, Slovakia","title":"THE DIGITAL PERFORMANCE AND COMPETITIVENESS OF PUBLIC SECTOR INSTITUTIONS IN SOUTHEAST ASIA","type":"article-journal","volume":"17"},"uris":["http://www.mendeley.com/documents/?uuid=29831d29-1573-4668-b2b5-ad95f48909ad","http://www.mendeley.com/documents/?uuid=bf2c73a3-f173-4540-966d-a445ea4d935b"]}],"mendeley":{"formattedCitation":"(Caplanova &amp; Dimelis, 2025)","plainTextFormattedCitation":"(Caplanova &amp; Dimelis, 2025)","previouslyFormattedCitation":"(Caplanova &amp; Dimelis, 2025)"},"properties":{"noteIndex":0},"schema":"https://github.com/citation-style-language/schema/raw/master/csl-citation.json"}</w:instrText>
      </w:r>
      <w:r w:rsidRPr="004F2B90">
        <w:rPr>
          <w:rFonts w:ascii="Arial" w:hAnsi="Arial" w:cs="Arial"/>
          <w:szCs w:val="20"/>
        </w:rPr>
        <w:fldChar w:fldCharType="separate"/>
      </w:r>
      <w:r w:rsidRPr="004D5D1F">
        <w:rPr>
          <w:rFonts w:ascii="Arial" w:hAnsi="Arial" w:cs="Arial"/>
          <w:noProof/>
          <w:szCs w:val="20"/>
        </w:rPr>
        <w:t>(Caplanova &amp; Dimelis, 2025)</w:t>
      </w:r>
      <w:r w:rsidRPr="004F2B90">
        <w:rPr>
          <w:rFonts w:ascii="Arial" w:hAnsi="Arial" w:cs="Arial"/>
          <w:szCs w:val="20"/>
        </w:rPr>
        <w:fldChar w:fldCharType="end"/>
      </w:r>
      <w:r w:rsidRPr="004F2B90">
        <w:rPr>
          <w:rFonts w:ascii="Arial" w:hAnsi="Arial" w:cs="Arial"/>
          <w:szCs w:val="20"/>
        </w:rPr>
        <w:t>.</w:t>
      </w:r>
      <w:r>
        <w:rPr>
          <w:rFonts w:ascii="Arial" w:hAnsi="Arial" w:cs="Arial"/>
          <w:szCs w:val="20"/>
        </w:rPr>
        <w:t xml:space="preserve"> </w:t>
      </w:r>
      <w:r w:rsidR="002F40B4" w:rsidRPr="002F40B4">
        <w:rPr>
          <w:rFonts w:ascii="Arial" w:hAnsi="Arial" w:cs="Arial"/>
          <w:szCs w:val="20"/>
        </w:rPr>
        <w:t xml:space="preserve">Here, systemic and data-driven frameworks are more suited for comprehensive </w:t>
      </w:r>
      <w:r w:rsidR="008E19FA" w:rsidRPr="002F40B4">
        <w:rPr>
          <w:rFonts w:ascii="Arial" w:hAnsi="Arial" w:cs="Arial"/>
          <w:szCs w:val="20"/>
        </w:rPr>
        <w:t>understanding of</w:t>
      </w:r>
      <w:r w:rsidR="002F40B4" w:rsidRPr="002F40B4">
        <w:rPr>
          <w:rFonts w:ascii="Arial" w:hAnsi="Arial" w:cs="Arial"/>
          <w:szCs w:val="20"/>
        </w:rPr>
        <w:t xml:space="preserve"> the </w:t>
      </w:r>
      <w:r w:rsidR="00DC4D13" w:rsidRPr="002F40B4">
        <w:rPr>
          <w:rFonts w:ascii="Arial" w:hAnsi="Arial" w:cs="Arial"/>
          <w:szCs w:val="20"/>
        </w:rPr>
        <w:t>region</w:t>
      </w:r>
      <w:r w:rsidR="00DC4D13">
        <w:rPr>
          <w:rFonts w:ascii="Arial" w:hAnsi="Arial" w:cs="Arial"/>
          <w:szCs w:val="20"/>
        </w:rPr>
        <w:t>’</w:t>
      </w:r>
      <w:r w:rsidR="00DC4D13" w:rsidRPr="002F40B4">
        <w:rPr>
          <w:rFonts w:ascii="Arial" w:hAnsi="Arial" w:cs="Arial"/>
          <w:szCs w:val="20"/>
        </w:rPr>
        <w:t>s</w:t>
      </w:r>
      <w:r w:rsidR="002F40B4" w:rsidRPr="002F40B4">
        <w:rPr>
          <w:rFonts w:ascii="Arial" w:hAnsi="Arial" w:cs="Arial"/>
          <w:szCs w:val="20"/>
        </w:rPr>
        <w:t xml:space="preserve"> unique and complex characteristics.</w:t>
      </w:r>
    </w:p>
    <w:p w14:paraId="6E7D920E" w14:textId="77777777" w:rsidR="002F40B4" w:rsidRPr="002F40B4" w:rsidRDefault="002F40B4" w:rsidP="002F40B4">
      <w:pPr>
        <w:spacing w:after="0" w:line="276" w:lineRule="auto"/>
        <w:ind w:firstLine="851"/>
        <w:jc w:val="both"/>
        <w:rPr>
          <w:rFonts w:ascii="Arial" w:hAnsi="Arial" w:cs="Arial"/>
          <w:szCs w:val="20"/>
        </w:rPr>
      </w:pPr>
      <w:r w:rsidRPr="002F40B4">
        <w:rPr>
          <w:rFonts w:ascii="Arial" w:hAnsi="Arial" w:cs="Arial"/>
          <w:szCs w:val="20"/>
        </w:rPr>
        <w:t>Through this study, we seek to chart the digital innovations within local governance frameworks across Southeast Asia using a systematic literature review methodology. Specifically, we strive to analyze and identify the gaps and the implemented technologies to improve administrative efficiency and community engagement. Emphasis on a data-driven framework, alongside the PRISMA protocol, aims to advance theoretical and practical perspectives for building more inclusive and sustainable digital policies. An equally important objective addresses the role of technological innovations in enhancing citizen engagement in the public decision-making process.</w:t>
      </w:r>
    </w:p>
    <w:p w14:paraId="62591D38" w14:textId="260D0975" w:rsidR="002F40B4" w:rsidRPr="002F40B4" w:rsidRDefault="002F40B4" w:rsidP="002F40B4">
      <w:pPr>
        <w:spacing w:after="0" w:line="276" w:lineRule="auto"/>
        <w:ind w:firstLine="851"/>
        <w:jc w:val="both"/>
        <w:rPr>
          <w:rFonts w:ascii="Arial" w:hAnsi="Arial" w:cs="Arial"/>
          <w:szCs w:val="20"/>
        </w:rPr>
      </w:pPr>
      <w:r w:rsidRPr="002F40B4">
        <w:rPr>
          <w:rFonts w:ascii="Arial" w:hAnsi="Arial" w:cs="Arial"/>
          <w:szCs w:val="20"/>
        </w:rPr>
        <w:t>In Indonesia, e-</w:t>
      </w:r>
      <w:proofErr w:type="spellStart"/>
      <w:r w:rsidRPr="002F40B4">
        <w:rPr>
          <w:rFonts w:ascii="Arial" w:hAnsi="Arial" w:cs="Arial"/>
          <w:szCs w:val="20"/>
        </w:rPr>
        <w:t>Musrenbang</w:t>
      </w:r>
      <w:proofErr w:type="spellEnd"/>
      <w:r w:rsidRPr="002F40B4">
        <w:rPr>
          <w:rFonts w:ascii="Arial" w:hAnsi="Arial" w:cs="Arial"/>
          <w:szCs w:val="20"/>
        </w:rPr>
        <w:t xml:space="preserve"> and social media platforms in the Philippines have engaged citizens in the policy design and assessment phases </w:t>
      </w:r>
      <w:r w:rsidR="00D61553" w:rsidRPr="004F2B90">
        <w:rPr>
          <w:rFonts w:ascii="Arial" w:hAnsi="Arial" w:cs="Arial"/>
          <w:szCs w:val="20"/>
        </w:rPr>
        <w:fldChar w:fldCharType="begin" w:fldLock="1"/>
      </w:r>
      <w:r w:rsidR="009717CF">
        <w:rPr>
          <w:rFonts w:ascii="Arial" w:hAnsi="Arial" w:cs="Arial"/>
          <w:szCs w:val="20"/>
        </w:rPr>
        <w:instrText>ADDIN CSL_CITATION {"citationItems":[{"id":"ITEM-1","itemData":{"DOI":"10.4324/9781003282839-25","ISBN":"978-100095181-3 (ISBN); 978-103225373-2 (ISBN)","abstract":"This chapter explores the overall concept of citizen engagement and the different forms of citizen engagement, especially in the digital age, including informing, consulting, participation and co-production. It considers who to engage, arguments in favour of citizen engagement in public decisions and services, challenges to effective citizen engagement and ways of overcoming these. Engaging service users and citizens in policy-making and in the design and delivery of public services can take many forms, from the less interactive such as information given to more interactive, such as participation in policy making, with co-production being the most interactive approach. It may include a range of different stakeholder groups, from individual service users to the public as a whole. What matters most is that the tools used are fit for purpose and appropriate to the context. Citizen engagement offers a range of potential benefits but also entails formidable challenges. Anti-political trends such as declining voter turnout and the rise of populist politicians point to a need to reinvent the relationship between the citizen and institutions of government, if a ‘crisis of legitimacy’ is to be averted. This will require more experimentation with democratic innovation. © 2024 selection and editorial matter, Tony Bovaird and Elke Loeffler; individual chapters, the contributors.","author":[{"dropping-particle":"","family":"Loeffler","given":"E","non-dropping-particle":"","parse-names":false,"suffix":""},{"dropping-particle":"","family":"Martin","given":"S","non-dropping-particle":"","parse-names":false,"suffix":""}],"container-title":"Public Management and Governance: Fourth Edition","id":"ITEM-1","issued":{"date-parts":[["2023"]]},"language":"English","page":"284-298","publisher":"Taylor and Francis","publisher-place":"Open University Business School, United Kingdom","title":"Citizen engagement","type":"chapter"},"uris":["http://www.mendeley.com/documents/?uuid=d7707b1e-ca29-43eb-8eba-c5554eae9024","http://www.mendeley.com/documents/?uuid=1572acd5-cd98-4575-bc22-1133b4fa59f8"]}],"mendeley":{"formattedCitation":"(Loeffler &amp; Martin, 2023)","plainTextFormattedCitation":"(Loeffler &amp; Martin, 2023)","previouslyFormattedCitation":"(Loeffler &amp; Martin, 2023)"},"properties":{"noteIndex":0},"schema":"https://github.com/citation-style-language/schema/raw/master/csl-citation.json"}</w:instrText>
      </w:r>
      <w:r w:rsidR="00D61553" w:rsidRPr="004F2B90">
        <w:rPr>
          <w:rFonts w:ascii="Arial" w:hAnsi="Arial" w:cs="Arial"/>
          <w:szCs w:val="20"/>
        </w:rPr>
        <w:fldChar w:fldCharType="separate"/>
      </w:r>
      <w:r w:rsidR="00D61553" w:rsidRPr="004D5D1F">
        <w:rPr>
          <w:rFonts w:ascii="Arial" w:hAnsi="Arial" w:cs="Arial"/>
          <w:noProof/>
          <w:szCs w:val="20"/>
        </w:rPr>
        <w:t>(Loeffler &amp; Martin, 2023)</w:t>
      </w:r>
      <w:r w:rsidR="00D61553" w:rsidRPr="004F2B90">
        <w:rPr>
          <w:rFonts w:ascii="Arial" w:hAnsi="Arial" w:cs="Arial"/>
          <w:szCs w:val="20"/>
        </w:rPr>
        <w:fldChar w:fldCharType="end"/>
      </w:r>
      <w:r w:rsidRPr="002F40B4">
        <w:rPr>
          <w:rFonts w:ascii="Arial" w:hAnsi="Arial" w:cs="Arial"/>
          <w:szCs w:val="20"/>
        </w:rPr>
        <w:t xml:space="preserve">. As </w:t>
      </w:r>
      <w:r w:rsidR="00D61553" w:rsidRPr="004F2B90">
        <w:rPr>
          <w:rFonts w:ascii="Arial" w:hAnsi="Arial" w:cs="Arial"/>
          <w:szCs w:val="20"/>
        </w:rPr>
        <w:fldChar w:fldCharType="begin" w:fldLock="1"/>
      </w:r>
      <w:r w:rsidR="009717CF">
        <w:rPr>
          <w:rFonts w:ascii="Arial" w:hAnsi="Arial" w:cs="Arial"/>
          <w:szCs w:val="20"/>
        </w:rPr>
        <w:instrText>ADDIN CSL_CITATION {"citationItems":[{"id":"ITEM-1","itemData":{"DOI":"10.24857/RGSA.V18N2-092","ISBN":"0000000333399","ISSN":"1981982X","abstract":"Objective: This research aims to evaluate the effects of digital government initiatives on generating public value, with a specific focus on boosting citizen engagement in Ho Chi Minh City, Vietnam. Theoretical framework: The study is grounded in the theory of digital governance, which posits that digital technologies can transform public administration by improving transparency, efficiency, accountability, and service delivery. It explores how these technological interventions facilitate a participatory governance model by enabling better citizen-government interactions. Method: The study utilizes Structural Equation Modeling (SEM) to investigate key facets of digital governance, including transparency, cost-efficiency, data-driven policymaking, accountability, and service quality. Results and conclusion: The analysis reveals a strong positive link between the elements of digital governance and an increase in citizen engagement. These findings underscore the capacity of digitalization within public administration to enhance public participation and trust. Implications of the research: The study provides essential insights for policymakers regarding the impact of digital initiatives on urban governance. It underscores the importance of continued investment in technological advancements and data security to foster improved governance and citizen involvement. Originality/value: This research contributes uniquely to the understanding of how digital government initiatives can create public value by enhancing citizen engagement. It offers a critical examination of digital governance components and their effectiveness in fostering greater public participation and trust, providing valuable recommendations for policymakers focused on urban governance and digital transformation.","author":[{"dropping-particle":"","family":"Hien","given":"Bui Ngoc","non-dropping-particle":"","parse-names":false,"suffix":""},{"dropping-particle":"","family":"Tuyen","given":"Nguyen Thi Kim","non-dropping-particle":"","parse-names":false,"suffix":""},{"dropping-particle":"","family":"Lan","given":"Nguyen Thanh","non-dropping-particle":"","parse-names":false,"suffix":""},{"dropping-particle":"","family":"Ngan","given":"Ngo Thi Kim","non-dropping-particle":"","parse-names":false,"suffix":""},{"dropping-particle":"","family":"Thanh","given":"Nguyen Nghi","non-dropping-particle":"","parse-names":false,"suffix":""}],"container-title":"Revista de Gestao Social e Ambiental","id":"ITEM-1","issue":"2","issued":{"date-parts":[["2024"]]},"page":"1-23","title":"the Impact of Digital Government Initiatives on Public Value Creation: Evidence From Ho Chi Minh City - Vietnam","type":"article-journal","volume":"18"},"uris":["http://www.mendeley.com/documents/?uuid=a174b90c-ef0c-4e0a-8cbc-da058825990a"]}],"mendeley":{"formattedCitation":"(Hien et al., 2024)","manualFormatting":"Hien et al., (2024)","plainTextFormattedCitation":"(Hien et al., 2024)","previouslyFormattedCitation":"(Hien et al., 2024)"},"properties":{"noteIndex":0},"schema":"https://github.com/citation-style-language/schema/raw/master/csl-citation.json"}</w:instrText>
      </w:r>
      <w:r w:rsidR="00D61553" w:rsidRPr="004F2B90">
        <w:rPr>
          <w:rFonts w:ascii="Arial" w:hAnsi="Arial" w:cs="Arial"/>
          <w:szCs w:val="20"/>
        </w:rPr>
        <w:fldChar w:fldCharType="separate"/>
      </w:r>
      <w:r w:rsidR="00D61553" w:rsidRPr="004D5D1F">
        <w:rPr>
          <w:rFonts w:ascii="Arial" w:hAnsi="Arial" w:cs="Arial"/>
          <w:noProof/>
          <w:szCs w:val="20"/>
        </w:rPr>
        <w:t xml:space="preserve">Hien et al., </w:t>
      </w:r>
      <w:r w:rsidR="00D61553">
        <w:rPr>
          <w:rFonts w:ascii="Arial" w:hAnsi="Arial" w:cs="Arial"/>
          <w:noProof/>
          <w:szCs w:val="20"/>
        </w:rPr>
        <w:t>(</w:t>
      </w:r>
      <w:r w:rsidR="00D61553" w:rsidRPr="004D5D1F">
        <w:rPr>
          <w:rFonts w:ascii="Arial" w:hAnsi="Arial" w:cs="Arial"/>
          <w:noProof/>
          <w:szCs w:val="20"/>
        </w:rPr>
        <w:t>2024)</w:t>
      </w:r>
      <w:r w:rsidR="00D61553" w:rsidRPr="004F2B90">
        <w:rPr>
          <w:rFonts w:ascii="Arial" w:hAnsi="Arial" w:cs="Arial"/>
          <w:szCs w:val="20"/>
        </w:rPr>
        <w:fldChar w:fldCharType="end"/>
      </w:r>
      <w:r w:rsidR="00D61553">
        <w:rPr>
          <w:rFonts w:ascii="Arial" w:hAnsi="Arial" w:cs="Arial"/>
          <w:szCs w:val="20"/>
        </w:rPr>
        <w:t xml:space="preserve"> </w:t>
      </w:r>
      <w:r w:rsidRPr="002F40B4">
        <w:rPr>
          <w:rFonts w:ascii="Arial" w:hAnsi="Arial" w:cs="Arial"/>
          <w:szCs w:val="20"/>
        </w:rPr>
        <w:t xml:space="preserve">noted, such digital participation enhances transparency and reinforces the legitimacy of public policies. Technology can also advance efficiency in administration, which is exemplified by </w:t>
      </w:r>
      <w:r w:rsidR="00DC4D13" w:rsidRPr="002F40B4">
        <w:rPr>
          <w:rFonts w:ascii="Arial" w:hAnsi="Arial" w:cs="Arial"/>
          <w:szCs w:val="20"/>
        </w:rPr>
        <w:t>Indonesia</w:t>
      </w:r>
      <w:r w:rsidR="00DC4D13">
        <w:rPr>
          <w:rFonts w:ascii="Arial" w:hAnsi="Arial" w:cs="Arial"/>
          <w:szCs w:val="20"/>
        </w:rPr>
        <w:t>’</w:t>
      </w:r>
      <w:r w:rsidR="00DC4D13" w:rsidRPr="002F40B4">
        <w:rPr>
          <w:rFonts w:ascii="Arial" w:hAnsi="Arial" w:cs="Arial"/>
          <w:szCs w:val="20"/>
        </w:rPr>
        <w:t>s</w:t>
      </w:r>
      <w:r w:rsidRPr="002F40B4">
        <w:rPr>
          <w:rFonts w:ascii="Arial" w:hAnsi="Arial" w:cs="Arial"/>
          <w:szCs w:val="20"/>
        </w:rPr>
        <w:t xml:space="preserve"> Digital Land Administration and </w:t>
      </w:r>
      <w:r w:rsidR="00DC4D13" w:rsidRPr="002F40B4">
        <w:rPr>
          <w:rFonts w:ascii="Arial" w:hAnsi="Arial" w:cs="Arial"/>
          <w:szCs w:val="20"/>
        </w:rPr>
        <w:t>Singapore</w:t>
      </w:r>
      <w:r w:rsidR="00DC4D13">
        <w:rPr>
          <w:rFonts w:ascii="Arial" w:hAnsi="Arial" w:cs="Arial"/>
          <w:szCs w:val="20"/>
        </w:rPr>
        <w:t>’</w:t>
      </w:r>
      <w:r w:rsidR="00DC4D13" w:rsidRPr="002F40B4">
        <w:rPr>
          <w:rFonts w:ascii="Arial" w:hAnsi="Arial" w:cs="Arial"/>
          <w:szCs w:val="20"/>
        </w:rPr>
        <w:t>s</w:t>
      </w:r>
      <w:r w:rsidRPr="002F40B4">
        <w:rPr>
          <w:rFonts w:ascii="Arial" w:hAnsi="Arial" w:cs="Arial"/>
          <w:szCs w:val="20"/>
        </w:rPr>
        <w:t xml:space="preserve"> Smart Nation Initiative, both of which streamline bureaucratic functions, enhance data precision, and increase public service accessibility </w:t>
      </w:r>
      <w:r w:rsidR="00D61553" w:rsidRPr="004F2B90">
        <w:rPr>
          <w:rFonts w:ascii="Arial" w:hAnsi="Arial" w:cs="Arial"/>
          <w:szCs w:val="20"/>
        </w:rPr>
        <w:fldChar w:fldCharType="begin" w:fldLock="1"/>
      </w:r>
      <w:r w:rsidR="009717CF">
        <w:rPr>
          <w:rFonts w:ascii="Arial" w:hAnsi="Arial" w:cs="Arial"/>
          <w:szCs w:val="20"/>
        </w:rPr>
        <w:instrText>ADDIN CSL_CITATION {"citationItems":[{"id":"ITEM-1","itemData":{"DOI":"10.4018/979-8-3693-9286-7.ch003","ISBN":"979-836939288-1 (ISBN); 979-836939286-7 (ISBN)","abstract":"E-government and e-governance are reshaping modern societies by digitizing public services and enhancing transparency, accountability, and citizen engagement. This chapter explores how e-government improves efficiency through digitized service delivery models like G2C, G2B, and G2G, while e-governance focuses on broader objectives such as participatory decision-making and resource optimization. Case studies of Estonia's digital citizenship, India's Aadhaar system, and Singapore's smart city initiatives highlight best practices in scalability, accessibility, and transparency. Emerging technologies like AI, blockchain, and cloud computing are examined as key enablers of innovation. Addresses critical challenges, including the digital divide, cybersecurity risks, and privacy concerns, emphasizing the need for robust frameworks and inclusive policies, and provides insights for adopting sustainable digital governance models, ensuring equitable access, with ethical considerations. © 2025, IGI Global Scientific Publishing.","author":[{"dropping-particle":"","family":"Efthymiou","given":"I.-P.","non-dropping-particle":"","parse-names":false,"suffix":""}],"container-title":"Public Governance Practices in the Age of AI","id":"ITEM-1","issued":{"date-parts":[["2025"]]},"language":"English","page":"45-68","publisher":"IGI Global","publisher-place":"University of Greenwich, United Kingdom","title":"The role of e-government and e-governance in modern societies","type":"chapter"},"uris":["http://www.mendeley.com/documents/?uuid=cf358d68-c249-4ed1-b7a6-fcea194f34dd","http://www.mendeley.com/documents/?uuid=1064aebe-73fd-4f66-bca6-3f520fc670dd"]},{"id":"ITEM-2","itemData":{"DOI":"10.1201/9780429264467-11","ISBN":"978-036720964-3 (ISBN)","abstract":"Approximately 90% of wetland has a cropping index of 100 (IP 100), while in others crops are no longer planted anymore because their productivity has dropped due to changes in the properties of the soil, its acidity level, Fe poisoning, as well as macro and micro nutrients deficiency. However, it is expected to be a food supplier or substitute for arable land. In the next ten years Indonesia will become one of the biggest importers of rice, if there is no breakthrough in production. Therefore, an increase in production is essential because with the right strategy, nawacita Indonesia will become a world food barn by 2045. At a population growth rate of around 3 million per year and a paddy fields conversion rate of 50-100 thousand hectares per year. On the other hand, the increasing and widespread occurrence of floods, droughts, landslides, tsunamis and others natural disasters as a result of climate change have added to the complexity rice production. Therefore, as a result of these, the government has initiated the Serasi Program, which is the development of 1 million hectares of swamp land in six provinces namely South Sumatra, South Kalimantan, Lampung, Jambi, Central Kalimantan and South Sulawesi in order to increase Indonesia’s future food production. The key to developing wetland in the future is appropriate technological innovation. The Indonesian Agency for Agricultural Research and Development (Badan Litbang Pertanian) through the Central for Agriculture Land Resources Research and Development (ICARRD) initiated “Trikelola Plus” to support the Serasi Program. The implementation of water management is determined by the type of overflow, while land arrangement depends on the type of commodity, swamplands, tides, and the implementation of balanced fertilization. Furthermore, it is necessary to pay attention to the properties of the soil and its level of fertility along with the obstacles faced. The application of Trikelola Plus innovation, which comprises of water and land management, long with balanced fertilization and the use of various bio pesticides to support the Serasi Program, increases cropping index and productivity. © 2020 Taylor &amp; Francis Group, London.","author":[{"dropping-particle":"","family":"Nursyamsi","given":"D","non-dropping-particle":"","parse-names":false,"suffix":""},{"dropping-particle":"","family":"Sulaeman","given":"Y","non-dropping-particle":"","parse-names":false,"suffix":""},{"dropping-particle":"","family":"Noor","given":"M","non-dropping-particle":"","parse-names":false,"suffix":""}],"container-title":"Tropical Wetlands Innovation in Mapping and Management- Proceedings of the International Workshop on Tropical Wetlands: Innovation in Mapping and Management, 2018","editor":[{"dropping-particle":"","family":"Y.","given":"Sulaeman","non-dropping-particle":"","parse-names":false,"suffix":""},{"dropping-particle":"","family":"D.","given":"Nursyamsi","non-dropping-particle":"","parse-names":false,"suffix":""},{"dropping-particle":"","family":"L.","given":"Poggio","non-dropping-particle":"","parse-names":false,"suffix":""},{"dropping-particle":"","family":"B.","given":"Minasny","non-dropping-particle":"","parse-names":false,"suffix":""}],"id":"ITEM-2","issued":{"date-parts":[["2020"]]},"language":"English","page":"63-72","publisher":"CRC Press/Balkema","publisher-place":"Indonesian Central for Agriculture Land Resources Research and Development (ICARRD), Jakarta, Indonesia","title":"Management package of tri-kelola plus for increasing production and productivity in wetland development for agriculture","type":"paper-conference"},"uris":["http://www.mendeley.com/documents/?uuid=8f310c3d-68c6-4497-9a31-f1aaac59aae9","http://www.mendeley.com/documents/?uuid=3b66fb42-0daa-448f-991a-19e117553090"]}],"mendeley":{"formattedCitation":"(Efthymiou, 2025; Nursyamsi et al., 2020)","plainTextFormattedCitation":"(Efthymiou, 2025; Nursyamsi et al., 2020)","previouslyFormattedCitation":"(Efthymiou, 2025; Nursyamsi et al., 2020)"},"properties":{"noteIndex":0},"schema":"https://github.com/citation-style-language/schema/raw/master/csl-citation.json"}</w:instrText>
      </w:r>
      <w:r w:rsidR="00D61553" w:rsidRPr="004F2B90">
        <w:rPr>
          <w:rFonts w:ascii="Arial" w:hAnsi="Arial" w:cs="Arial"/>
          <w:szCs w:val="20"/>
        </w:rPr>
        <w:fldChar w:fldCharType="separate"/>
      </w:r>
      <w:r w:rsidR="00D61553" w:rsidRPr="004D5D1F">
        <w:rPr>
          <w:rFonts w:ascii="Arial" w:hAnsi="Arial" w:cs="Arial"/>
          <w:noProof/>
          <w:szCs w:val="20"/>
        </w:rPr>
        <w:t>(Efthymiou, 2025; Nursyamsi et al., 2020)</w:t>
      </w:r>
      <w:r w:rsidR="00D61553" w:rsidRPr="004F2B90">
        <w:rPr>
          <w:rFonts w:ascii="Arial" w:hAnsi="Arial" w:cs="Arial"/>
          <w:szCs w:val="20"/>
        </w:rPr>
        <w:fldChar w:fldCharType="end"/>
      </w:r>
      <w:r w:rsidR="00D61553">
        <w:rPr>
          <w:rFonts w:ascii="Arial" w:hAnsi="Arial" w:cs="Arial"/>
          <w:szCs w:val="20"/>
        </w:rPr>
        <w:t>.</w:t>
      </w:r>
    </w:p>
    <w:p w14:paraId="0FC2CA2F" w14:textId="4F37494F" w:rsidR="002F40B4" w:rsidRPr="002F40B4" w:rsidRDefault="002F40B4" w:rsidP="002F40B4">
      <w:pPr>
        <w:spacing w:after="0" w:line="276" w:lineRule="auto"/>
        <w:ind w:firstLine="851"/>
        <w:jc w:val="both"/>
        <w:rPr>
          <w:rFonts w:ascii="Arial" w:hAnsi="Arial" w:cs="Arial"/>
          <w:szCs w:val="20"/>
        </w:rPr>
      </w:pPr>
      <w:r w:rsidRPr="002F40B4">
        <w:rPr>
          <w:rFonts w:ascii="Arial" w:hAnsi="Arial" w:cs="Arial"/>
          <w:szCs w:val="20"/>
        </w:rPr>
        <w:t xml:space="preserve">From this study, policymakers are expected to gain strategic direction to formulate adaptive and evidence-based digital strategies. By mapping best practices from other Southeast Asian countries, the study contributes to understanding how cross-sector collaboration among governments, civil society, and businesses can foster sustainable and inclusive digital policy innovation </w:t>
      </w:r>
      <w:r w:rsidR="00D61553" w:rsidRPr="004F2B90">
        <w:rPr>
          <w:rFonts w:ascii="Arial" w:hAnsi="Arial" w:cs="Arial"/>
          <w:szCs w:val="20"/>
        </w:rPr>
        <w:fldChar w:fldCharType="begin" w:fldLock="1"/>
      </w:r>
      <w:r w:rsidR="009717CF">
        <w:rPr>
          <w:rFonts w:ascii="Arial" w:hAnsi="Arial" w:cs="Arial"/>
          <w:szCs w:val="20"/>
        </w:rPr>
        <w:instrText>ADDIN CSL_CITATION {"citationItems":[{"id":"ITEM-1","itemData":{"DOI":"10.1007/978-3-319-22479-4_13","ISBN":"03029743 (ISSN); 978-331922478-7 (ISBN)","abstract":"Collaboration between the public and the private sector is seen as an instrument to make governance smarter, more effective, and more efficient. However, whereas there is literature on public-private collaboration, very little of it addresses how these collaborations can be shaped to make use of the huge potential that technological innovations in ICT may offer. To address this gap, this paper addresses public-private collaborative development of digital information infrastructures (IIs). Drawing on a combination of literature on publicprivate partnerships and on digital information systems or infrastructures, this paper studies an initiative for exchanging information among international trade supply chain partners and between the businesses and government (e.g. for declarations, compliance, border control). Specifically, it explores what would be the Dutch end of such an II, to understand the interplay between the technological innovation and partnerships that form the social context thereof. © IFIP International Federation for Information Processing 2015.","author":[{"dropping-particle":"","family":"Klievink","given":"B","non-dropping-particle":"","parse-names":false,"suffix":""}],"container-title":"Lecture Notes in Computer Science (including subseries Lecture Notes in Artificial Intelligence and Lecture Notes in Bioinformatics)","editor":[{"dropping-particle":"","family":"E.","given":"Tambouris","non-dropping-particle":"","parse-names":false,"suffix":""},{"dropping-particle":"","family":"P.","given":"Parycek","non-dropping-particle":"","parse-names":false,"suffix":""},{"dropping-particle":"","family":"H.J.","given":"Scholl","non-dropping-particle":"","parse-names":false,"suffix":""},{"dropping-particle":"","family":"K.","given":"Tarabanis","non-dropping-particle":"","parse-names":false,"suffix":""},{"dropping-particle":"","family":"B.","given":"Klievink","non-dropping-particle":"","parse-names":false,"suffix":""},{"dropping-particle":"","family":"M.","given":"Janssen","non-dropping-particle":"","parse-names":false,"suffix":""},{"dropping-particle":"","family":"M.","given":"Gasco","non-dropping-particle":"","parse-names":false,"suffix":""},{"dropping-particle":"","family":"I.","given":"Lindgren","non-dropping-particle":"","parse-names":false,"suffix":""},{"dropping-particle":"","family":"M.A.","given":"Wimmer","non-dropping-particle":"","parse-names":false,"suffix":""}],"id":"ITEM-1","issued":{"date-parts":[["2015"]]},"language":"English","page":"170-180","publisher":"Springer Verlag","publisher-place":"Delft University of Technology, Delft, Netherlands","title":"Understanding public-private collaboration configurations for international information infrastructures","type":"paper-conference","volume":"9248"},"uris":["http://www.mendeley.com/documents/?uuid=6b301dae-88cc-4fb4-9aa5-121408c935c9","http://www.mendeley.com/documents/?uuid=79861a2e-5cfe-4c26-80c9-8c675106fa23"]},{"id":"ITEM-2","itemData":{"DOI":"10.1109/ACCESS.2024.3362238","ISSN":"21693536 (ISSN)","abstract":"Enterprise data resource sharing is an effective means to promote enterprise collaboration, help the government make scientific and effective decisions, and facilitate the development of the digital innovation ecosystem. In order to accurately analyze the enterprise data resource sharing strategies of digital platform enterprises, cooperative enterprises, and the government and the impact of government incentives on sharing, taking the digital innovation ecosystem as the background, three decision-making models of Nash non-cooperation, Stackelberg, and collaborative cooperation are constructed by using the differential game method. Their equilibrium results are obtained, analyzed comparatively, and simulated numerically. The conclusions are as follows: 1) Under the three strategy options, the data resource sharing effort level is positively correlated with the data resource sharing capability coefficient, the influence coefficient of effort level on the digital innovation ecosystem, the digital technology level coefficient of digital platform enterprises, and negatively correlated with the cost coefficient of data resource sharing and the elimination rate of shared data resources. 2) Government incentives for data resource sharing can raise the data resource sharing effort level by digital platform enterprises and cooperative enterprises and enhance the optimal benefits for all three parties and the system. 3) In the collaborative game, the optimal benefits of the three parties and the system are maximized, and a reasonable benefit distribution coefficient is determined to achieve Pareto optimality. Finally, some suggestions and strategies are provided to promote enterprise data resource sharing and government incentives.  © 2013 IEEE.","author":[{"dropping-particle":"","family":"Li","given":"Y","non-dropping-particle":"","parse-names":false,"suffix":""},{"dropping-particle":"","family":"Zou","given":"H","non-dropping-particle":"","parse-names":false,"suffix":""},{"dropping-particle":"","family":"Qin","given":"H","non-dropping-particle":"","parse-names":false,"suffix":""},{"dropping-particle":"","family":"Liu","given":"B","non-dropping-particle":"","parse-names":false,"suffix":""},{"dropping-particle":"","family":"Ji","given":"H","non-dropping-particle":"","parse-names":false,"suffix":""}],"container-title":"IEEE Access","id":"ITEM-2","issued":{"date-parts":[["2024"]]},"language":"English","page":"25278-25295","publisher":"Institute of Electrical and Electronics Engineers Inc.","publisher-place":"Shenyang University of Technology, School of Management, Shenyang, 110870, China","title":"Research on Government Incentive and Enterprise Data Resource Sharing Strategies in Digital Innovation Ecosystems","type":"article-journal","volume":"12"},"uris":["http://www.mendeley.com/documents/?uuid=479a86ab-3032-4c48-bcb3-7c7cb29f55d8","http://www.mendeley.com/documents/?uuid=6d9289ff-07af-4fd8-880f-826e6c032a60"]}],"mendeley":{"formattedCitation":"(Klievink, 2015; Li et al., 2024)","plainTextFormattedCitation":"(Klievink, 2015; Li et al., 2024)","previouslyFormattedCitation":"(Klievink, 2015; Li et al., 2024)"},"properties":{"noteIndex":0},"schema":"https://github.com/citation-style-language/schema/raw/master/csl-citation.json"}</w:instrText>
      </w:r>
      <w:r w:rsidR="00D61553" w:rsidRPr="004F2B90">
        <w:rPr>
          <w:rFonts w:ascii="Arial" w:hAnsi="Arial" w:cs="Arial"/>
          <w:szCs w:val="20"/>
        </w:rPr>
        <w:fldChar w:fldCharType="separate"/>
      </w:r>
      <w:r w:rsidR="00D61553" w:rsidRPr="004D5D1F">
        <w:rPr>
          <w:rFonts w:ascii="Arial" w:hAnsi="Arial" w:cs="Arial"/>
          <w:noProof/>
          <w:szCs w:val="20"/>
        </w:rPr>
        <w:t>(Klievink, 2015; Li et al., 2024)</w:t>
      </w:r>
      <w:r w:rsidR="00D61553" w:rsidRPr="004F2B90">
        <w:rPr>
          <w:rFonts w:ascii="Arial" w:hAnsi="Arial" w:cs="Arial"/>
          <w:szCs w:val="20"/>
        </w:rPr>
        <w:fldChar w:fldCharType="end"/>
      </w:r>
      <w:r w:rsidRPr="002F40B4">
        <w:rPr>
          <w:rFonts w:ascii="Arial" w:hAnsi="Arial" w:cs="Arial"/>
          <w:szCs w:val="20"/>
        </w:rPr>
        <w:t>. This research underlines the role of digital literacy alongside institutional preparedness within the framework of local governance as critical to effective technology implementation. Thus far, this research has advanced the systematic mapping of local governance to include the dimension of digital innovation.</w:t>
      </w:r>
    </w:p>
    <w:p w14:paraId="6517FC5A" w14:textId="3ED32293" w:rsidR="00916449" w:rsidRPr="009D217F" w:rsidRDefault="002F40B4" w:rsidP="002F40B4">
      <w:pPr>
        <w:spacing w:after="0" w:line="276" w:lineRule="auto"/>
        <w:ind w:firstLine="851"/>
        <w:jc w:val="both"/>
        <w:rPr>
          <w:rFonts w:ascii="Arial" w:hAnsi="Arial" w:cs="Arial"/>
          <w:szCs w:val="20"/>
        </w:rPr>
      </w:pPr>
      <w:r w:rsidRPr="002F40B4">
        <w:rPr>
          <w:rFonts w:ascii="Arial" w:hAnsi="Arial" w:cs="Arial"/>
          <w:szCs w:val="20"/>
        </w:rPr>
        <w:t>Integrating bibliometric analysis, data visualization, and thematic synthesis substantially contributes to the digital governance and public participation literature. His results are significant, not solely for scholars, but also for practitioners and decision makers who aim to comprehend and facilitate digital transformation. Thus, this research is anticipated to be a primary strategic reference in designing regionally adaptive and inclusive governance frameworks underpinned by technology.</w:t>
      </w:r>
    </w:p>
    <w:p w14:paraId="0ED0C25B" w14:textId="79BCE31D" w:rsidR="00916449" w:rsidRPr="00761E7E" w:rsidRDefault="00916449" w:rsidP="00916449">
      <w:pPr>
        <w:spacing w:after="0" w:line="276" w:lineRule="auto"/>
        <w:ind w:firstLine="851"/>
        <w:jc w:val="both"/>
        <w:rPr>
          <w:rFonts w:ascii="Arial" w:hAnsi="Arial" w:cs="Arial"/>
          <w:b/>
          <w:szCs w:val="20"/>
        </w:rPr>
      </w:pPr>
    </w:p>
    <w:p w14:paraId="5E61C95E" w14:textId="5D66212A" w:rsidR="00916449" w:rsidRPr="00761E7E" w:rsidRDefault="009D217F" w:rsidP="00916449">
      <w:pPr>
        <w:spacing w:after="0" w:line="276" w:lineRule="auto"/>
        <w:jc w:val="both"/>
        <w:rPr>
          <w:rFonts w:ascii="Arial" w:hAnsi="Arial" w:cs="Arial"/>
          <w:b/>
          <w:szCs w:val="20"/>
        </w:rPr>
      </w:pPr>
      <w:r w:rsidRPr="009D217F">
        <w:rPr>
          <w:rFonts w:ascii="Arial" w:hAnsi="Arial" w:cs="Arial"/>
          <w:b/>
          <w:szCs w:val="20"/>
        </w:rPr>
        <w:t>RESEARCH METHODS</w:t>
      </w:r>
    </w:p>
    <w:p w14:paraId="53EE30C0" w14:textId="2208275B" w:rsidR="009D217F" w:rsidRPr="009D217F" w:rsidRDefault="00C236CF" w:rsidP="00D93CCB">
      <w:pPr>
        <w:spacing w:after="0" w:line="276" w:lineRule="auto"/>
        <w:ind w:firstLine="851"/>
        <w:jc w:val="both"/>
        <w:rPr>
          <w:rFonts w:ascii="Arial" w:hAnsi="Arial" w:cs="Arial"/>
          <w:szCs w:val="20"/>
        </w:rPr>
      </w:pPr>
      <w:r w:rsidRPr="00C236CF">
        <w:rPr>
          <w:rFonts w:ascii="Arial" w:hAnsi="Arial" w:cs="Arial"/>
          <w:szCs w:val="20"/>
        </w:rPr>
        <w:t xml:space="preserve">This research performed a literature review analysis on the case of digital transformation in local governance, viewing it as a mapping of the administrative and public participation processes, efficiency, innovation, and technology using the Scopus database </w:t>
      </w:r>
      <w:r w:rsidR="00D61553" w:rsidRPr="009D217F">
        <w:rPr>
          <w:rFonts w:ascii="Arial" w:hAnsi="Arial" w:cs="Arial"/>
          <w:szCs w:val="20"/>
        </w:rPr>
        <w:fldChar w:fldCharType="begin" w:fldLock="1"/>
      </w:r>
      <w:r w:rsidR="009717CF">
        <w:rPr>
          <w:rFonts w:ascii="Arial" w:hAnsi="Arial" w:cs="Arial"/>
          <w:szCs w:val="20"/>
        </w:rPr>
        <w:instrText>ADDIN CSL_CITATION {"citationItems":[{"id":"ITEM-1","itemData":{"DOI":"10.1016/j.ijinfomgt.2017.12.011","ISSN":"02684012","abstract":"This study presents a science mapping approach to analysing the thematic evolution of e-Participation research. We combine different bibliometric tools to analyse the evolution of the cognitive structure of this research topic, allowing us to discover the most prominent, productive and highest-impact subfields. In addition, we are able to identify thematic areas and show their evolutionary behaviour, supported by different visualization tools to show a graphical and dynamic vision of the e-Participation field. Findings indicate an increase in e-Participation research in the last five years, and the evolution of this field of knowledge to a more techno-social system in order to engage the citizenry in public sector management.","author":[{"dropping-particle":"","family":"Rodríguez-Bolívar","given":"Manuel Pedro","non-dropping-particle":"","parse-names":false,"suffix":""},{"dropping-particle":"","family":"Alcaide-Muñoz","given":"Laura","non-dropping-particle":"","parse-names":false,"suffix":""},{"dropping-particle":"","family":"Cobo","given":"Manuel Jesús","non-dropping-particle":"","parse-names":false,"suffix":""}],"container-title":"International Journal of Information Management","id":"ITEM-1","issued":{"date-parts":[["2018","6"]]},"page":"111-119","publisher":"Elsevier","title":"Analyzing the scientific evolution and impact of e-Participation research in JCR journals using science mapping","type":"article-journal","volume":"40"},"uris":["http://www.mendeley.com/documents/?uuid=c39ac8ef-8dee-468b-b042-0a903325361a"]}],"mendeley":{"formattedCitation":"(Rodríguez-Bolívar et al., 2018)","plainTextFormattedCitation":"(Rodríguez-Bolívar et al., 2018)","previouslyFormattedCitation":"(Rodríguez-Bolívar et al., 2018)"},"properties":{"noteIndex":0},"schema":"https://github.com/citation-style-language/schema/raw/master/csl-citation.json"}</w:instrText>
      </w:r>
      <w:r w:rsidR="00D61553" w:rsidRPr="009D217F">
        <w:rPr>
          <w:rFonts w:ascii="Arial" w:hAnsi="Arial" w:cs="Arial"/>
          <w:szCs w:val="20"/>
        </w:rPr>
        <w:fldChar w:fldCharType="separate"/>
      </w:r>
      <w:r w:rsidR="00D61553" w:rsidRPr="004D5D1F">
        <w:rPr>
          <w:rFonts w:ascii="Arial" w:hAnsi="Arial" w:cs="Arial"/>
          <w:noProof/>
          <w:szCs w:val="20"/>
        </w:rPr>
        <w:t>(Rodríguez-Bolívar et al., 2018)</w:t>
      </w:r>
      <w:r w:rsidR="00D61553" w:rsidRPr="009D217F">
        <w:rPr>
          <w:rFonts w:ascii="Arial" w:hAnsi="Arial" w:cs="Arial"/>
          <w:szCs w:val="20"/>
        </w:rPr>
        <w:fldChar w:fldCharType="end"/>
      </w:r>
      <w:r w:rsidRPr="00C236CF">
        <w:rPr>
          <w:rFonts w:ascii="Arial" w:hAnsi="Arial" w:cs="Arial"/>
          <w:szCs w:val="20"/>
        </w:rPr>
        <w:t xml:space="preserve">. Scopus was chosen because of its multidisciplinary scope and reputation for rigor and relevance, as evidenced in peer-reviewed publications </w:t>
      </w:r>
      <w:r w:rsidR="00D61553" w:rsidRPr="009D217F">
        <w:rPr>
          <w:rFonts w:ascii="Arial" w:hAnsi="Arial" w:cs="Arial"/>
          <w:szCs w:val="20"/>
        </w:rPr>
        <w:fldChar w:fldCharType="begin" w:fldLock="1"/>
      </w:r>
      <w:r w:rsidR="009717CF">
        <w:rPr>
          <w:rFonts w:ascii="Arial" w:hAnsi="Arial" w:cs="Arial"/>
          <w:szCs w:val="20"/>
        </w:rPr>
        <w:instrText>ADDIN CSL_CITATION {"citationItems":[{"id":"ITEM-1","itemData":{"DOI":"10.1007/s11192-022-04289-7","ISSN":"15882861","abstract":"This paper introduces a novel scientometrics method and applies it to estimate the subject coverages of many of the popular English-focused bibliographic databases in academia. The method uses query results as a common denominator to compare a wide variety of search engines, repositories, digital libraries, and other bibliographic databases. The method extends existing sampling-based approaches that analyze smaller sets of database coverages. The findings show the relative and absolute subject coverages of 56 databases—information that has often not been available before. Knowing the databases’ absolute subject coverage allows the selection of the most comprehensive databases for searches requiring high recall/sensitivity, particularly relevant in lookup or exploratory searches. Knowing the databases’ relative subject coverage allows the selection of specialized databases for searches requiring high precision/specificity, particularly relevant in systematic searches. The findings illustrate not only differences in the disciplinary coverage of Google Scholar, Scopus, or Web of Science, but also of less frequently analyzed databases. For example, researchers might be surprised how Meta (discontinued), Embase, or Europe PMC are found to cover more records than PubMed in Medicine and other health subjects. These findings should encourage researchers to re-evaluate their go-to databases, also against newly introduced options. Searching with more comprehensive databases can improve finding, particularly when selecting the most fitting databases needs particular thought, such as in systematic reviews and meta-analyses. This comparison can also help librarians and other information experts re-evaluate expensive database procurement strategies. Researchers without institutional access learn which open databases are likely most comprehensive in their disciplines.","author":[{"dropping-particle":"","family":"Gusenbauer","given":"Michael","non-dropping-particle":"","parse-names":false,"suffix":""}],"container-title":"Scientometrics","id":"ITEM-1","issue":"5","issued":{"date-parts":[["2022"]]},"page":"2683-2745","publisher":"Springer","title":"Search where you will find most: Comparing the disciplinary coverage of 56 bibliographic databases","type":"article-journal","volume":"127"},"uris":["http://www.mendeley.com/documents/?uuid=062c8f20-587f-4538-9dea-31a391d7e12c"]}],"mendeley":{"formattedCitation":"(Gusenbauer, 2022)","plainTextFormattedCitation":"(Gusenbauer, 2022)","previouslyFormattedCitation":"(Gusenbauer, 2022)"},"properties":{"noteIndex":0},"schema":"https://github.com/citation-style-language/schema/raw/master/csl-citation.json"}</w:instrText>
      </w:r>
      <w:r w:rsidR="00D61553" w:rsidRPr="009D217F">
        <w:rPr>
          <w:rFonts w:ascii="Arial" w:hAnsi="Arial" w:cs="Arial"/>
          <w:szCs w:val="20"/>
        </w:rPr>
        <w:fldChar w:fldCharType="separate"/>
      </w:r>
      <w:r w:rsidR="00D61553" w:rsidRPr="004D5D1F">
        <w:rPr>
          <w:rFonts w:ascii="Arial" w:hAnsi="Arial" w:cs="Arial"/>
          <w:noProof/>
          <w:szCs w:val="20"/>
        </w:rPr>
        <w:t>(Gusenbauer, 2022)</w:t>
      </w:r>
      <w:r w:rsidR="00D61553" w:rsidRPr="009D217F">
        <w:rPr>
          <w:rFonts w:ascii="Arial" w:hAnsi="Arial" w:cs="Arial"/>
          <w:szCs w:val="20"/>
        </w:rPr>
        <w:fldChar w:fldCharType="end"/>
      </w:r>
      <w:r w:rsidR="00D61553" w:rsidRPr="009D217F">
        <w:rPr>
          <w:rFonts w:ascii="Arial" w:hAnsi="Arial" w:cs="Arial"/>
          <w:szCs w:val="20"/>
        </w:rPr>
        <w:t>.</w:t>
      </w:r>
      <w:r w:rsidR="00D61553">
        <w:rPr>
          <w:rFonts w:ascii="Arial" w:hAnsi="Arial" w:cs="Arial"/>
          <w:szCs w:val="20"/>
        </w:rPr>
        <w:t xml:space="preserve"> </w:t>
      </w:r>
      <w:r w:rsidRPr="00C236CF">
        <w:rPr>
          <w:rFonts w:ascii="Arial" w:hAnsi="Arial" w:cs="Arial"/>
          <w:szCs w:val="20"/>
        </w:rPr>
        <w:t xml:space="preserve">This database assists in framing primary concepts related to governance and aids in synthesizing literature concerning policies and best practices about technology in public administration </w:t>
      </w:r>
      <w:r w:rsidR="00D61553" w:rsidRPr="009D217F">
        <w:rPr>
          <w:rFonts w:ascii="Arial" w:hAnsi="Arial" w:cs="Arial"/>
          <w:szCs w:val="20"/>
        </w:rPr>
        <w:fldChar w:fldCharType="begin" w:fldLock="1"/>
      </w:r>
      <w:r w:rsidR="009717CF">
        <w:rPr>
          <w:rFonts w:ascii="Arial" w:hAnsi="Arial" w:cs="Arial"/>
          <w:szCs w:val="20"/>
        </w:rPr>
        <w:instrText>ADDIN CSL_CITATION {"citationItems":[{"id":"ITEM-1","itemData":{"DOI":"10.23919/CISTI49556.2020.9141166","ISBN":"9789895465903","ISSN":"21660735","abstract":"Information and Communication Technologies are so ingrained in our daily lives that it would be difficult to keep society functioning without them. One such example is the Public Administration, where the processes circulate electronically between the central, regional or local administration, allowing for greater speed, considering the ease of sending and receiving the documentation.This reality, combined with the pressure exerted by citizens or citizens in general on the administration, leads to the need for modernization and expansion of services, making them ubiquitous, allowing greater mobility, faster, reducing response times, and a consolidation of technological infrastructures.Therefore, these practices must be based on pillars such as sustainability, strengthening information security and improving environmental quality.The purpose of the paper is to present ICT best practices in line with Green IT, supported by international standards and frameworks, to optimize practices in organizations, namely in Local Administration.The main results of the approach are to actively contribute to the implementation of sustainability policies and alignment with Green IT good practices, in Local Administration.","author":[{"dropping-particle":"","family":"Landum","given":"Manuel","non-dropping-particle":"","parse-names":false,"suffix":""},{"dropping-particle":"","family":"Moura","given":"M. M.M.","non-dropping-particle":"","parse-names":false,"suffix":""},{"dropping-particle":"","family":"Reis","given":"Leonilde","non-dropping-particle":"","parse-names":false,"suffix":""}],"container-title":"Iberian Conference on Information Systems and Technologies, CISTI","editor":[{"dropping-particle":"","family":"A.","given":"Rocha","non-dropping-particle":"","parse-names":false,"suffix":""},{"dropping-particle":"","family":"B.E.","given":"Perez","non-dropping-particle":"","parse-names":false,"suffix":""},{"dropping-particle":"","family":"F.G.","given":"Penalvo","non-dropping-particle":"","parse-names":false,"suffix":""},{"dropping-particle":"","family":"M.","given":"del Mar Miras","non-dropping-particle":"","parse-names":false,"suffix":""},{"dropping-particle":"","family":"R.","given":"Goncalves","non-dropping-particle":"","parse-names":false,"suffix":""}],"id":"ITEM-1","issued":{"date-parts":[["2020"]]},"language":"Portuguese","publisher":"IEEE Computer Society","publisher-place":"Universidade do Algarve, DEEI/FCT, Faro, Portugal","title":"ICT Good Practices in alignment with Green IT","type":"paper-conference","volume":"2020-June"},"uris":["http://www.mendeley.com/documents/?uuid=4433f745-4d8e-4f43-a950-3c292b6bb37c","http://www.mendeley.com/documents/?uuid=a3eba4c9-fb6b-4e53-979b-1c99cfc83e2f"]}],"mendeley":{"formattedCitation":"(Landum et al., 2020)","plainTextFormattedCitation":"(Landum et al., 2020)","previouslyFormattedCitation":"(Landum et al., 2020)"},"properties":{"noteIndex":0},"schema":"https://github.com/citation-style-language/schema/raw/master/csl-citation.json"}</w:instrText>
      </w:r>
      <w:r w:rsidR="00D61553" w:rsidRPr="009D217F">
        <w:rPr>
          <w:rFonts w:ascii="Arial" w:hAnsi="Arial" w:cs="Arial"/>
          <w:szCs w:val="20"/>
        </w:rPr>
        <w:fldChar w:fldCharType="separate"/>
      </w:r>
      <w:r w:rsidR="00D61553" w:rsidRPr="004D5D1F">
        <w:rPr>
          <w:rFonts w:ascii="Arial" w:hAnsi="Arial" w:cs="Arial"/>
          <w:noProof/>
          <w:szCs w:val="20"/>
        </w:rPr>
        <w:t>(Landum et al., 2020)</w:t>
      </w:r>
      <w:r w:rsidR="00D61553" w:rsidRPr="009D217F">
        <w:rPr>
          <w:rFonts w:ascii="Arial" w:hAnsi="Arial" w:cs="Arial"/>
          <w:szCs w:val="20"/>
        </w:rPr>
        <w:fldChar w:fldCharType="end"/>
      </w:r>
      <w:r w:rsidR="00D61553" w:rsidRPr="009D217F">
        <w:rPr>
          <w:rFonts w:ascii="Arial" w:hAnsi="Arial" w:cs="Arial"/>
          <w:szCs w:val="20"/>
        </w:rPr>
        <w:t>.</w:t>
      </w:r>
      <w:r w:rsidR="00D61553">
        <w:rPr>
          <w:rFonts w:ascii="Arial" w:hAnsi="Arial" w:cs="Arial"/>
          <w:szCs w:val="20"/>
        </w:rPr>
        <w:t xml:space="preserve"> </w:t>
      </w:r>
      <w:r w:rsidRPr="00C236CF">
        <w:rPr>
          <w:rFonts w:ascii="Arial" w:hAnsi="Arial" w:cs="Arial"/>
          <w:szCs w:val="20"/>
        </w:rPr>
        <w:t xml:space="preserve">This study analyzes literature to identify knowledge gaps and integrates conclusions to derive comprehensive reviews and describe innovations and outcomes mapping, and extensively highlights challenges, technology-algorithmic solutions to the performance and engagement enhancement for government and community collaboration </w:t>
      </w:r>
      <w:r w:rsidR="00D61553" w:rsidRPr="009D217F">
        <w:rPr>
          <w:rFonts w:ascii="Arial" w:hAnsi="Arial" w:cs="Arial"/>
          <w:szCs w:val="20"/>
        </w:rPr>
        <w:fldChar w:fldCharType="begin" w:fldLock="1"/>
      </w:r>
      <w:r w:rsidR="009717CF">
        <w:rPr>
          <w:rFonts w:ascii="Arial" w:hAnsi="Arial" w:cs="Arial"/>
          <w:szCs w:val="20"/>
        </w:rPr>
        <w:instrText>ADDIN CSL_CITATION {"citationItems":[{"id":"ITEM-1","itemData":{"DOI":"10.1109/ICADEIS65852.2025.10933183","ISBN":"9798331513320","abstract":"Artificial Intelligence (AI) is revolutionizing civic engagement by enhancing citizen participation, public discourse, and governance efficiency. This paper explores AI applications across five key areas: citizen participation platforms, social media, smart city solutions, accessibility and inclusion, and civic education. Tools like chatbots, natural language processing, and predictive analytics help governments engage diverse populations, analyze feedback, and address barriers such as accessibility and language constraints. Despite its potential, challenges like the digital divide, algorithmic bias, and data privacy persist. Furthermore, the paper examines significant challenges to AI's adoption in civic engagement. Issues such as the digital divide, algorithmic bias, lack of transparency, and concerns about data privacy remain central obstacles. Through a systematic review, this paper highlights both the promise and limitations of AI in civic engagement and emphasizes the need for ethical design, user trust, and localized solutions to ensure fair and inclusive participation. Future directions include human-AI collaboration and innovations like virtual reality to strengthen democratic engagement.","author":[{"dropping-particle":"","family":"Sarafis","given":"Dimitrios","non-dropping-particle":"","parse-names":false,"suffix":""},{"dropping-particle":"","family":"Karamitsios","given":"Konstantinos","non-dropping-particle":"","parse-names":false,"suffix":""},{"dropping-particle":"","family":"Kravari","given":"Kalliopi","non-dropping-particle":"","parse-names":false,"suffix":""}],"container-title":"ICADEIS 2025 - 2025 International Conference on Advancement in Data Science, E-learning and Information System: Integrating Data Science and Information System, Proceeding","id":"ITEM-1","issued":{"date-parts":[["2025"]]},"language":"English","publisher":"Institute of Electrical and Electronics Engineers Inc.","publisher-place":"My Company Projects O.E., Thessaloniki, Greece","title":"AI and Civic Engagement: A Brief Exploration of Applications and Opportunities","type":"paper-conference"},"uris":["http://www.mendeley.com/documents/?uuid=ad968b4d-4538-412b-842a-838409e99d6d","http://www.mendeley.com/documents/?uuid=53c92773-d355-402b-9740-15c7909f87c8"]}],"mendeley":{"formattedCitation":"(Sarafis et al., 2025)","plainTextFormattedCitation":"(Sarafis et al., 2025)","previouslyFormattedCitation":"(Sarafis et al., 2025)"},"properties":{"noteIndex":0},"schema":"https://github.com/citation-style-language/schema/raw/master/csl-citation.json"}</w:instrText>
      </w:r>
      <w:r w:rsidR="00D61553" w:rsidRPr="009D217F">
        <w:rPr>
          <w:rFonts w:ascii="Arial" w:hAnsi="Arial" w:cs="Arial"/>
          <w:szCs w:val="20"/>
        </w:rPr>
        <w:fldChar w:fldCharType="separate"/>
      </w:r>
      <w:r w:rsidR="00D61553" w:rsidRPr="004D5D1F">
        <w:rPr>
          <w:rFonts w:ascii="Arial" w:hAnsi="Arial" w:cs="Arial"/>
          <w:noProof/>
          <w:szCs w:val="20"/>
        </w:rPr>
        <w:t>(Sarafis et al., 2025)</w:t>
      </w:r>
      <w:r w:rsidR="00D61553" w:rsidRPr="009D217F">
        <w:rPr>
          <w:rFonts w:ascii="Arial" w:hAnsi="Arial" w:cs="Arial"/>
          <w:szCs w:val="20"/>
        </w:rPr>
        <w:fldChar w:fldCharType="end"/>
      </w:r>
      <w:r w:rsidR="00D61553" w:rsidRPr="009D217F">
        <w:rPr>
          <w:rFonts w:ascii="Arial" w:hAnsi="Arial" w:cs="Arial"/>
          <w:szCs w:val="20"/>
        </w:rPr>
        <w:t>.</w:t>
      </w:r>
    </w:p>
    <w:p w14:paraId="73D11881" w14:textId="4970539D" w:rsidR="009D217F" w:rsidRPr="009D217F" w:rsidRDefault="009D217F" w:rsidP="009D217F">
      <w:pPr>
        <w:spacing w:after="0" w:line="276" w:lineRule="auto"/>
        <w:jc w:val="both"/>
        <w:rPr>
          <w:rFonts w:ascii="Arial" w:hAnsi="Arial" w:cs="Arial"/>
          <w:b/>
          <w:i/>
          <w:szCs w:val="20"/>
        </w:rPr>
      </w:pPr>
      <w:r w:rsidRPr="009D217F">
        <w:rPr>
          <w:rFonts w:ascii="Arial" w:hAnsi="Arial" w:cs="Arial"/>
          <w:b/>
          <w:i/>
          <w:szCs w:val="20"/>
        </w:rPr>
        <w:t>Protocols and Frameworks</w:t>
      </w:r>
    </w:p>
    <w:p w14:paraId="37A5F623" w14:textId="157000B1" w:rsidR="009D217F" w:rsidRPr="009D217F" w:rsidRDefault="00C236CF" w:rsidP="00D93CCB">
      <w:pPr>
        <w:spacing w:after="0" w:line="276" w:lineRule="auto"/>
        <w:ind w:firstLine="851"/>
        <w:jc w:val="both"/>
        <w:rPr>
          <w:rFonts w:ascii="Arial" w:hAnsi="Arial" w:cs="Arial"/>
          <w:szCs w:val="20"/>
        </w:rPr>
      </w:pPr>
      <w:r w:rsidRPr="00C236CF">
        <w:rPr>
          <w:rFonts w:ascii="Arial" w:hAnsi="Arial" w:cs="Arial"/>
          <w:szCs w:val="20"/>
        </w:rPr>
        <w:t xml:space="preserve">This study follows PRISMA guidelines for obtaining and analyzing literature dealing with efficiency, transparency, and public involvement in a bureaucracy for purposes of order and consistency </w:t>
      </w:r>
      <w:r w:rsidR="00D61553" w:rsidRPr="009D217F">
        <w:rPr>
          <w:rFonts w:ascii="Arial" w:hAnsi="Arial" w:cs="Arial"/>
          <w:szCs w:val="20"/>
        </w:rPr>
        <w:fldChar w:fldCharType="begin" w:fldLock="1"/>
      </w:r>
      <w:r w:rsidR="009717CF">
        <w:rPr>
          <w:rFonts w:ascii="Arial" w:hAnsi="Arial" w:cs="Arial"/>
          <w:szCs w:val="20"/>
        </w:rPr>
        <w:instrText>ADDIN CSL_CITATION {"citationItems":[{"id":"ITEM-1","itemData":{"DOI":"10.26633/RPSP.2022.112","ISSN":"16805348","abstract":"The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reviews.","author":[{"dropping-particle":"","family":"Page","given":"Matthew J.","non-dropping-particle":"","parse-names":false,"suffix":""},{"dropping-particle":"","family":"McKenzie","given":"Joanne E.","non-dropping-particle":"","parse-names":false,"suffix":""},{"dropping-particle":"","family":"Bossuyt","given":"Patrick M.","non-dropping-particle":"","parse-names":false,"suffix":""},{"dropping-particle":"","family":"Boutron","given":"Isabelle","non-dropping-particle":"","parse-names":false,"suffix":""},{"dropping-particle":"","family":"Hoffmann","given":"Tammy C.","non-dropping-particle":"","parse-names":false,"suffix":""},{"dropping-particle":"","family":"Mulrow","given":"Cynthia D.","non-dropping-particle":"","parse-names":false,"suffix":""},{"dropping-particle":"","family":"Shamseer","given":"Larissa","non-dropping-particle":"","parse-names":false,"suffix":""},{"dropping-particle":"","family":"Tetzlaff","given":"Jennifer M.","non-dropping-particle":"","parse-names":false,"suffix":""},{"dropping-particle":"","family":"Akl","given":"Elie A.","non-dropping-particle":"","parse-names":false,"suffix":""},{"dropping-particle":"","family":"Brennan","given":"Sue E.","non-dropping-particle":"","parse-names":false,"suffix":""},{"dropping-particle":"","family":"Chou","given":"Roger","non-dropping-particle":"","parse-names":false,"suffix":""},{"dropping-particle":"","family":"Glanville","given":"Julie","non-dropping-particle":"","parse-names":false,"suffix":""},{"dropping-particle":"","family":"Grimshaw","given":"Jeremy M.","non-dropping-particle":"","parse-names":false,"suffix":""},{"dropping-particle":"","family":"Hróbjartsson","given":"Asbjørn","non-dropping-particle":"","parse-names":false,"suffix":""},{"dropping-particle":"","family":"Lalu","given":"Manoj M.","non-dropping-particle":"","parse-names":false,"suffix":""},{"dropping-particle":"","family":"Li","given":"Tianjing","non-dropping-particle":"","parse-names":false,"suffix":""},{"dropping-particle":"","family":"Loder","given":"Elizabeth W.","non-dropping-particle":"","parse-names":false,"suffix":""},{"dropping-particle":"","family":"Mayo-Wilson","given":"Evan","non-dropping-particle":"","parse-names":false,"suffix":""},{"dropping-particle":"","family":"McDonald","given":"Steve","non-dropping-particle":"","parse-names":false,"suffix":""},{"dropping-particle":"","family":"McGuinness","given":"Luke A.","non-dropping-particle":"","parse-names":false,"suffix":""},{"dropping-particle":"","family":"Stewart","given":"Lesley A.","non-dropping-particle":"","parse-names":false,"suffix":""},{"dropping-particle":"","family":"Thomas","given":"James","non-dropping-particle":"","parse-names":false,"suffix":""},{"dropping-particle":"","family":"Tricco","given":"Andrea C.","non-dropping-particle":"","parse-names":false,"suffix":""},{"dropping-particle":"","family":"Welch","given":"Vivian A.","non-dropping-particle":"","parse-names":false,"suffix":""},{"dropping-particle":"","family":"Whiting","given":"Penny","non-dropping-particle":"","parse-names":false,"suffix":""},{"dropping-particle":"","family":"Moher","given":"David","non-dropping-particle":"","parse-names":false,"suffix":""}],"container-title":"Revista Panamericana de Salud Publica/Pan American Journal of Public Health","id":"ITEM-1","issued":{"date-parts":[["2022"]]},"language":"Portuguese","publisher":"Pan American Health Organization","publisher-place":"Monash University, School of Public Health and Preventive Medicine, Australia","title":"The PRISMA 2020 statement: an updated guideline for reporting systematic reviews","type":"article-journal","volume":"46"},"uris":["http://www.mendeley.com/documents/?uuid=3a3ca1ad-35ca-46e3-bfff-2e01b9ce3201","http://www.mendeley.com/documents/?uuid=300efeba-c0a0-44cb-8c10-5c7a5da35679"]}],"mendeley":{"formattedCitation":"(Page et al., 2022)","plainTextFormattedCitation":"(Page et al., 2022)","previouslyFormattedCitation":"(Page et al., 2022)"},"properties":{"noteIndex":0},"schema":"https://github.com/citation-style-language/schema/raw/master/csl-citation.json"}</w:instrText>
      </w:r>
      <w:r w:rsidR="00D61553" w:rsidRPr="009D217F">
        <w:rPr>
          <w:rFonts w:ascii="Arial" w:hAnsi="Arial" w:cs="Arial"/>
          <w:szCs w:val="20"/>
        </w:rPr>
        <w:fldChar w:fldCharType="separate"/>
      </w:r>
      <w:r w:rsidR="00D61553" w:rsidRPr="004D5D1F">
        <w:rPr>
          <w:rFonts w:ascii="Arial" w:hAnsi="Arial" w:cs="Arial"/>
          <w:noProof/>
          <w:szCs w:val="20"/>
        </w:rPr>
        <w:t>(Page et al., 2022)</w:t>
      </w:r>
      <w:r w:rsidR="00D61553" w:rsidRPr="009D217F">
        <w:rPr>
          <w:rFonts w:ascii="Arial" w:hAnsi="Arial" w:cs="Arial"/>
          <w:szCs w:val="20"/>
        </w:rPr>
        <w:fldChar w:fldCharType="end"/>
      </w:r>
      <w:r w:rsidR="00D61553" w:rsidRPr="009D217F">
        <w:rPr>
          <w:rFonts w:ascii="Arial" w:hAnsi="Arial" w:cs="Arial"/>
          <w:szCs w:val="20"/>
        </w:rPr>
        <w:t>.</w:t>
      </w:r>
      <w:r w:rsidRPr="00C236CF">
        <w:rPr>
          <w:rFonts w:ascii="Arial" w:hAnsi="Arial" w:cs="Arial"/>
          <w:szCs w:val="20"/>
        </w:rPr>
        <w:t xml:space="preserve"> </w:t>
      </w:r>
      <w:r w:rsidR="00D61553" w:rsidRPr="009D217F">
        <w:rPr>
          <w:rFonts w:ascii="Arial" w:hAnsi="Arial" w:cs="Arial"/>
          <w:szCs w:val="20"/>
        </w:rPr>
        <w:fldChar w:fldCharType="begin" w:fldLock="1"/>
      </w:r>
      <w:r w:rsidR="009717CF">
        <w:rPr>
          <w:rFonts w:ascii="Arial" w:hAnsi="Arial" w:cs="Arial"/>
          <w:szCs w:val="20"/>
        </w:rPr>
        <w:instrText>ADDIN CSL_CITATION {"citationItems":[{"id":"ITEM-1","itemData":{"DOI":"10.1136/bmj.n160","ISSN":"17561833","PMID":"33781993","abstract":"The methods and results of systematic reviews should be reported in sufficient detail to allow users to assess the trustworthiness and applicability of the review findings. The Preferred Reporting Items for Systematic reviews and Meta-Analyses (PRISMA) statement was developed to facilitate transparent and complete reporting of systematic reviews and has been updated (to PRISMA 2020) to reflect recent advances in systematic review methodology and terminology. Here, we present the explanation and elaboration paper for PRISMA 2020, where we explain why reporting of each item is recommended, present bullet points that detail the reporting recommendations, and present examples from published reviews. We hope that changes to the content and structure of PRISMA 2020 will facilitate uptake of the guideline and lead to more transparent, complete, and accurate reporting of systematic reviews.","author":[{"dropping-particle":"","family":"Page","given":"Matthew J.","non-dropping-particle":"","parse-names":false,"suffix":""},{"dropping-particle":"","family":"Moher","given":"David","non-dropping-particle":"","parse-names":false,"suffix":""},{"dropping-particle":"","family":"Bossuyt","given":"Patrick M.","non-dropping-particle":"","parse-names":false,"suffix":""},{"dropping-particle":"","family":"Boutron","given":"Isabelle","non-dropping-particle":"","parse-names":false,"suffix":""},{"dropping-particle":"","family":"Hoffmann","given":"Tammy C.","non-dropping-particle":"","parse-names":false,"suffix":""},{"dropping-particle":"","family":"Mulrow","given":"Cynthia D.","non-dropping-particle":"","parse-names":false,"suffix":""},{"dropping-particle":"","family":"Shamseer","given":"Larissa","non-dropping-particle":"","parse-names":false,"suffix":""},{"dropping-particle":"","family":"Tetzlaff","given":"Jennifer M.","non-dropping-particle":"","parse-names":false,"suffix":""},{"dropping-particle":"","family":"Akl","given":"Elie A.","non-dropping-particle":"","parse-names":false,"suffix":""},{"dropping-particle":"","family":"Brennan","given":"Sue E.","non-dropping-particle":"","parse-names":false,"suffix":""},{"dropping-particle":"","family":"Chou","given":"Roger","non-dropping-particle":"","parse-names":false,"suffix":""},{"dropping-particle":"","family":"Glanville","given":"Julie","non-dropping-particle":"","parse-names":false,"suffix":""},{"dropping-particle":"","family":"Grimshaw","given":"Jeremy M.","non-dropping-particle":"","parse-names":false,"suffix":""},{"dropping-particle":"","family":"Hróbjartsson","given":"Asbjørn","non-dropping-particle":"","parse-names":false,"suffix":""},{"dropping-particle":"","family":"Lalu","given":"Manoj M.","non-dropping-particle":"","parse-names":false,"suffix":""},{"dropping-particle":"","family":"Li","given":"Tianjing","non-dropping-particle":"","parse-names":false,"suffix":""},{"dropping-particle":"","family":"Loder","given":"Elizabeth W.","non-dropping-particle":"","parse-names":false,"suffix":""},{"dropping-particle":"","family":"Mayo-Wilson","given":"Evan","non-dropping-particle":"","parse-names":false,"suffix":""},{"dropping-particle":"","family":"Mcdonald","given":"Steve","non-dropping-particle":"","parse-names":false,"suffix":""},{"dropping-particle":"","family":"Mcguinness","given":"Luke A.","non-dropping-particle":"","parse-names":false,"suffix":""},{"dropping-particle":"","family":"Stewart","given":"Lesley A.","non-dropping-particle":"","parse-names":false,"suffix":""},{"dropping-particle":"","family":"Thomas","given":"James","non-dropping-particle":"","parse-names":false,"suffix":""},{"dropping-particle":"","family":"Tricco","given":"Andrea C.","non-dropping-particle":"","parse-names":false,"suffix":""},{"dropping-particle":"","family":"Welch","given":"Vivian A.","non-dropping-particle":"","parse-names":false,"suffix":""},{"dropping-particle":"","family":"Whiting","given":"Penny","non-dropping-particle":"","parse-names":false,"suffix":""},{"dropping-particle":"","family":"Mckenzie","given":"Joanne E.","non-dropping-particle":"","parse-names":false,"suffix":""}],"container-title":"The BMJ","id":"ITEM-1","issued":{"date-parts":[["2021"]]},"language":"English","publisher":"BMJ Publishing Group","publisher-place":"School of Public Health and Preventive Medicine, Monash University, Melbourne, VIC, Australia","title":"PRISMA 2020 explanation and elaboration: Updated guidance and exemplars for reporting systematic reviews","type":"article-journal","volume":"372"},"uris":["http://www.mendeley.com/documents/?uuid=31970aca-8c41-48af-a020-8547ef23e4e8","http://www.mendeley.com/documents/?uuid=6291926f-5571-4c54-a9eb-4df0b0133cb4"]}],"mendeley":{"formattedCitation":"(Page et al., 2021)","manualFormatting":"Page et al., (2021)","plainTextFormattedCitation":"(Page et al., 2021)","previouslyFormattedCitation":"(Page et al., 2021)"},"properties":{"noteIndex":0},"schema":"https://github.com/citation-style-language/schema/raw/master/csl-citation.json"}</w:instrText>
      </w:r>
      <w:r w:rsidR="00D61553" w:rsidRPr="009D217F">
        <w:rPr>
          <w:rFonts w:ascii="Arial" w:hAnsi="Arial" w:cs="Arial"/>
          <w:szCs w:val="20"/>
        </w:rPr>
        <w:fldChar w:fldCharType="separate"/>
      </w:r>
      <w:r w:rsidR="00D61553" w:rsidRPr="004D5D1F">
        <w:rPr>
          <w:rFonts w:ascii="Arial" w:hAnsi="Arial" w:cs="Arial"/>
          <w:noProof/>
          <w:szCs w:val="20"/>
        </w:rPr>
        <w:t xml:space="preserve">Page et al., </w:t>
      </w:r>
      <w:r w:rsidR="00D61553">
        <w:rPr>
          <w:rFonts w:ascii="Arial" w:hAnsi="Arial" w:cs="Arial"/>
          <w:noProof/>
          <w:szCs w:val="20"/>
        </w:rPr>
        <w:t>(</w:t>
      </w:r>
      <w:r w:rsidR="00D61553" w:rsidRPr="004D5D1F">
        <w:rPr>
          <w:rFonts w:ascii="Arial" w:hAnsi="Arial" w:cs="Arial"/>
          <w:noProof/>
          <w:szCs w:val="20"/>
        </w:rPr>
        <w:t>2021)</w:t>
      </w:r>
      <w:r w:rsidR="00D61553" w:rsidRPr="009D217F">
        <w:rPr>
          <w:rFonts w:ascii="Arial" w:hAnsi="Arial" w:cs="Arial"/>
          <w:szCs w:val="20"/>
        </w:rPr>
        <w:fldChar w:fldCharType="end"/>
      </w:r>
      <w:r w:rsidRPr="00C236CF">
        <w:rPr>
          <w:rFonts w:ascii="Arial" w:hAnsi="Arial" w:cs="Arial"/>
          <w:szCs w:val="20"/>
        </w:rPr>
        <w:t xml:space="preserve"> indicate that PRISMA is both a checklist and a flowchart describing stepwise reporting for all systematic mapping studies. It was deemed more beneficial to use systematic mapping in this study on the various approaches to bureaucratic efficiency, transparency, and public participation, as compared to traditional systematic reviews. </w:t>
      </w:r>
      <w:r w:rsidR="00D61553" w:rsidRPr="009D217F">
        <w:rPr>
          <w:rFonts w:ascii="Arial" w:hAnsi="Arial" w:cs="Arial"/>
          <w:szCs w:val="20"/>
        </w:rPr>
        <w:fldChar w:fldCharType="begin" w:fldLock="1"/>
      </w:r>
      <w:r w:rsidR="009717CF">
        <w:rPr>
          <w:rFonts w:ascii="Arial" w:hAnsi="Arial" w:cs="Arial"/>
          <w:szCs w:val="20"/>
        </w:rPr>
        <w:instrText>ADDIN CSL_CITATION {"citationItems":[{"id":"ITEM-1","itemData":{"DOI":"10.23919/MIPRO.2018.8400251","ISBN":"9789532330977","abstract":"The first step in any research work is to gain a better understanding of selected research topic and its placement in the research field. To achieve this a Systematic Review (SR) is usually performed in one of two forms. A Systematic Literature Review (SLR) addresses a specific research question by providing insight into selected literature, while a Systematic Mapping Study (SMS) uses a principle of classification of a large number of collected articles to present a wider picture of the research topic. In both cases, the collection and selection of proper articles are crucial. Due to a lot of available articles from different sources and its diverse quality, a lot of tedious (often manual) work is required. This article addresses the issues of effective collection and selection of an appropriate set of articles. First, the importance of using suitable guidelines for conducting an SR is presented. Then, the practical considerations for the collection of articles are shown with an emphasis on effective search in Digital Libraries (DLs). Finally, the issues connected with an effective selection of an appropriate set of articles (from all collected) is described. In this part, we advise to collect as many articles as possible and perform sequential three-step selection to efficiently eliminate the obviously incorrect ones without a tedious manual screening of entire article contents.","author":[{"dropping-particle":"","family":"Rozanc","given":"I.","non-dropping-particle":"","parse-names":false,"suffix":""}],"container-title":"2018 41st International Convention on Information and Communication Technology, Electronics and Microelectronics, MIPRO 2018 - Proceedings","editor":[{"dropping-particle":"","family":"B.","given":"Vrdoljak","non-dropping-particle":"","parse-names":false,"suffix":""},{"dropping-particle":"","family":"E.","given":"Tijan","non-dropping-particle":"","parse-names":false,"suffix":""},{"dropping-particle":"","family":"T.G.","given":"Grbac","non-dropping-particle":"","parse-names":false,"suffix":""},{"dropping-particle":"","family":"V.","given":"Sruk","non-dropping-particle":"","parse-names":false,"suffix":""},{"dropping-particle":"","family":"M.","given":"Cicin-Sain","non-dropping-particle":"","parse-names":false,"suffix":""},{"dropping-particle":"","family":"S.","given":"Ribaric","non-dropping-particle":"","parse-names":false,"suffix":""},{"dropping-particle":"","family":"K.","given":"Skala","non-dropping-particle":"","parse-names":false,"suffix":""},{"dropping-particle":"","family":"M.","given":"Koricic","non-dropping-particle":"","parse-names":false,"suffix":""},{"dropping-particle":"","family":"M.","given":"Mauher","non-dropping-particle":"","parse-names":false,"suffix":""},{"dropping-particle":"","family":"S.","given":"Gros","non-dropping-particle":"","parse-names":false,"suffix":""},{"dropping-particle":"","family":"P.","given":"Pale","non-dropping-particle":"","parse-names":false,"suffix":""},{"dropping-particle":"","family":"M.","given":"Janjic","non-dropping-particle":"","parse-names":false,"suffix":""}],"id":"ITEM-1","issued":{"date-parts":[["2018"]]},"language":"English","page":"1394-1399","publisher":"Institute of Electrical and Electronics Engineers Inc.","publisher-place":"Faculty of Computer and Information Science, University of Ljubljana, Večna pot 113, Ljubljana, SI-1000, Slovenia","title":"Effective collection and selection of research articles for a systematic review","type":"paper-conference"},"uris":["http://www.mendeley.com/documents/?uuid=6099ea68-c6ab-4a4f-9bc4-e978d9472f84","http://www.mendeley.com/documents/?uuid=ece0795c-faed-498e-b8c7-bc8573abe8f9"]}],"mendeley":{"formattedCitation":"(Rozanc, 2018)","plainTextFormattedCitation":"(Rozanc, 2018)","previouslyFormattedCitation":"(Rozanc, 2018)"},"properties":{"noteIndex":0},"schema":"https://github.com/citation-style-language/schema/raw/master/csl-citation.json"}</w:instrText>
      </w:r>
      <w:r w:rsidR="00D61553" w:rsidRPr="009D217F">
        <w:rPr>
          <w:rFonts w:ascii="Arial" w:hAnsi="Arial" w:cs="Arial"/>
          <w:szCs w:val="20"/>
        </w:rPr>
        <w:fldChar w:fldCharType="separate"/>
      </w:r>
      <w:r w:rsidR="00D61553" w:rsidRPr="004D5D1F">
        <w:rPr>
          <w:rFonts w:ascii="Arial" w:hAnsi="Arial" w:cs="Arial"/>
          <w:noProof/>
          <w:szCs w:val="20"/>
        </w:rPr>
        <w:t>(Rozanc, 2018)</w:t>
      </w:r>
      <w:r w:rsidR="00D61553" w:rsidRPr="009D217F">
        <w:rPr>
          <w:rFonts w:ascii="Arial" w:hAnsi="Arial" w:cs="Arial"/>
          <w:szCs w:val="20"/>
        </w:rPr>
        <w:fldChar w:fldCharType="end"/>
      </w:r>
      <w:r w:rsidRPr="00C236CF">
        <w:rPr>
          <w:rFonts w:ascii="Arial" w:hAnsi="Arial" w:cs="Arial"/>
          <w:szCs w:val="20"/>
        </w:rPr>
        <w:t xml:space="preserve">. There is more focus on systematic reviews; however, systematic mapping targets finding gaps, classifying important research, and tracking the progress of themes over time related to bureaucratic efficiency, transparency, and public participation </w:t>
      </w:r>
      <w:r w:rsidR="00D61553" w:rsidRPr="009D217F">
        <w:rPr>
          <w:rFonts w:ascii="Arial" w:hAnsi="Arial" w:cs="Arial"/>
          <w:szCs w:val="20"/>
        </w:rPr>
        <w:fldChar w:fldCharType="begin" w:fldLock="1"/>
      </w:r>
      <w:r w:rsidR="009717CF">
        <w:rPr>
          <w:rFonts w:ascii="Arial" w:hAnsi="Arial" w:cs="Arial"/>
          <w:szCs w:val="20"/>
        </w:rPr>
        <w:instrText>ADDIN CSL_CITATION {"citationItems":[{"id":"ITEM-1","itemData":{"DOI":"10.6016/ZdravVestn.3138","ISSN":"15810224","abstract":"Systematic reviews are a type of literature reviews that use systematic methods to collect data, critically appraise research studies and synthesize evidence (quantitative approach) and findings (qualitative approach). A systematic review provides a complete, exhaustive summary of current literature to a research question. Conducting a systematic review involves several steps and leads to a research question; this is followed by the implementation of a search strategy, data collection and quality assessment methods. The results may be aggregated, analysed and interpreted. The typical method in quantitative systematic review is statistical meta-analysis, while in qualitative systematic analysis the interpretative method is meta-synthesis. The main findings from the review are summarised. The limitations of the study and the reliability of the results are presented. Finally, the strengths and weaknesses of the review are discussed.","author":[{"dropping-particle":"","family":"Turk","given":"Nana","non-dropping-particle":"","parse-names":false,"suffix":""}],"container-title":"Zdravniski Vestnik","id":"ITEM-1","issue":"7-8","issued":{"date-parts":[["2021"]]},"language":"Slovenian","page":"432-442","publisher":"Slovene Medical Society","publisher-place":"Centralna medicinska knjžnica, Medicinska fakulteta, Univerza v Ljubljani, Ljubljana, Slovenia","title":"Methodology of systematic reviews","type":"article-journal","volume":"90"},"uris":["http://www.mendeley.com/documents/?uuid=f419bb77-5a67-4d49-bd35-068a6c9a5f87","http://www.mendeley.com/documents/?uuid=d291ac32-923a-4dc5-b72c-9f38cc918411"]}],"mendeley":{"formattedCitation":"(Turk, 2021)","plainTextFormattedCitation":"(Turk, 2021)","previouslyFormattedCitation":"(Turk, 2021)"},"properties":{"noteIndex":0},"schema":"https://github.com/citation-style-language/schema/raw/master/csl-citation.json"}</w:instrText>
      </w:r>
      <w:r w:rsidR="00D61553" w:rsidRPr="009D217F">
        <w:rPr>
          <w:rFonts w:ascii="Arial" w:hAnsi="Arial" w:cs="Arial"/>
          <w:szCs w:val="20"/>
        </w:rPr>
        <w:fldChar w:fldCharType="separate"/>
      </w:r>
      <w:r w:rsidR="00D61553" w:rsidRPr="004D5D1F">
        <w:rPr>
          <w:rFonts w:ascii="Arial" w:hAnsi="Arial" w:cs="Arial"/>
          <w:noProof/>
          <w:szCs w:val="20"/>
        </w:rPr>
        <w:t>(Turk, 2021)</w:t>
      </w:r>
      <w:r w:rsidR="00D61553" w:rsidRPr="009D217F">
        <w:rPr>
          <w:rFonts w:ascii="Arial" w:hAnsi="Arial" w:cs="Arial"/>
          <w:szCs w:val="20"/>
        </w:rPr>
        <w:fldChar w:fldCharType="end"/>
      </w:r>
      <w:r w:rsidR="00D61553">
        <w:rPr>
          <w:rFonts w:ascii="Arial" w:hAnsi="Arial" w:cs="Arial"/>
          <w:szCs w:val="20"/>
        </w:rPr>
        <w:t>.</w:t>
      </w:r>
    </w:p>
    <w:p w14:paraId="74E07E7E" w14:textId="335F2272" w:rsidR="009D217F" w:rsidRPr="009D217F" w:rsidRDefault="009D217F" w:rsidP="009D217F">
      <w:pPr>
        <w:spacing w:after="0" w:line="276" w:lineRule="auto"/>
        <w:jc w:val="both"/>
        <w:rPr>
          <w:rFonts w:ascii="Arial" w:hAnsi="Arial" w:cs="Arial"/>
          <w:b/>
          <w:i/>
          <w:szCs w:val="20"/>
        </w:rPr>
      </w:pPr>
      <w:r w:rsidRPr="009D217F">
        <w:rPr>
          <w:rFonts w:ascii="Arial" w:hAnsi="Arial" w:cs="Arial"/>
          <w:b/>
          <w:i/>
          <w:szCs w:val="20"/>
        </w:rPr>
        <w:t>Inclusion and exclusion criteria</w:t>
      </w:r>
    </w:p>
    <w:p w14:paraId="6361A98C" w14:textId="77777777" w:rsidR="009D217F" w:rsidRPr="009D217F" w:rsidRDefault="009D217F" w:rsidP="009D217F">
      <w:pPr>
        <w:spacing w:after="0" w:line="276" w:lineRule="auto"/>
        <w:ind w:firstLine="851"/>
        <w:jc w:val="both"/>
        <w:rPr>
          <w:rFonts w:ascii="Arial" w:hAnsi="Arial" w:cs="Arial"/>
          <w:szCs w:val="20"/>
        </w:rPr>
      </w:pPr>
      <w:r w:rsidRPr="009D217F">
        <w:rPr>
          <w:rFonts w:ascii="Arial" w:hAnsi="Arial" w:cs="Arial"/>
          <w:szCs w:val="20"/>
        </w:rPr>
        <w:t>After the search stage, the identified studies are screened to eliminate irrelevant research. The collected studies were analyzed based on inclusion and exclusion criteria to ensure only articles that provided direct insights into digital transformation in local governance were included. The search was limited to studies published between 2014 and 2024, to capture the latest trends in government technology innovation. The selection of this time coverage aims to avoid historical bias and ensure the relevance of the data to the challenges and implementation of digital systems in public administration today. Inclusion criteria include:</w:t>
      </w:r>
    </w:p>
    <w:p w14:paraId="34B250C7" w14:textId="77777777" w:rsidR="009D217F" w:rsidRPr="009D217F" w:rsidRDefault="009D217F" w:rsidP="009D217F">
      <w:pPr>
        <w:pStyle w:val="ListParagraph"/>
        <w:numPr>
          <w:ilvl w:val="0"/>
          <w:numId w:val="1"/>
        </w:numPr>
        <w:spacing w:after="0" w:line="240" w:lineRule="auto"/>
        <w:ind w:left="851" w:hanging="284"/>
        <w:jc w:val="both"/>
        <w:rPr>
          <w:rFonts w:ascii="Arial" w:eastAsia="Times New Roman" w:hAnsi="Arial" w:cs="Arial"/>
          <w:noProof w:val="0"/>
          <w:lang w:val="en-US"/>
        </w:rPr>
      </w:pPr>
      <w:r w:rsidRPr="009D217F">
        <w:rPr>
          <w:rFonts w:ascii="Arial" w:eastAsia="Times New Roman" w:hAnsi="Arial" w:cs="Arial"/>
          <w:noProof w:val="0"/>
          <w:lang w:val="en-US"/>
        </w:rPr>
        <w:t>Language: Only English-language articles to ensure accessibility and compatibility with bibliometric analysis.</w:t>
      </w:r>
    </w:p>
    <w:p w14:paraId="37D1B1DE" w14:textId="77777777" w:rsidR="009D217F" w:rsidRPr="009D217F" w:rsidRDefault="009D217F" w:rsidP="009D217F">
      <w:pPr>
        <w:pStyle w:val="ListParagraph"/>
        <w:numPr>
          <w:ilvl w:val="0"/>
          <w:numId w:val="1"/>
        </w:numPr>
        <w:spacing w:after="0" w:line="240" w:lineRule="auto"/>
        <w:ind w:left="851" w:hanging="284"/>
        <w:jc w:val="both"/>
        <w:rPr>
          <w:rFonts w:ascii="Arial" w:eastAsia="Times New Roman" w:hAnsi="Arial" w:cs="Arial"/>
          <w:noProof w:val="0"/>
          <w:lang w:val="en-US"/>
        </w:rPr>
      </w:pPr>
      <w:r w:rsidRPr="009D217F">
        <w:rPr>
          <w:rFonts w:ascii="Arial" w:eastAsia="Times New Roman" w:hAnsi="Arial" w:cs="Arial"/>
          <w:noProof w:val="0"/>
          <w:lang w:val="en-US"/>
        </w:rPr>
        <w:t>Type of publication: Only scientific journals are included, while percentages, posters, and short reports are excluded.</w:t>
      </w:r>
    </w:p>
    <w:p w14:paraId="02A167BF" w14:textId="77777777" w:rsidR="009D217F" w:rsidRPr="009D217F" w:rsidRDefault="009D217F" w:rsidP="009D217F">
      <w:pPr>
        <w:pStyle w:val="ListParagraph"/>
        <w:numPr>
          <w:ilvl w:val="0"/>
          <w:numId w:val="1"/>
        </w:numPr>
        <w:spacing w:after="0" w:line="240" w:lineRule="auto"/>
        <w:ind w:left="851" w:hanging="284"/>
        <w:jc w:val="both"/>
        <w:rPr>
          <w:rFonts w:ascii="Arial" w:eastAsia="Times New Roman" w:hAnsi="Arial" w:cs="Arial"/>
          <w:noProof w:val="0"/>
          <w:lang w:val="en-US"/>
        </w:rPr>
      </w:pPr>
      <w:r w:rsidRPr="009D217F">
        <w:rPr>
          <w:rFonts w:ascii="Arial" w:eastAsia="Times New Roman" w:hAnsi="Arial" w:cs="Arial"/>
          <w:noProof w:val="0"/>
          <w:lang w:val="en-US"/>
        </w:rPr>
        <w:t>Relevance to the research statement: An article that directly discusses Digital Transformation in Local Governance: Mapping Technological Innovation to Improve Efficiency and Public Participation.</w:t>
      </w:r>
    </w:p>
    <w:p w14:paraId="0515B28D" w14:textId="77777777" w:rsidR="009D217F" w:rsidRPr="009D217F" w:rsidRDefault="009D217F" w:rsidP="009D217F">
      <w:pPr>
        <w:pStyle w:val="ListParagraph"/>
        <w:numPr>
          <w:ilvl w:val="0"/>
          <w:numId w:val="1"/>
        </w:numPr>
        <w:spacing w:after="0" w:line="240" w:lineRule="auto"/>
        <w:ind w:left="851" w:hanging="284"/>
        <w:jc w:val="both"/>
        <w:rPr>
          <w:rFonts w:ascii="Arial" w:eastAsia="Times New Roman" w:hAnsi="Arial" w:cs="Arial"/>
          <w:noProof w:val="0"/>
          <w:lang w:val="en-US"/>
        </w:rPr>
      </w:pPr>
      <w:r w:rsidRPr="009D217F">
        <w:rPr>
          <w:rFonts w:ascii="Arial" w:eastAsia="Times New Roman" w:hAnsi="Arial" w:cs="Arial"/>
          <w:noProof w:val="0"/>
          <w:lang w:val="en-US"/>
        </w:rPr>
        <w:t>Publication version: If a study is published in multiple journals, the most recent version with updated data is used.</w:t>
      </w:r>
    </w:p>
    <w:p w14:paraId="2C6F8C7D" w14:textId="77777777" w:rsidR="009D217F" w:rsidRPr="009D217F" w:rsidRDefault="009D217F" w:rsidP="009D217F">
      <w:pPr>
        <w:spacing w:after="0" w:line="276" w:lineRule="auto"/>
        <w:ind w:firstLine="851"/>
        <w:jc w:val="both"/>
        <w:rPr>
          <w:rFonts w:ascii="Arial" w:hAnsi="Arial" w:cs="Arial"/>
          <w:szCs w:val="20"/>
        </w:rPr>
      </w:pPr>
      <w:r w:rsidRPr="009D217F">
        <w:rPr>
          <w:rFonts w:ascii="Arial" w:hAnsi="Arial" w:cs="Arial"/>
          <w:szCs w:val="20"/>
        </w:rPr>
        <w:t>The following studies were excluded from further review:</w:t>
      </w:r>
    </w:p>
    <w:p w14:paraId="4E6D69E5" w14:textId="77777777" w:rsidR="009D217F" w:rsidRPr="009D217F" w:rsidRDefault="009D217F" w:rsidP="009D217F">
      <w:pPr>
        <w:pStyle w:val="ListParagraph"/>
        <w:numPr>
          <w:ilvl w:val="0"/>
          <w:numId w:val="1"/>
        </w:numPr>
        <w:spacing w:after="0" w:line="240" w:lineRule="auto"/>
        <w:ind w:left="851" w:hanging="284"/>
        <w:jc w:val="both"/>
        <w:rPr>
          <w:rFonts w:ascii="Arial" w:eastAsia="Times New Roman" w:hAnsi="Arial" w:cs="Arial"/>
          <w:noProof w:val="0"/>
          <w:lang w:val="en-US"/>
        </w:rPr>
      </w:pPr>
      <w:r w:rsidRPr="009D217F">
        <w:rPr>
          <w:rFonts w:ascii="Arial" w:eastAsia="Times New Roman" w:hAnsi="Arial" w:cs="Arial"/>
          <w:noProof w:val="0"/>
          <w:lang w:val="en-US"/>
        </w:rPr>
        <w:t>Articles that are not in English, to maintain consistency in the analysis.</w:t>
      </w:r>
    </w:p>
    <w:p w14:paraId="5684669F" w14:textId="77777777" w:rsidR="009D217F" w:rsidRPr="009D217F" w:rsidRDefault="009D217F" w:rsidP="009D217F">
      <w:pPr>
        <w:pStyle w:val="ListParagraph"/>
        <w:numPr>
          <w:ilvl w:val="0"/>
          <w:numId w:val="1"/>
        </w:numPr>
        <w:spacing w:after="0" w:line="240" w:lineRule="auto"/>
        <w:ind w:left="851" w:hanging="284"/>
        <w:jc w:val="both"/>
        <w:rPr>
          <w:rFonts w:ascii="Arial" w:eastAsia="Times New Roman" w:hAnsi="Arial" w:cs="Arial"/>
          <w:noProof w:val="0"/>
          <w:lang w:val="en-US"/>
        </w:rPr>
      </w:pPr>
      <w:r w:rsidRPr="009D217F">
        <w:rPr>
          <w:rFonts w:ascii="Arial" w:eastAsia="Times New Roman" w:hAnsi="Arial" w:cs="Arial"/>
          <w:noProof w:val="0"/>
          <w:lang w:val="en-US"/>
        </w:rPr>
        <w:t>Papers that only contain policy recommendations without empirical analysis or experiments related to digital transformation in local governance.</w:t>
      </w:r>
    </w:p>
    <w:p w14:paraId="3061BDA0" w14:textId="77777777" w:rsidR="009D217F" w:rsidRPr="009D217F" w:rsidRDefault="009D217F" w:rsidP="009D217F">
      <w:pPr>
        <w:pStyle w:val="ListParagraph"/>
        <w:numPr>
          <w:ilvl w:val="0"/>
          <w:numId w:val="1"/>
        </w:numPr>
        <w:spacing w:after="0" w:line="240" w:lineRule="auto"/>
        <w:ind w:left="851" w:hanging="284"/>
        <w:jc w:val="both"/>
        <w:rPr>
          <w:rFonts w:ascii="Arial" w:eastAsia="Times New Roman" w:hAnsi="Arial" w:cs="Arial"/>
          <w:noProof w:val="0"/>
          <w:lang w:val="en-US"/>
        </w:rPr>
      </w:pPr>
      <w:r w:rsidRPr="009D217F">
        <w:rPr>
          <w:rFonts w:ascii="Arial" w:eastAsia="Times New Roman" w:hAnsi="Arial" w:cs="Arial"/>
          <w:noProof w:val="0"/>
          <w:lang w:val="en-US"/>
        </w:rPr>
        <w:t>Editorials, books, chapters, and summaries of workshops or symposiums that do not meet the standards of academic publications.</w:t>
      </w:r>
    </w:p>
    <w:p w14:paraId="30B47120" w14:textId="77777777" w:rsidR="009D217F" w:rsidRPr="009D217F" w:rsidRDefault="009D217F" w:rsidP="009D217F">
      <w:pPr>
        <w:pStyle w:val="ListParagraph"/>
        <w:numPr>
          <w:ilvl w:val="0"/>
          <w:numId w:val="1"/>
        </w:numPr>
        <w:spacing w:after="0" w:line="240" w:lineRule="auto"/>
        <w:ind w:left="851" w:hanging="284"/>
        <w:jc w:val="both"/>
        <w:rPr>
          <w:rFonts w:ascii="Arial" w:eastAsia="Times New Roman" w:hAnsi="Arial" w:cs="Arial"/>
          <w:noProof w:val="0"/>
          <w:lang w:val="en-US"/>
        </w:rPr>
      </w:pPr>
      <w:r w:rsidRPr="009D217F">
        <w:rPr>
          <w:rFonts w:ascii="Arial" w:eastAsia="Times New Roman" w:hAnsi="Arial" w:cs="Arial"/>
          <w:noProof w:val="0"/>
          <w:lang w:val="en-US"/>
        </w:rPr>
        <w:t>Articles with inadequate methodologies, such as lack of data sources, analysis techniques, or validation methods.</w:t>
      </w:r>
    </w:p>
    <w:p w14:paraId="1564B5D7" w14:textId="77777777" w:rsidR="009D217F" w:rsidRPr="009D217F" w:rsidRDefault="009D217F" w:rsidP="009D217F">
      <w:pPr>
        <w:pStyle w:val="ListParagraph"/>
        <w:numPr>
          <w:ilvl w:val="0"/>
          <w:numId w:val="1"/>
        </w:numPr>
        <w:spacing w:after="0" w:line="240" w:lineRule="auto"/>
        <w:ind w:left="851" w:hanging="284"/>
        <w:jc w:val="both"/>
        <w:rPr>
          <w:rFonts w:ascii="Arial" w:eastAsia="Times New Roman" w:hAnsi="Arial" w:cs="Arial"/>
          <w:noProof w:val="0"/>
          <w:lang w:val="en-US"/>
        </w:rPr>
      </w:pPr>
      <w:r w:rsidRPr="009D217F">
        <w:rPr>
          <w:rFonts w:ascii="Arial" w:eastAsia="Times New Roman" w:hAnsi="Arial" w:cs="Arial"/>
          <w:noProof w:val="0"/>
          <w:lang w:val="en-US"/>
        </w:rPr>
        <w:t>Studies with less than five pages, which were judged to have insufficient information for in-depth analysis.</w:t>
      </w:r>
    </w:p>
    <w:p w14:paraId="53A0AB15" w14:textId="08354A3A" w:rsidR="009D217F" w:rsidRPr="009D217F" w:rsidRDefault="009D217F" w:rsidP="009D217F">
      <w:pPr>
        <w:pStyle w:val="ListParagraph"/>
        <w:numPr>
          <w:ilvl w:val="0"/>
          <w:numId w:val="1"/>
        </w:numPr>
        <w:spacing w:after="0" w:line="240" w:lineRule="auto"/>
        <w:ind w:left="851" w:hanging="284"/>
        <w:jc w:val="both"/>
        <w:rPr>
          <w:rFonts w:ascii="Arial" w:eastAsia="Times New Roman" w:hAnsi="Arial" w:cs="Arial"/>
          <w:noProof w:val="0"/>
          <w:lang w:val="en-US"/>
        </w:rPr>
      </w:pPr>
      <w:r w:rsidRPr="009D217F">
        <w:rPr>
          <w:rFonts w:ascii="Arial" w:eastAsia="Times New Roman" w:hAnsi="Arial" w:cs="Arial"/>
          <w:noProof w:val="0"/>
          <w:lang w:val="en-US"/>
        </w:rPr>
        <w:t>Documents whose full text are not available, so they do not allow for a thorough analysis.</w:t>
      </w:r>
    </w:p>
    <w:p w14:paraId="55D02463" w14:textId="1971F894" w:rsidR="009D217F" w:rsidRPr="009D217F" w:rsidRDefault="009D217F" w:rsidP="009D217F">
      <w:pPr>
        <w:spacing w:after="0" w:line="276" w:lineRule="auto"/>
        <w:jc w:val="both"/>
        <w:rPr>
          <w:rFonts w:ascii="Arial" w:hAnsi="Arial" w:cs="Arial"/>
          <w:b/>
          <w:i/>
          <w:szCs w:val="20"/>
        </w:rPr>
      </w:pPr>
      <w:r w:rsidRPr="009D217F">
        <w:rPr>
          <w:rFonts w:ascii="Arial" w:hAnsi="Arial" w:cs="Arial"/>
          <w:b/>
          <w:i/>
          <w:szCs w:val="20"/>
        </w:rPr>
        <w:t>Search and Data Processing Strategies</w:t>
      </w:r>
    </w:p>
    <w:p w14:paraId="2D10C90D" w14:textId="75EB9114" w:rsidR="009D217F" w:rsidRPr="009D217F" w:rsidRDefault="009D217F" w:rsidP="009D217F">
      <w:pPr>
        <w:spacing w:after="0" w:line="276" w:lineRule="auto"/>
        <w:ind w:firstLine="851"/>
        <w:jc w:val="both"/>
        <w:rPr>
          <w:rFonts w:ascii="Arial" w:hAnsi="Arial" w:cs="Arial"/>
          <w:szCs w:val="20"/>
        </w:rPr>
      </w:pPr>
      <w:r w:rsidRPr="009D217F">
        <w:rPr>
          <w:rFonts w:ascii="Arial" w:hAnsi="Arial" w:cs="Arial"/>
          <w:szCs w:val="20"/>
        </w:rPr>
        <w:t xml:space="preserve">Search the literature using a query </w:t>
      </w:r>
      <w:r w:rsidR="0059063D">
        <w:rPr>
          <w:rFonts w:ascii="Arial" w:hAnsi="Arial" w:cs="Arial"/>
          <w:szCs w:val="20"/>
        </w:rPr>
        <w:t>{</w:t>
      </w:r>
      <w:r w:rsidRPr="009D217F">
        <w:rPr>
          <w:rFonts w:ascii="Arial" w:hAnsi="Arial" w:cs="Arial"/>
          <w:szCs w:val="20"/>
        </w:rPr>
        <w:t xml:space="preserve">TITLE-ABS-KEY </w:t>
      </w:r>
      <w:r w:rsidR="0059063D">
        <w:rPr>
          <w:rFonts w:ascii="Arial" w:hAnsi="Arial" w:cs="Arial"/>
          <w:szCs w:val="20"/>
        </w:rPr>
        <w:t>{</w:t>
      </w:r>
      <w:r w:rsidRPr="009D217F">
        <w:rPr>
          <w:rFonts w:ascii="Arial" w:hAnsi="Arial" w:cs="Arial"/>
          <w:szCs w:val="20"/>
        </w:rPr>
        <w:t xml:space="preserve">"Digital Transformation" OR "Local Government Governance" OR "Technological Innovation" OR "Public Participation" OR "E-Government" OR </w:t>
      </w:r>
      <w:r w:rsidR="00454A75">
        <w:rPr>
          <w:rFonts w:ascii="Arial" w:hAnsi="Arial" w:cs="Arial"/>
          <w:szCs w:val="20"/>
        </w:rPr>
        <w:t>“</w:t>
      </w:r>
      <w:r w:rsidR="008E19FA">
        <w:rPr>
          <w:rFonts w:ascii="Arial" w:hAnsi="Arial" w:cs="Arial"/>
          <w:szCs w:val="20"/>
        </w:rPr>
        <w:t>s</w:t>
      </w:r>
      <w:r w:rsidRPr="009D217F">
        <w:rPr>
          <w:rFonts w:ascii="Arial" w:hAnsi="Arial" w:cs="Arial"/>
          <w:szCs w:val="20"/>
        </w:rPr>
        <w:t>mart Cities" OR "Public Sector Digitalization" OR "Government Efficiency" OR "Civic Engagement" OR "Digital Democracy" OR "ICT in Governance" OR "Open Government Data" OR "E-Participation" OR "Automated Public Services" OR "Citizen-Centric Technology" OR "AI in Public Administration" OR "Blockchain in Government" OR "Government Transparency"</w:t>
      </w:r>
      <w:r w:rsidR="0059063D">
        <w:rPr>
          <w:rFonts w:ascii="Arial" w:hAnsi="Arial" w:cs="Arial"/>
          <w:szCs w:val="20"/>
        </w:rPr>
        <w:t>)</w:t>
      </w:r>
      <w:r w:rsidRPr="009D217F">
        <w:rPr>
          <w:rFonts w:ascii="Arial" w:hAnsi="Arial" w:cs="Arial"/>
          <w:szCs w:val="20"/>
        </w:rPr>
        <w:t xml:space="preserve">. produced 2,813 documents on the implementation of digitalization in local government administration. Selected publications are exported to MS Excel as many as 996 for processing, such as titles, abstracts, keywords, and year of publication. Based on PRISMA guidelines </w:t>
      </w:r>
      <w:r w:rsidR="00D61553" w:rsidRPr="009D217F">
        <w:rPr>
          <w:rFonts w:ascii="Arial" w:hAnsi="Arial" w:cs="Arial"/>
          <w:szCs w:val="20"/>
        </w:rPr>
        <w:fldChar w:fldCharType="begin" w:fldLock="1"/>
      </w:r>
      <w:r w:rsidR="009717CF">
        <w:rPr>
          <w:rFonts w:ascii="Arial" w:hAnsi="Arial" w:cs="Arial"/>
          <w:szCs w:val="20"/>
        </w:rPr>
        <w:instrText>ADDIN CSL_CITATION {"citationItems":[{"id":"ITEM-1","itemData":{"DOI":"10.1007/978-3-030-71921-0_11","ISBN":"9783030719210","abstract":"Reporting is the final step of the systematic review process. An accurate and reliable reporting of systematic reviews assists the end-users (clinicians, policymakers, funding agencies, guideline developers) in making informed and evidence-based decisions. Poor quality of reporting of systematic reviews was recognised as an issue as far back as the late'80s. An international group hence drafted the QUOROM statement (Quality of Reporting of Meta-analyses) in 1996 to provide guidelines for improving the quality of reporting. These guidelines were updated after addressing the conceptual and methodological issues and renamed as PRISMA (Preferred Reporting Items of Systematic reviews and Meta-Analyses) by a group of authors. PRISMA is an evidence-based minimum set of items for reporting systematic reviews and meta-analyses of randomised controlled trials (RCTs). However, it can also be used for reporting systematic reviews of non-RCTs. PRISMA guidelines help to convey the information transparently. This chapter is focussed on PRSMA checklist and its 27 items under seven domains.","author":[{"dropping-particle":"","family":"Athikarisamy","given":"Sam","non-dropping-particle":"","parse-names":false,"suffix":""},{"dropping-particle":"","family":"Patole","given":"Sanjay","non-dropping-particle":"","parse-names":false,"suffix":""}],"container-title":"Principles and Practice of Systematic Reviews and Meta-Analysis","id":"ITEM-1","issued":{"date-parts":[["2021"]]},"language":"English","page":"111-123","publisher":"Springer International Publishing","publisher-place":"King Edward Memorial Hospital for Women, Perth, 6008, WA, Australia","title":"Reporting of meta-analysis (PRISMA)","type":"chapter"},"uris":["http://www.mendeley.com/documents/?uuid=848d8854-c9c4-4f3f-9807-e8e269909d7c","http://www.mendeley.com/documents/?uuid=915664e3-6d26-4183-8d07-85daa444e204"]}],"mendeley":{"formattedCitation":"(Athikarisamy &amp; Patole, 2021)","plainTextFormattedCitation":"(Athikarisamy &amp; Patole, 2021)","previouslyFormattedCitation":"(Athikarisamy &amp; Patole, 2021)"},"properties":{"noteIndex":0},"schema":"https://github.com/citation-style-language/schema/raw/master/csl-citation.json"}</w:instrText>
      </w:r>
      <w:r w:rsidR="00D61553" w:rsidRPr="009D217F">
        <w:rPr>
          <w:rFonts w:ascii="Arial" w:hAnsi="Arial" w:cs="Arial"/>
          <w:szCs w:val="20"/>
        </w:rPr>
        <w:fldChar w:fldCharType="separate"/>
      </w:r>
      <w:r w:rsidR="00D61553" w:rsidRPr="004D5D1F">
        <w:rPr>
          <w:rFonts w:ascii="Arial" w:hAnsi="Arial" w:cs="Arial"/>
          <w:noProof/>
          <w:szCs w:val="20"/>
        </w:rPr>
        <w:t>(Athikarisamy &amp; Patole, 2021)</w:t>
      </w:r>
      <w:r w:rsidR="00D61553" w:rsidRPr="009D217F">
        <w:rPr>
          <w:rFonts w:ascii="Arial" w:hAnsi="Arial" w:cs="Arial"/>
          <w:szCs w:val="20"/>
        </w:rPr>
        <w:fldChar w:fldCharType="end"/>
      </w:r>
      <w:r w:rsidRPr="009D217F">
        <w:rPr>
          <w:rFonts w:ascii="Arial" w:hAnsi="Arial" w:cs="Arial"/>
          <w:szCs w:val="20"/>
        </w:rPr>
        <w:t xml:space="preserve">. and assisted by the flowchart tool PRISMA 2020 online </w:t>
      </w:r>
      <w:r w:rsidR="00D61553" w:rsidRPr="009D217F">
        <w:rPr>
          <w:rFonts w:ascii="Arial" w:hAnsi="Arial" w:cs="Arial"/>
          <w:szCs w:val="20"/>
        </w:rPr>
        <w:fldChar w:fldCharType="begin" w:fldLock="1"/>
      </w:r>
      <w:r w:rsidR="009717CF">
        <w:rPr>
          <w:rFonts w:ascii="Arial" w:hAnsi="Arial" w:cs="Arial"/>
          <w:szCs w:val="20"/>
        </w:rPr>
        <w:instrText>ADDIN CSL_CITATION {"citationItems":[{"id":"ITEM-1","itemData":{"DOI":"10.12688/f1000research.75449.2","ISSN":"20461402","PMID":"38813137","abstract":"Background: While the PRISMA 2020 statement is intended to guide the reporting of original systematic reviews, updated systematic reviews, and living systematic reviews (LSRs), its explanation and elaboration document notes that additional considerations for updated systematic reviews and LSRs may need to be addressed. This paper reports the protocol for developing an extension of the PRISMA 2020 statement for LSRs. Methods: We will follow the EQUATOR Network's guidance for developing health research reporting guidelines. We will review the literature to identify possible items of the PRISMA 2020 checklist that need modification, as well as new items that need to be added. Then, we will survey representatives of different stakeholder groups for their views on the proposed modifications of the PRISMA 2020 checklist. We will summarize, present, and discuss the results of the survey in an online meeting, aiming to reach consensus on the content of the LSR extension. We will then draft the checklist, explanation and elaboration for each item, and flow diagram for the PRISMA 2020 extension. Then, we will share these initial documents with stakeholder representatives for final feedback and approval. Discussion: We anticipate that the PRISMA 2020 extension for LSRs will benefit LSR authors, editors, and peer reviewers of LSRs, as well as different users of LSRs, including guideline developers, policy makers, healthcare providers, patients, and other stakeholders.","author":[{"dropping-particle":"","family":"Kahale","given":"Lara A.","non-dropping-particle":"","parse-names":false,"suffix":""},{"dropping-particle":"","family":"Piechotta","given":"Vanessa","non-dropping-particle":"","parse-names":false,"suffix":""},{"dropping-particle":"","family":"McKenzie","given":"Joanne E.","non-dropping-particle":"","parse-names":false,"suffix":""},{"dropping-particle":"","family":"Dorando","given":"Elena","non-dropping-particle":"","parse-names":false,"suffix":""},{"dropping-particle":"","family":"Iannizzi","given":"Claire","non-dropping-particle":"","parse-names":false,"suffix":""},{"dropping-particle":"","family":"Barker","given":"James M.","non-dropping-particle":"","parse-names":false,"suffix":""},{"dropping-particle":"","family":"Page","given":"Matthew J.","non-dropping-particle":"","parse-names":false,"suffix":""},{"dropping-particle":"","family":"Skoetz","given":"Nicole","non-dropping-particle":"","parse-names":false,"suffix":""},{"dropping-particle":"","family":"Akl","given":"Elie A.","non-dropping-particle":"","parse-names":false,"suffix":""}],"container-title":"F1000Research","id":"ITEM-1","issued":{"date-parts":[["2022"]]},"language":"English","page":"109","publisher-place":"Cochrane Central Executive, Cochrane, London, UK","title":"Extension of the PRISMA 2020 statement for living systematic reviews (LSRs): protocol","type":"article-journal","volume":"11"},"uris":["http://www.mendeley.com/documents/?uuid=c5d9694c-2158-4acd-8c35-3263cd7fabc3","http://www.mendeley.com/documents/?uuid=19e08de1-4171-4f52-bafc-d0fb47f5f514"]}],"mendeley":{"formattedCitation":"(Kahale et al., 2022)","plainTextFormattedCitation":"(Kahale et al., 2022)","previouslyFormattedCitation":"(Kahale et al., 2022)"},"properties":{"noteIndex":0},"schema":"https://github.com/citation-style-language/schema/raw/master/csl-citation.json"}</w:instrText>
      </w:r>
      <w:r w:rsidR="00D61553" w:rsidRPr="009D217F">
        <w:rPr>
          <w:rFonts w:ascii="Arial" w:hAnsi="Arial" w:cs="Arial"/>
          <w:szCs w:val="20"/>
        </w:rPr>
        <w:fldChar w:fldCharType="separate"/>
      </w:r>
      <w:r w:rsidR="00D61553" w:rsidRPr="004D5D1F">
        <w:rPr>
          <w:rFonts w:ascii="Arial" w:hAnsi="Arial" w:cs="Arial"/>
          <w:noProof/>
          <w:szCs w:val="20"/>
        </w:rPr>
        <w:t>(Kahale et al., 2022)</w:t>
      </w:r>
      <w:r w:rsidR="00D61553" w:rsidRPr="009D217F">
        <w:rPr>
          <w:rFonts w:ascii="Arial" w:hAnsi="Arial" w:cs="Arial"/>
          <w:szCs w:val="20"/>
        </w:rPr>
        <w:fldChar w:fldCharType="end"/>
      </w:r>
      <w:r w:rsidRPr="009D217F">
        <w:rPr>
          <w:rFonts w:ascii="Arial" w:hAnsi="Arial" w:cs="Arial"/>
          <w:szCs w:val="20"/>
        </w:rPr>
        <w:t>. The modified framework is used to describe the process of identifying, evaluating, and refining structured literature. This adjustment ensures alignment with the research objectives in mapping digital transformation strategies to improve bureaucratic efficiency and public participation in local government.</w:t>
      </w:r>
    </w:p>
    <w:p w14:paraId="657AD0EA" w14:textId="77777777" w:rsidR="00F94379" w:rsidRDefault="00F94379" w:rsidP="009D217F">
      <w:pPr>
        <w:spacing w:after="0" w:line="276" w:lineRule="auto"/>
        <w:jc w:val="center"/>
        <w:rPr>
          <w:rFonts w:ascii="Arial" w:eastAsia="Calibri" w:hAnsi="Arial" w:cs="Arial"/>
          <w:b/>
          <w:szCs w:val="20"/>
          <w:lang w:val="id-ID"/>
        </w:rPr>
      </w:pPr>
    </w:p>
    <w:p w14:paraId="250BDD71" w14:textId="77777777" w:rsidR="00F94379" w:rsidRDefault="00F94379" w:rsidP="009D217F">
      <w:pPr>
        <w:spacing w:after="0" w:line="276" w:lineRule="auto"/>
        <w:jc w:val="center"/>
        <w:rPr>
          <w:rFonts w:ascii="Arial" w:eastAsia="Calibri" w:hAnsi="Arial" w:cs="Arial"/>
          <w:b/>
          <w:szCs w:val="20"/>
          <w:lang w:val="id-ID"/>
        </w:rPr>
      </w:pPr>
    </w:p>
    <w:p w14:paraId="17A97D5D" w14:textId="77777777" w:rsidR="00F94379" w:rsidRDefault="00F94379" w:rsidP="009D217F">
      <w:pPr>
        <w:spacing w:after="0" w:line="276" w:lineRule="auto"/>
        <w:jc w:val="center"/>
        <w:rPr>
          <w:rFonts w:ascii="Arial" w:eastAsia="Calibri" w:hAnsi="Arial" w:cs="Arial"/>
          <w:b/>
          <w:szCs w:val="20"/>
          <w:lang w:val="id-ID"/>
        </w:rPr>
      </w:pPr>
    </w:p>
    <w:p w14:paraId="60B113BE" w14:textId="77777777" w:rsidR="00F94379" w:rsidRDefault="00F94379" w:rsidP="009D217F">
      <w:pPr>
        <w:spacing w:after="0" w:line="276" w:lineRule="auto"/>
        <w:jc w:val="center"/>
        <w:rPr>
          <w:rFonts w:ascii="Arial" w:eastAsia="Calibri" w:hAnsi="Arial" w:cs="Arial"/>
          <w:b/>
          <w:szCs w:val="20"/>
          <w:lang w:val="id-ID"/>
        </w:rPr>
      </w:pPr>
    </w:p>
    <w:p w14:paraId="70F82799" w14:textId="77777777" w:rsidR="00F94379" w:rsidRDefault="00F94379" w:rsidP="009D217F">
      <w:pPr>
        <w:spacing w:after="0" w:line="276" w:lineRule="auto"/>
        <w:jc w:val="center"/>
        <w:rPr>
          <w:rFonts w:ascii="Arial" w:eastAsia="Calibri" w:hAnsi="Arial" w:cs="Arial"/>
          <w:b/>
          <w:szCs w:val="20"/>
          <w:lang w:val="id-ID"/>
        </w:rPr>
      </w:pPr>
    </w:p>
    <w:p w14:paraId="51601D44" w14:textId="044F4AE0" w:rsidR="009D217F" w:rsidRPr="009D217F" w:rsidRDefault="009D217F" w:rsidP="009D217F">
      <w:pPr>
        <w:spacing w:after="0" w:line="276" w:lineRule="auto"/>
        <w:jc w:val="center"/>
        <w:rPr>
          <w:rFonts w:ascii="Arial" w:eastAsia="Calibri" w:hAnsi="Arial" w:cs="Arial"/>
          <w:b/>
          <w:szCs w:val="20"/>
          <w:lang w:val="id-ID"/>
        </w:rPr>
      </w:pPr>
      <w:proofErr w:type="spellStart"/>
      <w:r w:rsidRPr="009D217F">
        <w:rPr>
          <w:rFonts w:ascii="Arial" w:eastAsia="Calibri" w:hAnsi="Arial" w:cs="Arial"/>
          <w:b/>
          <w:szCs w:val="20"/>
          <w:lang w:val="id-ID"/>
        </w:rPr>
        <w:t>Figure</w:t>
      </w:r>
      <w:proofErr w:type="spellEnd"/>
      <w:r w:rsidRPr="009D217F">
        <w:rPr>
          <w:rFonts w:ascii="Arial" w:eastAsia="Calibri" w:hAnsi="Arial" w:cs="Arial"/>
          <w:b/>
          <w:szCs w:val="20"/>
          <w:lang w:val="id-ID"/>
        </w:rPr>
        <w:t xml:space="preserve"> 1. PRISMA </w:t>
      </w:r>
      <w:proofErr w:type="spellStart"/>
      <w:r w:rsidRPr="009D217F">
        <w:rPr>
          <w:rFonts w:ascii="Arial" w:eastAsia="Calibri" w:hAnsi="Arial" w:cs="Arial"/>
          <w:b/>
          <w:szCs w:val="20"/>
          <w:lang w:val="id-ID"/>
        </w:rPr>
        <w:t>research</w:t>
      </w:r>
      <w:proofErr w:type="spellEnd"/>
      <w:r w:rsidRPr="009D217F">
        <w:rPr>
          <w:rFonts w:ascii="Arial" w:eastAsia="Calibri" w:hAnsi="Arial" w:cs="Arial"/>
          <w:b/>
          <w:szCs w:val="20"/>
          <w:lang w:val="id-ID"/>
        </w:rPr>
        <w:t xml:space="preserve"> </w:t>
      </w:r>
      <w:proofErr w:type="spellStart"/>
      <w:r w:rsidRPr="009D217F">
        <w:rPr>
          <w:rFonts w:ascii="Arial" w:eastAsia="Calibri" w:hAnsi="Arial" w:cs="Arial"/>
          <w:b/>
          <w:szCs w:val="20"/>
          <w:lang w:val="id-ID"/>
        </w:rPr>
        <w:t>method</w:t>
      </w:r>
      <w:proofErr w:type="spellEnd"/>
    </w:p>
    <w:p w14:paraId="77FDBE74" w14:textId="77777777" w:rsidR="009D217F" w:rsidRDefault="009D217F" w:rsidP="00081EDE">
      <w:pPr>
        <w:spacing w:after="0" w:line="240" w:lineRule="auto"/>
        <w:jc w:val="center"/>
        <w:rPr>
          <w:rFonts w:ascii="Times New Roman" w:eastAsia="Times New Roman" w:hAnsi="Times New Roman" w:cs="Times New Roman"/>
          <w:sz w:val="24"/>
          <w:szCs w:val="24"/>
        </w:rPr>
      </w:pPr>
      <w:r w:rsidRPr="002F2E68">
        <w:rPr>
          <w:rFonts w:ascii="Times New Roman" w:hAnsi="Times New Roman" w:cs="Times New Roman"/>
          <w:b/>
          <w:bCs/>
          <w:noProof/>
          <w:sz w:val="24"/>
          <w:szCs w:val="24"/>
        </w:rPr>
        <w:drawing>
          <wp:inline distT="0" distB="0" distL="0" distR="0" wp14:anchorId="3E8C6261" wp14:editId="5E9EAA45">
            <wp:extent cx="4320000" cy="3867998"/>
            <wp:effectExtent l="0" t="0" r="4445" b="0"/>
            <wp:docPr id="37641121" name="Picture 1" descr="A flowchart of data&#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641121" name="Picture 1" descr="A flowchart of data&#10;&#10;AI-generated content may be incorrect."/>
                    <pic:cNvPicPr/>
                  </pic:nvPicPr>
                  <pic:blipFill>
                    <a:blip r:embed="rId8"/>
                    <a:stretch>
                      <a:fillRect/>
                    </a:stretch>
                  </pic:blipFill>
                  <pic:spPr>
                    <a:xfrm>
                      <a:off x="0" y="0"/>
                      <a:ext cx="4320000" cy="3867998"/>
                    </a:xfrm>
                    <a:prstGeom prst="rect">
                      <a:avLst/>
                    </a:prstGeom>
                  </pic:spPr>
                </pic:pic>
              </a:graphicData>
            </a:graphic>
          </wp:inline>
        </w:drawing>
      </w:r>
    </w:p>
    <w:p w14:paraId="07F3663F" w14:textId="06A70930" w:rsidR="00E15DFB" w:rsidRPr="004D5D1F" w:rsidRDefault="00E15DFB" w:rsidP="00E15DFB">
      <w:pPr>
        <w:spacing w:after="0" w:line="276" w:lineRule="auto"/>
        <w:jc w:val="center"/>
        <w:rPr>
          <w:rFonts w:ascii="Arial" w:eastAsia="Calibri" w:hAnsi="Arial" w:cs="Arial"/>
          <w:b/>
          <w:szCs w:val="20"/>
          <w:lang w:val="id-ID"/>
        </w:rPr>
      </w:pPr>
      <w:proofErr w:type="spellStart"/>
      <w:r w:rsidRPr="00E15DFB">
        <w:rPr>
          <w:rFonts w:ascii="Arial" w:eastAsia="Calibri" w:hAnsi="Arial" w:cs="Arial"/>
          <w:b/>
          <w:szCs w:val="20"/>
          <w:lang w:val="id-ID"/>
        </w:rPr>
        <w:t>Source</w:t>
      </w:r>
      <w:proofErr w:type="spellEnd"/>
      <w:r w:rsidRPr="00E15DFB">
        <w:rPr>
          <w:rFonts w:ascii="Arial" w:eastAsia="Calibri" w:hAnsi="Arial" w:cs="Arial"/>
          <w:b/>
          <w:szCs w:val="20"/>
          <w:lang w:val="id-ID"/>
        </w:rPr>
        <w:t xml:space="preserve">: </w:t>
      </w:r>
      <w:proofErr w:type="spellStart"/>
      <w:r w:rsidRPr="00E15DFB">
        <w:rPr>
          <w:rFonts w:ascii="Arial" w:eastAsia="Calibri" w:hAnsi="Arial" w:cs="Arial"/>
          <w:b/>
          <w:szCs w:val="20"/>
          <w:lang w:val="id-ID"/>
        </w:rPr>
        <w:t>Adapted</w:t>
      </w:r>
      <w:proofErr w:type="spellEnd"/>
      <w:r w:rsidRPr="00E15DFB">
        <w:rPr>
          <w:rFonts w:ascii="Arial" w:eastAsia="Calibri" w:hAnsi="Arial" w:cs="Arial"/>
          <w:b/>
          <w:szCs w:val="20"/>
          <w:lang w:val="id-ID"/>
        </w:rPr>
        <w:t xml:space="preserve"> </w:t>
      </w:r>
      <w:proofErr w:type="spellStart"/>
      <w:r w:rsidRPr="00E15DFB">
        <w:rPr>
          <w:rFonts w:ascii="Arial" w:eastAsia="Calibri" w:hAnsi="Arial" w:cs="Arial"/>
          <w:b/>
          <w:szCs w:val="20"/>
          <w:lang w:val="id-ID"/>
        </w:rPr>
        <w:t>from</w:t>
      </w:r>
      <w:proofErr w:type="spellEnd"/>
      <w:r w:rsidRPr="00E15DFB">
        <w:rPr>
          <w:rFonts w:ascii="Arial" w:eastAsia="Calibri" w:hAnsi="Arial" w:cs="Arial"/>
          <w:b/>
          <w:szCs w:val="20"/>
          <w:lang w:val="id-ID"/>
        </w:rPr>
        <w:t xml:space="preserve"> </w:t>
      </w:r>
      <w:proofErr w:type="spellStart"/>
      <w:r w:rsidR="00D93CCB" w:rsidRPr="00D93CCB">
        <w:rPr>
          <w:rFonts w:ascii="Arial" w:eastAsia="Calibri" w:hAnsi="Arial" w:cs="Arial"/>
          <w:b/>
          <w:szCs w:val="20"/>
          <w:lang w:val="id-ID"/>
        </w:rPr>
        <w:t>Page</w:t>
      </w:r>
      <w:proofErr w:type="spellEnd"/>
      <w:r w:rsidR="00D93CCB" w:rsidRPr="00D93CCB">
        <w:rPr>
          <w:rFonts w:ascii="Arial" w:eastAsia="Calibri" w:hAnsi="Arial" w:cs="Arial"/>
          <w:b/>
          <w:szCs w:val="20"/>
          <w:lang w:val="id-ID"/>
        </w:rPr>
        <w:t xml:space="preserve"> </w:t>
      </w:r>
      <w:proofErr w:type="spellStart"/>
      <w:r w:rsidR="00D93CCB" w:rsidRPr="00D93CCB">
        <w:rPr>
          <w:rFonts w:ascii="Arial" w:eastAsia="Calibri" w:hAnsi="Arial" w:cs="Arial"/>
          <w:b/>
          <w:szCs w:val="20"/>
          <w:lang w:val="id-ID"/>
        </w:rPr>
        <w:t>et</w:t>
      </w:r>
      <w:proofErr w:type="spellEnd"/>
      <w:r w:rsidR="00D93CCB" w:rsidRPr="00D93CCB">
        <w:rPr>
          <w:rFonts w:ascii="Arial" w:eastAsia="Calibri" w:hAnsi="Arial" w:cs="Arial"/>
          <w:b/>
          <w:szCs w:val="20"/>
          <w:lang w:val="id-ID"/>
        </w:rPr>
        <w:t xml:space="preserve"> </w:t>
      </w:r>
      <w:proofErr w:type="spellStart"/>
      <w:r w:rsidR="00D93CCB" w:rsidRPr="00D93CCB">
        <w:rPr>
          <w:rFonts w:ascii="Arial" w:eastAsia="Calibri" w:hAnsi="Arial" w:cs="Arial"/>
          <w:b/>
          <w:szCs w:val="20"/>
          <w:lang w:val="id-ID"/>
        </w:rPr>
        <w:t>al.</w:t>
      </w:r>
      <w:proofErr w:type="spellEnd"/>
      <w:r w:rsidR="00D93CCB" w:rsidRPr="00D93CCB">
        <w:rPr>
          <w:rFonts w:ascii="Arial" w:eastAsia="Calibri" w:hAnsi="Arial" w:cs="Arial"/>
          <w:b/>
          <w:szCs w:val="20"/>
          <w:lang w:val="id-ID"/>
        </w:rPr>
        <w:t xml:space="preserve"> (2021)</w:t>
      </w:r>
      <w:r w:rsidRPr="00E15DFB">
        <w:rPr>
          <w:rFonts w:ascii="Arial" w:eastAsia="Calibri" w:hAnsi="Arial" w:cs="Arial"/>
          <w:b/>
          <w:szCs w:val="20"/>
          <w:lang w:val="id-ID"/>
        </w:rPr>
        <w:t xml:space="preserve"> </w:t>
      </w:r>
      <w:proofErr w:type="spellStart"/>
      <w:r w:rsidRPr="00E15DFB">
        <w:rPr>
          <w:rFonts w:ascii="Arial" w:eastAsia="Calibri" w:hAnsi="Arial" w:cs="Arial"/>
          <w:b/>
          <w:szCs w:val="20"/>
          <w:lang w:val="id-ID"/>
        </w:rPr>
        <w:t>generated</w:t>
      </w:r>
      <w:proofErr w:type="spellEnd"/>
      <w:r w:rsidRPr="00E15DFB">
        <w:rPr>
          <w:rFonts w:ascii="Arial" w:eastAsia="Calibri" w:hAnsi="Arial" w:cs="Arial"/>
          <w:b/>
          <w:szCs w:val="20"/>
          <w:lang w:val="id-ID"/>
        </w:rPr>
        <w:t xml:space="preserve"> </w:t>
      </w:r>
      <w:proofErr w:type="spellStart"/>
      <w:r w:rsidRPr="00E15DFB">
        <w:rPr>
          <w:rFonts w:ascii="Arial" w:eastAsia="Calibri" w:hAnsi="Arial" w:cs="Arial"/>
          <w:b/>
          <w:szCs w:val="20"/>
          <w:lang w:val="id-ID"/>
        </w:rPr>
        <w:t>thought</w:t>
      </w:r>
      <w:proofErr w:type="spellEnd"/>
      <w:r w:rsidRPr="00E15DFB">
        <w:rPr>
          <w:rFonts w:ascii="Arial" w:eastAsia="Calibri" w:hAnsi="Arial" w:cs="Arial"/>
          <w:b/>
          <w:szCs w:val="20"/>
          <w:lang w:val="id-ID"/>
        </w:rPr>
        <w:t xml:space="preserve"> Power </w:t>
      </w:r>
      <w:proofErr w:type="spellStart"/>
      <w:r w:rsidRPr="00E15DFB">
        <w:rPr>
          <w:rFonts w:ascii="Arial" w:eastAsia="Calibri" w:hAnsi="Arial" w:cs="Arial"/>
          <w:b/>
          <w:szCs w:val="20"/>
          <w:lang w:val="id-ID"/>
        </w:rPr>
        <w:t>Point</w:t>
      </w:r>
      <w:proofErr w:type="spellEnd"/>
    </w:p>
    <w:p w14:paraId="2A89CF94" w14:textId="201D3181" w:rsidR="009D217F" w:rsidRPr="009D217F" w:rsidRDefault="009D217F" w:rsidP="009D217F">
      <w:pPr>
        <w:spacing w:after="0" w:line="276" w:lineRule="auto"/>
        <w:jc w:val="both"/>
        <w:rPr>
          <w:rFonts w:ascii="Arial" w:hAnsi="Arial" w:cs="Arial"/>
          <w:b/>
          <w:i/>
          <w:szCs w:val="20"/>
        </w:rPr>
      </w:pPr>
      <w:r w:rsidRPr="009D217F">
        <w:rPr>
          <w:rFonts w:ascii="Arial" w:hAnsi="Arial" w:cs="Arial"/>
          <w:b/>
          <w:i/>
          <w:szCs w:val="20"/>
        </w:rPr>
        <w:t>Data analysis and visualization</w:t>
      </w:r>
    </w:p>
    <w:p w14:paraId="7C39F8DC" w14:textId="7EB30A4A" w:rsidR="00CC2B2F" w:rsidRDefault="002F40B4" w:rsidP="00CC2B2F">
      <w:pPr>
        <w:spacing w:after="0" w:line="276" w:lineRule="auto"/>
        <w:ind w:firstLine="851"/>
        <w:jc w:val="both"/>
        <w:rPr>
          <w:rFonts w:ascii="Arial" w:hAnsi="Arial" w:cs="Arial"/>
          <w:szCs w:val="20"/>
        </w:rPr>
      </w:pPr>
      <w:r w:rsidRPr="002F40B4">
        <w:rPr>
          <w:rFonts w:ascii="Arial" w:hAnsi="Arial" w:cs="Arial"/>
          <w:szCs w:val="20"/>
        </w:rPr>
        <w:t>Using RStudio-</w:t>
      </w:r>
      <w:proofErr w:type="spellStart"/>
      <w:r w:rsidRPr="002F40B4">
        <w:rPr>
          <w:rFonts w:ascii="Arial" w:hAnsi="Arial" w:cs="Arial"/>
          <w:szCs w:val="20"/>
        </w:rPr>
        <w:t>Biblioshiny</w:t>
      </w:r>
      <w:proofErr w:type="spellEnd"/>
      <w:r w:rsidRPr="002F40B4">
        <w:rPr>
          <w:rFonts w:ascii="Arial" w:hAnsi="Arial" w:cs="Arial"/>
          <w:szCs w:val="20"/>
        </w:rPr>
        <w:t xml:space="preserve"> and </w:t>
      </w:r>
      <w:proofErr w:type="spellStart"/>
      <w:r w:rsidRPr="002F40B4">
        <w:rPr>
          <w:rFonts w:ascii="Arial" w:hAnsi="Arial" w:cs="Arial"/>
          <w:szCs w:val="20"/>
        </w:rPr>
        <w:t>CiteSpace</w:t>
      </w:r>
      <w:proofErr w:type="spellEnd"/>
      <w:r w:rsidRPr="002F40B4">
        <w:rPr>
          <w:rFonts w:ascii="Arial" w:hAnsi="Arial" w:cs="Arial"/>
          <w:szCs w:val="20"/>
        </w:rPr>
        <w:t xml:space="preserve">, which help visualize literature networks and capture emerging trends, bibliometric maps were constructed utilizing 996 documents pertaining to the digital transformation of local government </w:t>
      </w:r>
      <w:bookmarkStart w:id="0" w:name="_Hlk202385921"/>
      <w:r w:rsidR="006131EA" w:rsidRPr="009D217F">
        <w:rPr>
          <w:rFonts w:ascii="Arial" w:hAnsi="Arial" w:cs="Arial"/>
          <w:szCs w:val="20"/>
        </w:rPr>
        <w:fldChar w:fldCharType="begin" w:fldLock="1"/>
      </w:r>
      <w:r w:rsidR="009717CF">
        <w:rPr>
          <w:rFonts w:ascii="Arial" w:hAnsi="Arial" w:cs="Arial"/>
          <w:szCs w:val="20"/>
        </w:rPr>
        <w:instrText>ADDIN CSL_CITATION {"citationItems":[{"id":"ITEM-1","itemData":{"DOI":"10.1007/978-3-030-90179-0_60","ISBN":"9783030901783","ISSN":"18650937","abstract":"This study aims to find a model for guaranteeing the security of big data information using a bibliometric analysis approach. The data of this research are 710 international indexed scientific articles (Scopus) in the form of (Article, Book Chapter and Conference Paper). Data was collected using the keyword (“security information”) AND (“assurance big data”) and was limited to 2016 to 2020. Bibliometric indicators, such as citations, were used to identify the overall theme structure. The data analysis phase was carried out with the analysis tools of VOSviewer and NVivo Plus 12 software. The use of VOSviewer will map the main theme trends in the research area so that it can find new literature. The main theme mappings are then integrated in the Nvivo Plus12 software analysis tool, to produce large theme visualizations. The results show that the author, institution, and theme keywords infographics that: Research studies on information security and assurance for big data have an increasing trend in the number of articles in the last five years; The study of information security and assurance for big data based on network analysis reveals four important themes of concern to the authors, meaning intelligence, privacy, access, and smart cities. In addition, the Government’s big data information security model pays more attention to data security and privacy, public, social, and trends through a cyber physical social system.","author":[{"dropping-particle":"","family":"Nurmandi","given":"Achmad","non-dropping-particle":"","parse-names":false,"suffix":""},{"dropping-particle":"","family":"Kurniawan","given":"Danang","non-dropping-particle":"","parse-names":false,"suffix":""},{"dropping-particle":"","family":"Misran","given":"","non-dropping-particle":"","parse-names":false,"suffix":""},{"dropping-particle":"","family":"Salahudin","given":"","non-dropping-particle":"","parse-names":false,"suffix":""}],"container-title":"Communications in Computer and Information Science","id":"ITEM-1","issued":{"date-parts":[["2021"]]},"page":"472-479","publisher":"Springer","title":"A Meta-analysis of Big Data Security: How the Government Formulates a Model of Public Information and Security Assurance into Big Data","type":"chapter","volume":"1499 CCIS"},"uris":["http://www.mendeley.com/documents/?uuid=87598baa-ccb5-4e1a-b552-9686525f50e1","http://www.mendeley.com/documents/?uuid=fc331064-1542-4c9b-bd41-153bbb8fc5ab"]},{"id":"ITEM-2","itemData":{"DOI":"10.1007/978-3-031-25344-7_6","ISBN":"9783031253430","ISSN":"23673389","abstract":"This study aims to explain the trend of research publications on ICT use in government institutions. This type of research uses a qualitative. The source of data in this study is the scientific research in the Scopus database from 2015 to 2022. Findings in this study, India is the country with the highest contribution. The ACM international conference proceedings series is the source that publishes the most research this theme. The University of Johannesburg is an institution that has the highest contribution. The research publication with the theme of ICT use in government institutions is closely related to the e-government keyword. Moreover, Topics that have good opportunities for future research are government use of ICT for education. Topic categorization of research themes on the use of ICT in government institutions is e-government, smart city, technologies and public. Furthermore, the most dominant narrative themes are the words government and smart city.","author":[{"dropping-particle":"","family":"Syahputra","given":"Dicky Izmi","non-dropping-particle":"","parse-names":false,"suffix":""},{"dropping-particle":"","family":"Nurmandi","given":"Achmad","non-dropping-particle":"","parse-names":false,"suffix":""},{"dropping-particle":"","family":"Subekti","given":"Dimas","non-dropping-particle":"","parse-names":false,"suffix":""}],"container-title":"Lecture Notes in Networks and Systems","id":"ITEM-2","issued":{"date-parts":[["2023"]]},"page":"54-67","publisher":"Springer","title":"Bibliometric Analysis of Research Publication Trends on the ICT Use in Government Institutions from 2015–2022","type":"chapter","volume":"624 LNNS"},"uris":["http://www.mendeley.com/documents/?uuid=1e2b04b3-9858-43e6-8622-2a5960565ca3","http://www.mendeley.com/documents/?uuid=1933ca11-4c76-43cb-bfa3-d237e4df4181"]}],"mendeley":{"formattedCitation":"(Nurmandi et al., 2021; Syahputra et al., 2023)","plainTextFormattedCitation":"(Nurmandi et al., 2021; Syahputra et al., 2023)","previouslyFormattedCitation":"(Nurmandi et al., 2021; Syahputra et al., 2023)"},"properties":{"noteIndex":0},"schema":"https://github.com/citation-style-language/schema/raw/master/csl-citation.json"}</w:instrText>
      </w:r>
      <w:r w:rsidR="006131EA" w:rsidRPr="009D217F">
        <w:rPr>
          <w:rFonts w:ascii="Arial" w:hAnsi="Arial" w:cs="Arial"/>
          <w:szCs w:val="20"/>
        </w:rPr>
        <w:fldChar w:fldCharType="separate"/>
      </w:r>
      <w:r w:rsidR="006131EA" w:rsidRPr="004D5D1F">
        <w:rPr>
          <w:rFonts w:ascii="Arial" w:hAnsi="Arial" w:cs="Arial"/>
          <w:noProof/>
          <w:szCs w:val="20"/>
        </w:rPr>
        <w:t>(Nurmandi et al., 2021; Syahputra et al., 2023)</w:t>
      </w:r>
      <w:r w:rsidR="006131EA" w:rsidRPr="009D217F">
        <w:rPr>
          <w:rFonts w:ascii="Arial" w:hAnsi="Arial" w:cs="Arial"/>
          <w:szCs w:val="20"/>
        </w:rPr>
        <w:fldChar w:fldCharType="end"/>
      </w:r>
      <w:bookmarkEnd w:id="0"/>
      <w:r w:rsidR="006131EA">
        <w:rPr>
          <w:rFonts w:ascii="Arial" w:hAnsi="Arial" w:cs="Arial"/>
          <w:szCs w:val="20"/>
        </w:rPr>
        <w:t xml:space="preserve">. </w:t>
      </w:r>
      <w:r w:rsidRPr="002F40B4">
        <w:rPr>
          <w:rFonts w:ascii="Arial" w:hAnsi="Arial" w:cs="Arial"/>
          <w:szCs w:val="20"/>
        </w:rPr>
        <w:t>As part of this research, RStudio-</w:t>
      </w:r>
      <w:proofErr w:type="spellStart"/>
      <w:r w:rsidRPr="002F40B4">
        <w:rPr>
          <w:rFonts w:ascii="Arial" w:hAnsi="Arial" w:cs="Arial"/>
          <w:szCs w:val="20"/>
        </w:rPr>
        <w:t>Biblioshiny</w:t>
      </w:r>
      <w:proofErr w:type="spellEnd"/>
      <w:r w:rsidRPr="002F40B4">
        <w:rPr>
          <w:rFonts w:ascii="Arial" w:hAnsi="Arial" w:cs="Arial"/>
          <w:szCs w:val="20"/>
        </w:rPr>
        <w:t xml:space="preserve"> was also used to perform statistical analysis and create tree maps, trend and cluster visualizations, which aid in the mapping of not only technological innovations in public administration but also enhanced citizen engagement </w:t>
      </w:r>
      <w:r w:rsidR="006131EA" w:rsidRPr="009D217F">
        <w:rPr>
          <w:rFonts w:ascii="Arial" w:hAnsi="Arial" w:cs="Arial"/>
          <w:szCs w:val="20"/>
        </w:rPr>
        <w:fldChar w:fldCharType="begin" w:fldLock="1"/>
      </w:r>
      <w:r w:rsidR="009717CF">
        <w:rPr>
          <w:rFonts w:ascii="Arial" w:hAnsi="Arial" w:cs="Arial"/>
          <w:szCs w:val="20"/>
        </w:rPr>
        <w:instrText>ADDIN CSL_CITATION {"citationItems":[{"id":"ITEM-1","itemData":{"DOI":"10.1016/j.gfs.2021.100517","ISSN":"22119124","abstract":"This study carried out a bibliometric analysis to critically review the evolution of the agri-food supply chain (AFSC) research field over the period of 2008–2019. A set of 1236 articles was analyzed from the Web of Science database. Besides using different analytical scientometric tools (topic mapping, co-citation, co-authorship and overlay visualization networks), this study identified frequently-used keywords, new and hot research topics and frequently-studied supply chain management (SCM) practices. Frequently used keywords are food supply chain, food waste, sustainability, food safety, SCM, food industry, and food security. New research themes include contract, blockchain, internet of things, resilience, and short food supply chain, a topic that demands further research especially due to the international COVID-19 pandemic and the need of farmers to be closer to the consumers. Hot research topics, that is, subjects that have been studied in highly cited papers were also identified include life cycle assessment, environmental impact, packaging, water use, food waste prevention, food waste generation, blockchain and carbon footprint. Among SCM practices, this study observed that risk and sustainable SCM are frequently used keywords. Procurement and reverse logistics were observed in fewer studies. SCM, food waste, food quality, GHG emissions and risk management are sustainable SCM practices frequently observed.","author":[{"dropping-particle":"","family":"Barbosa","given":"Marcelo Werneck","non-dropping-particle":"","parse-names":false,"suffix":""}],"container-title":"Global Food Security","id":"ITEM-1","issued":{"date-parts":[["2021","3"]]},"page":"100517","title":"Uncovering research streams on agri-food supply chain management: A bibliometric study","type":"article-journal","volume":"28"},"uris":["http://www.mendeley.com/documents/?uuid=fdab5e68-0f94-4f07-82de-6e9b79e91efc","http://www.mendeley.com/documents/?uuid=274a7774-a0bf-404b-b1b8-9ca7a8017ded"]},{"id":"ITEM-2","itemData":{"DOI":"10.1016/j.sbspro.2015.01.260","ISSN":"18770428","abstract":"Prior studies determined the importance of study of professional competencies under eight approaches: 1)workplace; 2)behavioral theory; 3)business strategy; 4)holistic approach; 5)engineering and technological context; 6)higher education; 7)organizational psychology; and 8)cognitive and motivational approach. The aim to delve deeper the cognitive-motivational aspect is to determine the relationship between these aspects. Thereupon we use techniques of scientific domain analysis as scientific analysis of the patterns of co-occurrence and co-citation in the research literature indexed in Scopus, bibliographic records are analyzed for relating the theories of the most representative authors and key terms found grouped in clusters research to prove that An individual's learning is proportional to the motivation provided to him or her, which means that it is necessary to know the personal aspects of each individual in the formation of professional competencies. Other factors affected by motivation are goals and achievements.","author":[{"dropping-particle":"","family":"Chanduví","given":"Dante Arturo Guerrero","non-dropping-particle":"","parse-names":false,"suffix":""},{"dropping-particle":"","family":"Lama","given":"Gerson La Rosa","non-dropping-particle":"","parse-names":false,"suffix":""},{"dropping-particle":"","family":"Morey","given":"Natalia Díaz","non-dropping-particle":"","parse-names":false,"suffix":""}],"container-title":"Procedia - Social and Behavioral Sciences","id":"ITEM-2","issued":{"date-parts":[["2015","1"]]},"page":"1400-1409","title":"Analysis of Research Literature of Professional Competency Models with a Cognitive-motivational Approach","type":"article-journal","volume":"171"},"uris":["http://www.mendeley.com/documents/?uuid=3560f447-0807-4d6c-9fc4-72dabb2668bc","http://www.mendeley.com/documents/?uuid=a31e4e33-8cb5-44f6-afa6-85e408b36b68"]}],"mendeley":{"formattedCitation":"(Barbosa, 2021; Chanduví et al., 2015)","plainTextFormattedCitation":"(Barbosa, 2021; Chanduví et al., 2015)","previouslyFormattedCitation":"(Barbosa, 2021; Chanduví et al., 2015)"},"properties":{"noteIndex":0},"schema":"https://github.com/citation-style-language/schema/raw/master/csl-citation.json"}</w:instrText>
      </w:r>
      <w:r w:rsidR="006131EA" w:rsidRPr="009D217F">
        <w:rPr>
          <w:rFonts w:ascii="Arial" w:hAnsi="Arial" w:cs="Arial"/>
          <w:szCs w:val="20"/>
        </w:rPr>
        <w:fldChar w:fldCharType="separate"/>
      </w:r>
      <w:r w:rsidR="006131EA" w:rsidRPr="004D5D1F">
        <w:rPr>
          <w:rFonts w:ascii="Arial" w:hAnsi="Arial" w:cs="Arial"/>
          <w:noProof/>
          <w:szCs w:val="20"/>
        </w:rPr>
        <w:t>(Barbosa, 2021; Chanduví et al., 2015)</w:t>
      </w:r>
      <w:r w:rsidR="006131EA" w:rsidRPr="009D217F">
        <w:rPr>
          <w:rFonts w:ascii="Arial" w:hAnsi="Arial" w:cs="Arial"/>
          <w:szCs w:val="20"/>
        </w:rPr>
        <w:fldChar w:fldCharType="end"/>
      </w:r>
      <w:r w:rsidR="006131EA" w:rsidRPr="009D217F">
        <w:rPr>
          <w:rFonts w:ascii="Arial" w:hAnsi="Arial" w:cs="Arial"/>
          <w:szCs w:val="20"/>
        </w:rPr>
        <w:t>.</w:t>
      </w:r>
    </w:p>
    <w:p w14:paraId="3CC10608" w14:textId="77777777" w:rsidR="00CC2B2F" w:rsidRPr="00CC2B2F" w:rsidRDefault="00CC2B2F" w:rsidP="00CC2B2F">
      <w:pPr>
        <w:spacing w:after="0" w:line="276" w:lineRule="auto"/>
        <w:ind w:firstLine="851"/>
        <w:jc w:val="both"/>
        <w:rPr>
          <w:rFonts w:ascii="Arial" w:hAnsi="Arial" w:cs="Arial"/>
          <w:szCs w:val="20"/>
        </w:rPr>
      </w:pPr>
    </w:p>
    <w:p w14:paraId="06D4AD98" w14:textId="7E5D539D" w:rsidR="009D217F" w:rsidRPr="00761E7E" w:rsidRDefault="009D217F" w:rsidP="009D217F">
      <w:pPr>
        <w:spacing w:after="0" w:line="276" w:lineRule="auto"/>
        <w:jc w:val="both"/>
        <w:rPr>
          <w:rFonts w:ascii="Arial" w:hAnsi="Arial" w:cs="Arial"/>
          <w:b/>
          <w:szCs w:val="20"/>
        </w:rPr>
      </w:pPr>
      <w:r w:rsidRPr="009D217F">
        <w:rPr>
          <w:rFonts w:ascii="Arial" w:hAnsi="Arial" w:cs="Arial"/>
          <w:b/>
          <w:szCs w:val="20"/>
        </w:rPr>
        <w:t>RESULTS, DISCUSSION, AND ANALYSIS</w:t>
      </w:r>
    </w:p>
    <w:p w14:paraId="6B2A754E" w14:textId="77777777" w:rsidR="00081EDE" w:rsidRPr="00022A8F" w:rsidRDefault="00081EDE" w:rsidP="00022A8F">
      <w:pPr>
        <w:spacing w:after="0" w:line="276" w:lineRule="auto"/>
        <w:jc w:val="both"/>
        <w:rPr>
          <w:rFonts w:ascii="Arial" w:hAnsi="Arial" w:cs="Arial"/>
          <w:b/>
          <w:i/>
          <w:szCs w:val="20"/>
        </w:rPr>
      </w:pPr>
      <w:r w:rsidRPr="00022A8F">
        <w:rPr>
          <w:rFonts w:ascii="Arial" w:hAnsi="Arial" w:cs="Arial"/>
          <w:b/>
          <w:i/>
          <w:szCs w:val="20"/>
        </w:rPr>
        <w:t>Trends in the emergence of research topics</w:t>
      </w:r>
    </w:p>
    <w:p w14:paraId="56E324B9" w14:textId="55266E78" w:rsidR="00081EDE" w:rsidRPr="004D5D1F" w:rsidRDefault="002F40B4" w:rsidP="00D93CCB">
      <w:pPr>
        <w:spacing w:after="0" w:line="276" w:lineRule="auto"/>
        <w:ind w:firstLine="851"/>
        <w:jc w:val="both"/>
        <w:rPr>
          <w:rFonts w:ascii="Arial" w:eastAsia="Calibri" w:hAnsi="Arial" w:cs="Arial"/>
          <w:lang w:val="en"/>
        </w:rPr>
      </w:pPr>
      <w:r w:rsidRPr="002F40B4">
        <w:rPr>
          <w:rFonts w:ascii="Arial" w:eastAsia="Calibri" w:hAnsi="Arial" w:cs="Arial"/>
          <w:lang w:val="en"/>
        </w:rPr>
        <w:t>Visualizing text data through words and their corresponding frequencies-</w:t>
      </w:r>
      <w:proofErr w:type="spellStart"/>
      <w:r w:rsidRPr="002F40B4">
        <w:rPr>
          <w:rFonts w:ascii="Arial" w:eastAsia="Calibri" w:hAnsi="Arial" w:cs="Arial"/>
          <w:lang w:val="en"/>
        </w:rPr>
        <w:t>WordCloud</w:t>
      </w:r>
      <w:proofErr w:type="spellEnd"/>
      <w:r w:rsidRPr="002F40B4">
        <w:rPr>
          <w:rFonts w:ascii="Arial" w:eastAsia="Calibri" w:hAnsi="Arial" w:cs="Arial"/>
          <w:lang w:val="en"/>
        </w:rPr>
        <w:t xml:space="preserve"> is an effective analysis tool for determining and tracking research trends. While </w:t>
      </w:r>
      <w:r w:rsidR="006131EA" w:rsidRPr="004D5D1F">
        <w:rPr>
          <w:rFonts w:ascii="Arial" w:eastAsia="Calibri" w:hAnsi="Arial" w:cs="Arial"/>
          <w:lang w:val="en"/>
        </w:rPr>
        <w:t>text</w:t>
      </w:r>
      <w:r w:rsidR="006131EA">
        <w:rPr>
          <w:rFonts w:ascii="Arial" w:eastAsia="Calibri" w:hAnsi="Arial" w:cs="Arial"/>
          <w:lang w:val="en"/>
        </w:rPr>
        <w:t xml:space="preserve"> </w:t>
      </w:r>
      <w:r w:rsidR="006131EA"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{"citationItems":[{"id":"ITEM-1","itemData":{"DOI":"10.46743/2160-3715/2010.1167","ISSN":"21603715","abstract":"A word cloud is a special visualization of text in which the more frequently used words are effectively highlighted by occupying more prominence in the representation. We have used Wordle to produce word cloud analyses of the spoken and written responses of informants in two research projects. The product demonstrates a fast and visually rich way to enable researchers to have some basic understanding of the data at hand. Word clouds can be a useful tool for preliminary analysis and for validation of previous findings. However, Wordle is an adjunct tool and we do not recommend that this method be used as a stand alone research tool comparable to traditional content analysis methods. © 2010, Carmel McNaught, Paul Lam, and Nova Southeastern University.","author":[{"dropping-particle":"","family":"McNaught","given":"Carmel","non-dropping-particle":"","parse-names":false,"suffix":""},{"dropping-particle":"","family":"Lam","given":"Paul","non-dropping-particle":"","parse-names":false,"suffix":""}],"container-title":"Qualitative Report","id":"ITEM-1","issue":"3","issued":{"date-parts":[["2010"]]},"language":"English","page":"630-643","publisher":"Nova Southeastern University","publisher-place":"The Chinese University of Hong Kong, Hong Kong, Hong Kong","title":"Using wordle as a supplementary research tool","type":"article-journal","volume":"15"},"uris":["http://www.mendeley.com/documents/?uuid=2606d94b-afb1-4d92-90e6-0f9a90a76555","http://www.mendeley.com/documents/?uuid=47db566f-6052-4f17-96db-d572373321a7"]}],"mendeley":{"formattedCitation":"(McNaught &amp; Lam, 2010)","manualFormatting":"McNaught &amp; Lam (2010)","plainTextFormattedCitation":"(McNaught &amp; Lam, 2010)","previouslyFormattedCitation":"(McNaught &amp; Lam, 2010)"},"properties":{"noteIndex":0},"schema":"https://github.com/citation-style-language/schema/raw/master/csl-citation.json"}</w:instrText>
      </w:r>
      <w:r w:rsidR="006131EA" w:rsidRPr="004D5D1F">
        <w:rPr>
          <w:rFonts w:ascii="Arial" w:eastAsia="Calibri" w:hAnsi="Arial" w:cs="Arial"/>
          <w:lang w:val="en"/>
        </w:rPr>
        <w:fldChar w:fldCharType="separate"/>
      </w:r>
      <w:r w:rsidR="006131EA" w:rsidRPr="004D5D1F">
        <w:rPr>
          <w:rFonts w:ascii="Arial" w:eastAsia="Calibri" w:hAnsi="Arial" w:cs="Arial"/>
          <w:noProof/>
          <w:lang w:val="en"/>
        </w:rPr>
        <w:t xml:space="preserve">McNaught &amp; Lam </w:t>
      </w:r>
      <w:r w:rsidR="00E56E3C">
        <w:rPr>
          <w:rFonts w:ascii="Arial" w:eastAsia="Calibri" w:hAnsi="Arial" w:cs="Arial"/>
          <w:noProof/>
          <w:lang w:val="en"/>
        </w:rPr>
        <w:t>(</w:t>
      </w:r>
      <w:r w:rsidR="006131EA" w:rsidRPr="004D5D1F">
        <w:rPr>
          <w:rFonts w:ascii="Arial" w:eastAsia="Calibri" w:hAnsi="Arial" w:cs="Arial"/>
          <w:noProof/>
          <w:lang w:val="en"/>
        </w:rPr>
        <w:t>2010)</w:t>
      </w:r>
      <w:r w:rsidR="006131EA" w:rsidRPr="004D5D1F">
        <w:rPr>
          <w:rFonts w:ascii="Arial" w:eastAsia="Calibri" w:hAnsi="Arial" w:cs="Arial"/>
          <w:lang w:val="en"/>
        </w:rPr>
        <w:fldChar w:fldCharType="end"/>
      </w:r>
      <w:r w:rsidR="00E56E3C">
        <w:rPr>
          <w:rFonts w:ascii="Arial" w:eastAsia="Calibri" w:hAnsi="Arial" w:cs="Arial"/>
          <w:lang w:val="en"/>
        </w:rPr>
        <w:t>,</w:t>
      </w:r>
      <w:r w:rsidR="006131EA" w:rsidRPr="004D5D1F">
        <w:rPr>
          <w:rFonts w:ascii="Arial" w:eastAsia="Calibri" w:hAnsi="Arial" w:cs="Arial"/>
          <w:lang w:val="en"/>
        </w:rPr>
        <w:t xml:space="preserve"> </w:t>
      </w:r>
      <w:r w:rsidRPr="002F40B4">
        <w:rPr>
          <w:rFonts w:ascii="Arial" w:eastAsia="Calibri" w:hAnsi="Arial" w:cs="Arial"/>
          <w:lang w:val="en"/>
        </w:rPr>
        <w:t xml:space="preserve">work provided a qualitative study of </w:t>
      </w:r>
      <w:proofErr w:type="spellStart"/>
      <w:r w:rsidRPr="002F40B4">
        <w:rPr>
          <w:rFonts w:ascii="Arial" w:eastAsia="Calibri" w:hAnsi="Arial" w:cs="Arial"/>
          <w:lang w:val="en"/>
        </w:rPr>
        <w:t>WordCloud</w:t>
      </w:r>
      <w:r w:rsidR="008E19FA">
        <w:rPr>
          <w:rFonts w:ascii="Arial" w:eastAsia="Calibri" w:hAnsi="Arial" w:cs="Arial"/>
          <w:lang w:val="en"/>
        </w:rPr>
        <w:t>’s</w:t>
      </w:r>
      <w:proofErr w:type="spellEnd"/>
      <w:r w:rsidRPr="002F40B4">
        <w:rPr>
          <w:rFonts w:ascii="Arial" w:eastAsia="Calibri" w:hAnsi="Arial" w:cs="Arial"/>
          <w:lang w:val="en"/>
        </w:rPr>
        <w:t xml:space="preserve"> advantages in visual representation, many contemporary scholars have opted to employ it within more quantitative frameworks. More advanced algorithms have made it possible for scholars to track the advancement of the research problem, determine essential ideas, and distinguish new trends, all based on an assortment of articles and databases. Retaining raw data in aesthetically pleasing visuals gives researchers an insightful perspective on the emphasized issues and disciplines.</w:t>
      </w:r>
    </w:p>
    <w:p w14:paraId="4AC022F2" w14:textId="77777777" w:rsidR="00F94379" w:rsidRDefault="00F94379" w:rsidP="00022A8F">
      <w:pPr>
        <w:spacing w:after="0" w:line="276" w:lineRule="auto"/>
        <w:jc w:val="center"/>
        <w:rPr>
          <w:rFonts w:ascii="Arial" w:eastAsia="Calibri" w:hAnsi="Arial" w:cs="Arial"/>
          <w:b/>
          <w:szCs w:val="20"/>
          <w:lang w:val="id-ID"/>
        </w:rPr>
      </w:pPr>
    </w:p>
    <w:p w14:paraId="72F6C14F" w14:textId="2D19063D" w:rsidR="00022A8F" w:rsidRPr="00022A8F" w:rsidRDefault="00022A8F" w:rsidP="00022A8F">
      <w:pPr>
        <w:spacing w:after="0" w:line="276" w:lineRule="auto"/>
        <w:jc w:val="center"/>
        <w:rPr>
          <w:rFonts w:ascii="Arial" w:eastAsia="Calibri" w:hAnsi="Arial" w:cs="Arial"/>
          <w:b/>
          <w:szCs w:val="20"/>
          <w:lang w:val="id-ID"/>
        </w:rPr>
      </w:pPr>
      <w:proofErr w:type="spellStart"/>
      <w:r w:rsidRPr="00022A8F">
        <w:rPr>
          <w:rFonts w:ascii="Arial" w:eastAsia="Calibri" w:hAnsi="Arial" w:cs="Arial"/>
          <w:b/>
          <w:szCs w:val="20"/>
          <w:lang w:val="id-ID"/>
        </w:rPr>
        <w:t>Figure</w:t>
      </w:r>
      <w:proofErr w:type="spellEnd"/>
      <w:r w:rsidRPr="00022A8F">
        <w:rPr>
          <w:rFonts w:ascii="Arial" w:eastAsia="Calibri" w:hAnsi="Arial" w:cs="Arial"/>
          <w:b/>
          <w:szCs w:val="20"/>
          <w:lang w:val="id-ID"/>
        </w:rPr>
        <w:t xml:space="preserve"> 2. </w:t>
      </w:r>
      <w:proofErr w:type="spellStart"/>
      <w:r w:rsidRPr="00022A8F">
        <w:rPr>
          <w:rFonts w:ascii="Arial" w:eastAsia="Calibri" w:hAnsi="Arial" w:cs="Arial"/>
          <w:b/>
          <w:szCs w:val="20"/>
          <w:lang w:val="id-ID"/>
        </w:rPr>
        <w:t>Wordcloud</w:t>
      </w:r>
      <w:proofErr w:type="spellEnd"/>
      <w:r w:rsidRPr="00022A8F">
        <w:rPr>
          <w:rFonts w:ascii="Arial" w:eastAsia="Calibri" w:hAnsi="Arial" w:cs="Arial"/>
          <w:b/>
          <w:szCs w:val="20"/>
          <w:lang w:val="id-ID"/>
        </w:rPr>
        <w:t xml:space="preserve"> </w:t>
      </w:r>
      <w:proofErr w:type="spellStart"/>
      <w:r w:rsidRPr="00022A8F">
        <w:rPr>
          <w:rFonts w:ascii="Arial" w:eastAsia="Calibri" w:hAnsi="Arial" w:cs="Arial"/>
          <w:b/>
          <w:szCs w:val="20"/>
          <w:lang w:val="id-ID"/>
        </w:rPr>
        <w:t>Analytics</w:t>
      </w:r>
      <w:proofErr w:type="spellEnd"/>
    </w:p>
    <w:p w14:paraId="6304C2EB" w14:textId="77777777" w:rsidR="00081EDE" w:rsidRPr="002F2E68" w:rsidRDefault="00081EDE" w:rsidP="00081EDE">
      <w:pPr>
        <w:spacing w:after="0" w:line="276" w:lineRule="auto"/>
        <w:jc w:val="both"/>
        <w:rPr>
          <w:rFonts w:ascii="Times New Roman" w:hAnsi="Times New Roman" w:cs="Times New Roman"/>
          <w:sz w:val="24"/>
          <w:szCs w:val="24"/>
        </w:rPr>
      </w:pPr>
      <w:r w:rsidRPr="002F2E68">
        <w:rPr>
          <w:rFonts w:ascii="Times New Roman" w:eastAsia="Times New Roman" w:hAnsi="Times New Roman" w:cs="Times New Roman"/>
          <w:b/>
          <w:bCs/>
          <w:noProof/>
          <w:sz w:val="24"/>
          <w:szCs w:val="24"/>
        </w:rPr>
        <w:drawing>
          <wp:inline distT="0" distB="0" distL="0" distR="0" wp14:anchorId="087D54A6" wp14:editId="0A37BE42">
            <wp:extent cx="5040000" cy="2043358"/>
            <wp:effectExtent l="0" t="0" r="0" b="0"/>
            <wp:docPr id="2061862410" name="Picture 1" descr="A close-up of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862410" name="Picture 1" descr="A close-up of words&#10;&#10;AI-generated content may be incorrect."/>
                    <pic:cNvPicPr/>
                  </pic:nvPicPr>
                  <pic:blipFill rotWithShape="1">
                    <a:blip r:embed="rId9">
                      <a:extLst>
                        <a:ext uri="{28A0092B-C50C-407E-A947-70E740481C1C}">
                          <a14:useLocalDpi xmlns:a14="http://schemas.microsoft.com/office/drawing/2010/main" val="0"/>
                        </a:ext>
                      </a:extLst>
                    </a:blip>
                    <a:srcRect l="3024" r="1550"/>
                    <a:stretch>
                      <a:fillRect/>
                    </a:stretch>
                  </pic:blipFill>
                  <pic:spPr bwMode="auto">
                    <a:xfrm>
                      <a:off x="0" y="0"/>
                      <a:ext cx="5040000" cy="2043358"/>
                    </a:xfrm>
                    <a:prstGeom prst="rect">
                      <a:avLst/>
                    </a:prstGeom>
                    <a:ln>
                      <a:noFill/>
                    </a:ln>
                    <a:extLst>
                      <a:ext uri="{53640926-AAD7-44D8-BBD7-CCE9431645EC}">
                        <a14:shadowObscured xmlns:a14="http://schemas.microsoft.com/office/drawing/2010/main"/>
                      </a:ext>
                    </a:extLst>
                  </pic:spPr>
                </pic:pic>
              </a:graphicData>
            </a:graphic>
          </wp:inline>
        </w:drawing>
      </w:r>
    </w:p>
    <w:p w14:paraId="201570A0" w14:textId="7B0DFA5E" w:rsidR="00081EDE" w:rsidRPr="00022A8F" w:rsidRDefault="00081EDE" w:rsidP="00022A8F">
      <w:pPr>
        <w:spacing w:after="0" w:line="276" w:lineRule="auto"/>
        <w:jc w:val="center"/>
        <w:rPr>
          <w:rFonts w:ascii="Arial" w:eastAsia="Calibri" w:hAnsi="Arial" w:cs="Arial"/>
          <w:b/>
          <w:szCs w:val="20"/>
          <w:lang w:val="id-ID"/>
        </w:rPr>
      </w:pPr>
      <w:proofErr w:type="spellStart"/>
      <w:r w:rsidRPr="00022A8F">
        <w:rPr>
          <w:rFonts w:ascii="Arial" w:eastAsia="Calibri" w:hAnsi="Arial" w:cs="Arial"/>
          <w:b/>
          <w:szCs w:val="20"/>
          <w:lang w:val="id-ID"/>
        </w:rPr>
        <w:t>Source</w:t>
      </w:r>
      <w:proofErr w:type="spellEnd"/>
      <w:r w:rsidRPr="00022A8F">
        <w:rPr>
          <w:rFonts w:ascii="Arial" w:eastAsia="Calibri" w:hAnsi="Arial" w:cs="Arial"/>
          <w:b/>
          <w:szCs w:val="20"/>
          <w:lang w:val="id-ID"/>
        </w:rPr>
        <w:t xml:space="preserve">: </w:t>
      </w:r>
      <w:proofErr w:type="spellStart"/>
      <w:r w:rsidR="009F728E" w:rsidRPr="00022A8F">
        <w:rPr>
          <w:rFonts w:ascii="Arial" w:eastAsia="Calibri" w:hAnsi="Arial" w:cs="Arial"/>
          <w:b/>
          <w:szCs w:val="20"/>
          <w:lang w:val="id-ID"/>
        </w:rPr>
        <w:t>Author</w:t>
      </w:r>
      <w:proofErr w:type="spellEnd"/>
      <w:r w:rsidR="009F728E" w:rsidRPr="00022A8F">
        <w:rPr>
          <w:rFonts w:ascii="Arial" w:eastAsia="Calibri" w:hAnsi="Arial" w:cs="Arial"/>
          <w:b/>
          <w:szCs w:val="20"/>
          <w:lang w:val="id-ID"/>
        </w:rPr>
        <w:t xml:space="preserve"> </w:t>
      </w:r>
      <w:proofErr w:type="spellStart"/>
      <w:r w:rsidR="009F728E" w:rsidRPr="00022A8F">
        <w:rPr>
          <w:rFonts w:ascii="Arial" w:eastAsia="Calibri" w:hAnsi="Arial" w:cs="Arial"/>
          <w:b/>
          <w:szCs w:val="20"/>
          <w:lang w:val="id-ID"/>
        </w:rPr>
        <w:t>generated</w:t>
      </w:r>
      <w:proofErr w:type="spellEnd"/>
      <w:r w:rsidR="009F728E" w:rsidRPr="00022A8F">
        <w:rPr>
          <w:rFonts w:ascii="Arial" w:eastAsia="Calibri" w:hAnsi="Arial" w:cs="Arial"/>
          <w:b/>
          <w:szCs w:val="20"/>
          <w:lang w:val="id-ID"/>
        </w:rPr>
        <w:t xml:space="preserve"> </w:t>
      </w:r>
      <w:proofErr w:type="spellStart"/>
      <w:r w:rsidR="009F728E" w:rsidRPr="00022A8F">
        <w:rPr>
          <w:rFonts w:ascii="Arial" w:eastAsia="Calibri" w:hAnsi="Arial" w:cs="Arial"/>
          <w:b/>
          <w:szCs w:val="20"/>
          <w:lang w:val="id-ID"/>
        </w:rPr>
        <w:t>through</w:t>
      </w:r>
      <w:proofErr w:type="spellEnd"/>
      <w:r w:rsidR="009F728E" w:rsidRPr="00022A8F">
        <w:rPr>
          <w:rFonts w:ascii="Arial" w:eastAsia="Calibri" w:hAnsi="Arial" w:cs="Arial"/>
          <w:b/>
          <w:szCs w:val="20"/>
          <w:lang w:val="id-ID"/>
        </w:rPr>
        <w:t xml:space="preserve"> </w:t>
      </w:r>
      <w:proofErr w:type="spellStart"/>
      <w:r w:rsidR="009F728E">
        <w:rPr>
          <w:rFonts w:ascii="Arial" w:eastAsia="Calibri" w:hAnsi="Arial" w:cs="Arial"/>
          <w:b/>
          <w:szCs w:val="20"/>
          <w:lang w:val="id-ID"/>
        </w:rPr>
        <w:t>RStudio-Biblioshiny</w:t>
      </w:r>
      <w:proofErr w:type="spellEnd"/>
    </w:p>
    <w:p w14:paraId="11737103" w14:textId="41B92944" w:rsidR="002F40B4" w:rsidRPr="002F40B4" w:rsidRDefault="002F40B4" w:rsidP="002F40B4">
      <w:pPr>
        <w:spacing w:after="0" w:line="276" w:lineRule="auto"/>
        <w:ind w:firstLine="567"/>
        <w:jc w:val="both"/>
        <w:rPr>
          <w:rFonts w:ascii="Arial" w:eastAsia="Calibri" w:hAnsi="Arial" w:cs="Arial"/>
          <w:lang w:val="en"/>
        </w:rPr>
      </w:pPr>
      <w:r w:rsidRPr="002F40B4">
        <w:rPr>
          <w:rFonts w:ascii="Arial" w:eastAsia="Calibri" w:hAnsi="Arial" w:cs="Arial"/>
          <w:lang w:val="en"/>
        </w:rPr>
        <w:t xml:space="preserve">Figure 2 shows that the significant concepts of digital transformation, smart cities, Indonesia, e-governance, and public participation emerged as the focal concepts that were interconnected and constructed the conceptual framework of this research. Digital transformation is a key factor because it denotes the local </w:t>
      </w:r>
      <w:r w:rsidR="00DC4D13" w:rsidRPr="002F40B4">
        <w:rPr>
          <w:rFonts w:ascii="Arial" w:eastAsia="Calibri" w:hAnsi="Arial" w:cs="Arial"/>
          <w:lang w:val="en"/>
        </w:rPr>
        <w:t>government</w:t>
      </w:r>
      <w:r w:rsidR="00DC4D13">
        <w:rPr>
          <w:rFonts w:ascii="Arial" w:eastAsia="Calibri" w:hAnsi="Arial" w:cs="Arial"/>
          <w:lang w:val="en"/>
        </w:rPr>
        <w:t>’</w:t>
      </w:r>
      <w:r w:rsidR="00DC4D13" w:rsidRPr="002F40B4">
        <w:rPr>
          <w:rFonts w:ascii="Arial" w:eastAsia="Calibri" w:hAnsi="Arial" w:cs="Arial"/>
          <w:lang w:val="en"/>
        </w:rPr>
        <w:t>s</w:t>
      </w:r>
      <w:r w:rsidRPr="002F40B4">
        <w:rPr>
          <w:rFonts w:ascii="Arial" w:eastAsia="Calibri" w:hAnsi="Arial" w:cs="Arial"/>
          <w:lang w:val="en"/>
        </w:rPr>
        <w:t xml:space="preserve"> adoption of technology meant for the modernization of bureaucracy, enhanced transparency, and improved public service delivery </w:t>
      </w:r>
      <w:r w:rsidR="006131EA"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{"citationItems":[{"id":"ITEM-1","itemData":{"DOI":"10.2478/nispa-2024-0005","ISSN":"1338-4309","abstract":"Digital transformation changes how private and public organisations conduct their business, stressing the importance of collaboration with various stakeholders. The public sector, especially local government, is forced by citizens’ demands to change how it operates. This research examines the characteristics of existing literature on collaborative governance and digital transformation and explores the unevenness of digital transformation due to the broad autonomy granted to local governments. Qualitative methods were used, conducting in-depth interviews, advanced observations, and detailed data collection from government agencies, NGOs, and citizens of West Java, Indonesia. The enquiries reveal that governments faces silos and fragmented approaches. The results contribute to the literature, serve as a reference for improving the role of local government in collaborative digital transformation, and provide greater legitimacy in the public policy process. In the context of local government, the success of digital transformation initiatives in West Java can be attributed to effective collaboration and facilitative leadership from implementing the Penta-helix strategy and establishing Jabar Digital Service (JDS) as a dedicated unit for managing digital transformation.","author":[{"dropping-particle":"","family":"Maulana","given":"Rio Yusri","non-dropping-particle":"","parse-names":false,"suffix":""},{"dropping-particle":"","family":"Durnik","given":"Mitja","non-dropping-particle":"","parse-names":false,"suffix":""},{"dropping-particle":"","family":"Decman","given":"Mitja","non-dropping-particle":"","parse-names":false,"suffix":""}],"container-title":"NISPAcee Journal of Public Administration and Policy","id":"ITEM-1","issue":"1","issued":{"date-parts":[["2024","6","1"]]},"language":"English","note":"Export Date: 22 June 2025; Cited By: 0","page":"94-119","publisher":"Sciendo","publisher-place":"Universitas Jambi, Department of Government, Indonesia","title":"Collaborative Approach on Digital Government Transformation: In-Depth Analysis from Expert Interview","type":"article-journal","volume":"17"},"uris":["http://www.mendeley.com/documents/?uuid=d13322c5-e8b1-4144-826e-8cd219e55acf"]}],"mendeley":{"formattedCitation":"(Maulana et al., 2024)","plainTextFormattedCitation":"(Maulana et al., 2024)","previouslyFormattedCitation":"(Maulana et al., 2024)"},"properties":{"noteIndex":0},"schema":"https://github.com/citation-style-language/schema/raw/master/csl-citation.json"}</w:instrText>
      </w:r>
      <w:r w:rsidR="006131EA" w:rsidRPr="004D5D1F">
        <w:rPr>
          <w:rFonts w:ascii="Arial" w:eastAsia="Calibri" w:hAnsi="Arial" w:cs="Arial"/>
          <w:lang w:val="en"/>
        </w:rPr>
        <w:fldChar w:fldCharType="separate"/>
      </w:r>
      <w:r w:rsidR="006131EA" w:rsidRPr="004D5D1F">
        <w:rPr>
          <w:rFonts w:ascii="Arial" w:eastAsia="Calibri" w:hAnsi="Arial" w:cs="Arial"/>
          <w:noProof/>
          <w:lang w:val="en"/>
        </w:rPr>
        <w:t>(Maulana et al., 2024)</w:t>
      </w:r>
      <w:r w:rsidR="006131EA" w:rsidRPr="004D5D1F">
        <w:rPr>
          <w:rFonts w:ascii="Arial" w:eastAsia="Calibri" w:hAnsi="Arial" w:cs="Arial"/>
          <w:lang w:val="en"/>
        </w:rPr>
        <w:fldChar w:fldCharType="end"/>
      </w:r>
      <w:r w:rsidR="006131EA" w:rsidRPr="004D5D1F">
        <w:rPr>
          <w:rFonts w:ascii="Arial" w:eastAsia="Calibri" w:hAnsi="Arial" w:cs="Arial"/>
          <w:lang w:val="en"/>
        </w:rPr>
        <w:t>.</w:t>
      </w:r>
      <w:r w:rsidRPr="002F40B4">
        <w:rPr>
          <w:rFonts w:ascii="Arial" w:eastAsia="Calibri" w:hAnsi="Arial" w:cs="Arial"/>
          <w:lang w:val="en"/>
        </w:rPr>
        <w:t xml:space="preserve"> It is more than just systematizing the operation of government; it involves profound changes in the organizational culture and the interrelations between the governed and the governing bodies </w:t>
      </w:r>
      <w:r w:rsidR="006131EA"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{"citationItems":[{"id":"ITEM-1","itemData":{"DOI":"10.18280/ijsdp.200214","ISSN":"1743761X","abstract":"This research aims to explore the dynamics of Smart Governance concerning digital transformation in Malang City using a qualitative method with a case study. Malang City is selected as the research location because of the activity of implementing an Electronic-Based Government System (SPBE) as part of Smart City program. The results show that digital transformation is supported by 3 main aspects, namely institutional strengthening, human resources (HR) development, and SPBE infrastructure. Additionally, the government has shown a strong commitment by establishing Communication and Informatics Office (Diskominfo) as the main driver of Smart Governance development, as well as allocating budget and resources to support digital transformation. Efforts to improve the efficiency of technology-based services are reflected in the use of more than 68 E-Government applications and the integration of services through MPP. However, this research also has limitations since only Smart Governance dimension is considered. Future research is expected to explore the other 6 dimensions of Smart City to provide a more comprehensive understanding.","author":[{"dropping-particle":"","family":"Kamil","given":"Muhammad","non-dropping-particle":"","parse-names":false,"suffix":""},{"dropping-particle":"","family":"Muhammad","given":"Rifki","non-dropping-particle":"","parse-names":false,"suffix":""},{"dropping-particle":"","family":"Roziqin","given":"Ali","non-dropping-particle":"","parse-names":false,"suffix":""},{"dropping-particle":"","family":"Sari","given":"Ayu Evita","non-dropping-particle":"","parse-names":false,"suffix":""},{"dropping-particle":"","family":"Kismartini","given":"","non-dropping-particle":"","parse-names":false,"suffix":""}],"container-title":"International Journal of Sustainable Development and Planning","id":"ITEM-1","issue":"2","issued":{"date-parts":[["2025","2"]]},"language":"English","page":"635-644","publisher":"International Information and Engineering Technology Association","publisher-place":"Department of Government Studies, Universitas Muhammadiyah Malang, Malang, 65144, Indonesia","title":"Examining Practice Smart City in Local Government: A Smart Governance Perspective","type":"article-journal","volume":"20"},"uris":["http://www.mendeley.com/documents/?uuid=5491a0c1-3c3c-4636-beb9-6f73941ec878","http://www.mendeley.com/documents/?uuid=8c39f040-6baf-411f-ad42-27ba49a805f7"]}],"mendeley":{"formattedCitation":"(Kamil et al., 2025)","plainTextFormattedCitation":"(Kamil et al., 2025)","previouslyFormattedCitation":"(Kamil et al., 2025)"},"properties":{"noteIndex":0},"schema":"https://github.com/citation-style-language/schema/raw/master/csl-citation.json"}</w:instrText>
      </w:r>
      <w:r w:rsidR="006131EA" w:rsidRPr="004D5D1F">
        <w:rPr>
          <w:rFonts w:ascii="Arial" w:eastAsia="Calibri" w:hAnsi="Arial" w:cs="Arial"/>
          <w:lang w:val="en"/>
        </w:rPr>
        <w:fldChar w:fldCharType="separate"/>
      </w:r>
      <w:r w:rsidR="006131EA" w:rsidRPr="004D5D1F">
        <w:rPr>
          <w:rFonts w:ascii="Arial" w:eastAsia="Calibri" w:hAnsi="Arial" w:cs="Arial"/>
          <w:noProof/>
          <w:lang w:val="en"/>
        </w:rPr>
        <w:t>(Kamil et al., 2025)</w:t>
      </w:r>
      <w:r w:rsidR="006131EA" w:rsidRPr="004D5D1F">
        <w:rPr>
          <w:rFonts w:ascii="Arial" w:eastAsia="Calibri" w:hAnsi="Arial" w:cs="Arial"/>
          <w:lang w:val="en"/>
        </w:rPr>
        <w:fldChar w:fldCharType="end"/>
      </w:r>
      <w:r w:rsidR="006131EA" w:rsidRPr="004D5D1F">
        <w:rPr>
          <w:rFonts w:ascii="Arial" w:eastAsia="Calibri" w:hAnsi="Arial" w:cs="Arial"/>
          <w:lang w:val="en"/>
        </w:rPr>
        <w:t>.</w:t>
      </w:r>
      <w:r w:rsidR="006131EA">
        <w:rPr>
          <w:rFonts w:ascii="Arial" w:eastAsia="Calibri" w:hAnsi="Arial" w:cs="Arial"/>
          <w:lang w:val="en"/>
        </w:rPr>
        <w:t xml:space="preserve"> </w:t>
      </w:r>
      <w:r w:rsidRPr="002F40B4">
        <w:rPr>
          <w:rFonts w:ascii="Arial" w:eastAsia="Calibri" w:hAnsi="Arial" w:cs="Arial"/>
          <w:lang w:val="en"/>
        </w:rPr>
        <w:t xml:space="preserve">For Southeast Asia, the relevance of digital transformation is accentuated by the fast pace of socio-economic changes in the region and the need for agile governance </w:t>
      </w:r>
      <w:r w:rsidR="006131EA" w:rsidRPr="004D5D1F">
        <w:rPr>
          <w:rFonts w:ascii="Arial" w:eastAsia="Calibri" w:hAnsi="Arial" w:cs="Arial"/>
          <w:lang w:val="en"/>
        </w:rPr>
        <w:t xml:space="preserve"> </w:t>
      </w:r>
      <w:r w:rsidR="006131EA"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{"citationItems":[{"id":"ITEM-1","itemData":{"DOI":"10.24090/volksgeist.v8i1.12211","ISSN":"26155648","abstract":"Digital transformation has emerged as a crucial component of Indonesia’s national development strategy, recognized for its capacity to stimulate economic growth, enhance public services, and improve social welfare. However, the current approach tends to be technocratic, often overlooking vital legal, institutional, and justice-related issues. This study critically assesses examine the adequacy and coherence of Indonesia’s legal and institutional frameworks governing digital transformation to promote inclusive economic growth and social welfare. It identifies regulatory and institutional gaps and recommends strategic reforms for equitable digital governance. Employing a socio-legal methodology that merges doctrinal legal analysis with interdisciplinary insights from political science, economics, and sociology, this research evaluates key legal instruments and institutional practices, alongside global best practices, to determine Indonesia’s readiness for digital transformation. The findings indicate that Indonesia’s progress is hampered by fragmented and reactive legal frameworks, notable regulatory gaps—particularly in data protection and labor rights within the gig economy—and weak institutional coordination. These issues lead to policy inconsistencies, implementation delays, and the exacerbation of existing inequalities. To address these challenges, this study advocates for a systemic reconfiguration of digital governance grounded in democratic principles and inclusive participation. It proposes six strategic pillars: infrastructure, digital human capital, business climate and cybersecurity, research and innovation, funding and investment, and robust legal-regulatory frameworks, to ensure a just and sustainable digital transition.","author":[{"dropping-particle":"","family":"Anggono","given":"Bayu Dwi","non-dropping-particle":"","parse-names":false,"suffix":""},{"dropping-particle":"","family":"Wahanisa","given":"Rofi","non-dropping-particle":"","parse-names":false,"suffix":""},{"dropping-particle":"","family":"Aulia Oktarizka Vivi Puspita Sari","given":"A. P.","non-dropping-particle":"","parse-names":false,"suffix":""},{"dropping-particle":"","family":"Adiyatma","given":"Septhian Eka","non-dropping-particle":"","parse-names":false,"suffix":""}],"container-title":"Volksgeist: Jurnal Ilmu Hukum dan Konstitusi","id":"ITEM-1","issue":"1","issued":{"date-parts":[["2025","5"]]},"language":"English","page":"191-211","publisher":"Universitas Islam Negeri Profesor Kiai Haji Saifuddin Zuhri Purwokerto","publisher-place":"Faculty of Law, Universitas Jember, Indonesia","title":"Interrogating the Legal Foundations of Digital Transformation: Balancing Economic Growth and Social Welfare in the Era of Disruption","type":"article-journal","volume":"8"},"uris":["http://www.mendeley.com/documents/?uuid=532aff41-cc96-42f9-a2d8-e014a4e7bbdd","http://www.mendeley.com/documents/?uuid=8d0434bc-7bf0-4032-8aa7-2ac1439bca5a"]}],"mendeley":{"formattedCitation":"(Anggono et al., 2025)","plainTextFormattedCitation":"(Anggono et al., 2025)","previouslyFormattedCitation":"(Anggono et al., 2025)"},"properties":{"noteIndex":0},"schema":"https://github.com/citation-style-language/schema/raw/master/csl-citation.json"}</w:instrText>
      </w:r>
      <w:r w:rsidR="006131EA" w:rsidRPr="004D5D1F">
        <w:rPr>
          <w:rFonts w:ascii="Arial" w:eastAsia="Calibri" w:hAnsi="Arial" w:cs="Arial"/>
          <w:lang w:val="en"/>
        </w:rPr>
        <w:fldChar w:fldCharType="separate"/>
      </w:r>
      <w:r w:rsidR="006131EA" w:rsidRPr="004D5D1F">
        <w:rPr>
          <w:rFonts w:ascii="Arial" w:eastAsia="Calibri" w:hAnsi="Arial" w:cs="Arial"/>
          <w:noProof/>
          <w:lang w:val="en"/>
        </w:rPr>
        <w:t>(Anggono et al., 2025)</w:t>
      </w:r>
      <w:r w:rsidR="006131EA" w:rsidRPr="004D5D1F">
        <w:rPr>
          <w:rFonts w:ascii="Arial" w:eastAsia="Calibri" w:hAnsi="Arial" w:cs="Arial"/>
          <w:lang w:val="en"/>
        </w:rPr>
        <w:fldChar w:fldCharType="end"/>
      </w:r>
      <w:r w:rsidR="006131EA">
        <w:rPr>
          <w:rFonts w:ascii="Arial" w:eastAsia="Calibri" w:hAnsi="Arial" w:cs="Arial"/>
          <w:lang w:val="en"/>
        </w:rPr>
        <w:t>.</w:t>
      </w:r>
    </w:p>
    <w:p w14:paraId="7F8F78C2" w14:textId="77ED896E" w:rsidR="00081EDE" w:rsidRPr="004D5D1F" w:rsidRDefault="002F40B4" w:rsidP="002F40B4">
      <w:pPr>
        <w:spacing w:after="0" w:line="276" w:lineRule="auto"/>
        <w:ind w:firstLine="567"/>
        <w:jc w:val="both"/>
        <w:rPr>
          <w:rFonts w:ascii="Arial" w:eastAsia="Calibri" w:hAnsi="Arial" w:cs="Arial"/>
          <w:lang w:val="en"/>
        </w:rPr>
      </w:pPr>
      <w:r w:rsidRPr="002F40B4">
        <w:rPr>
          <w:rFonts w:ascii="Arial" w:eastAsia="Calibri" w:hAnsi="Arial" w:cs="Arial"/>
          <w:lang w:val="en"/>
        </w:rPr>
        <w:t xml:space="preserve">Moreover, smart cities can be viewed as the lower-level indicators of the digital transformation process at the regional scale. This approach incorporates information and communication technology (ICT) into sustainable development practices, thus fostering an agile, equitable, and effective urban ecosystem </w:t>
      </w:r>
      <w:r w:rsidR="006131EA"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{"citationItems":[{"id":"ITEM-1","itemData":{"DOI":"10.1016/j.jum.2023.01.003","ISSN":"25890360","abstract":"Smart Governance is a key pillar of the Smart City movement and an important pathway to achieving Sustainable Development Goals through digital transformation and technologic tools. However, the digital transformation is highly contextual and solutions from the Global North may not be adequate to the reality of developing countries. We present how digital tools and policies, as part of the broader agenda for digital transformation, can touch upon several sustainability goals when focused on benefitting vulnerable citizens. Examples come from observing the process, stakeholders and products developed during the Digital Transformation of Ceará between 2019 and 2022. We build a framework that further links those examples with the SDGs and the Brazilian Letter for Smart Cities, a national set of guidelines towards equitable smart transitions. By setting the framework vis-a-vis a grounded experience, we seek to present seven components which can be adapted to other contexts as drivers of a Smart and Sustainable Governance. We argue that, by applying those elements to build digital tools that help governance, it is possible to create solutions that are inherently tied to SDGs.","author":[{"dropping-particle":"","family":"Sucupira Furtado","given":"Lara","non-dropping-particle":"","parse-names":false,"suffix":""},{"dropping-particle":"","family":"Silva","given":"Ticiana Linhares Coelho","non-dropping-particle":"da","parse-names":false,"suffix":""},{"dropping-particle":"","family":"Ferreira","given":"Marianna Gonçalves Fontenele","non-dropping-particle":"","parse-names":false,"suffix":""},{"dropping-particle":"","family":"Macedo","given":"José Antônio Fernandes","non-dropping-particle":"de","parse-names":false,"suffix":""},{"dropping-particle":"","family":"Melo Lima Cavalcanti Moreira","given":"Jessika Kantnila","non-dropping-particle":"de","parse-names":false,"suffix":""}],"container-title":"Journal of Urban Management","id":"ITEM-1","issue":"1","issued":{"date-parts":[["2023","3"]]},"language":"English","page":"74-87","publisher":"Elsevier B.V.","publisher-place":"Graduate School of Transportation Engineering - Smart Cities Sector, Federal University of Ceará, Fortaleza, Brazil","title":"A framework for Digital Transformation towards Smart Governance: using big data tools to target SDGs in Ceará, Brazil","type":"article-journal","volume":"12"},"uris":["http://www.mendeley.com/documents/?uuid=cd201392-a6e3-4336-b099-fec438f325d0","http://www.mendeley.com/documents/?uuid=924679c0-b4d1-4a5b-a5c5-06d6b5f46cc5"]}],"mendeley":{"formattedCitation":"(Sucupira Furtado et al., 2023)","plainTextFormattedCitation":"(Sucupira Furtado et al., 2023)","previouslyFormattedCitation":"(Sucupira Furtado et al., 2023)"},"properties":{"noteIndex":0},"schema":"https://github.com/citation-style-language/schema/raw/master/csl-citation.json"}</w:instrText>
      </w:r>
      <w:r w:rsidR="006131EA" w:rsidRPr="004D5D1F">
        <w:rPr>
          <w:rFonts w:ascii="Arial" w:eastAsia="Calibri" w:hAnsi="Arial" w:cs="Arial"/>
          <w:lang w:val="en"/>
        </w:rPr>
        <w:fldChar w:fldCharType="separate"/>
      </w:r>
      <w:r w:rsidR="006131EA" w:rsidRPr="004D5D1F">
        <w:rPr>
          <w:rFonts w:ascii="Arial" w:eastAsia="Calibri" w:hAnsi="Arial" w:cs="Arial"/>
          <w:noProof/>
          <w:lang w:val="en"/>
        </w:rPr>
        <w:t>(Sucupira Furtado et al., 2023)</w:t>
      </w:r>
      <w:r w:rsidR="006131EA" w:rsidRPr="004D5D1F">
        <w:rPr>
          <w:rFonts w:ascii="Arial" w:eastAsia="Calibri" w:hAnsi="Arial" w:cs="Arial"/>
          <w:lang w:val="en"/>
        </w:rPr>
        <w:fldChar w:fldCharType="end"/>
      </w:r>
      <w:r w:rsidR="006131EA" w:rsidRPr="004D5D1F">
        <w:rPr>
          <w:rFonts w:ascii="Arial" w:eastAsia="Calibri" w:hAnsi="Arial" w:cs="Arial"/>
          <w:lang w:val="en"/>
        </w:rPr>
        <w:t xml:space="preserve">. </w:t>
      </w:r>
      <w:r w:rsidRPr="002F40B4">
        <w:rPr>
          <w:rFonts w:ascii="Arial" w:eastAsia="Calibri" w:hAnsi="Arial" w:cs="Arial"/>
          <w:lang w:val="en"/>
        </w:rPr>
        <w:t xml:space="preserve">The focus on Indonesia as the primary case study broadens the analysis as the country grapples with multifaceted issues concerning the digital development continuum, technology access divide, and organizational capability </w:t>
      </w:r>
      <w:r w:rsidR="006131EA" w:rsidRPr="004D5D1F">
        <w:rPr>
          <w:rFonts w:ascii="Arial" w:eastAsia="Calibri" w:hAnsi="Arial" w:cs="Arial"/>
          <w:lang w:val="en"/>
        </w:rPr>
        <w:t xml:space="preserve">capacity </w:t>
      </w:r>
      <w:r w:rsidR="006131EA"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{"citationItems":[{"id":"ITEM-1","itemData":{"DOI":"10.3390/land10020120","ISSN":"2073-445X","abstract":"In 2020, digital transformation was a major theme to commemorate Indonesia’s main agrarian law’s anniversary. This theme is a reminder of the need to fully implement digital services to improve the quality of land registration products that are cheap, easy to operate, perform quickly, and are trusted by the community. However, no research has comprehensively assessed the readiness of the digital transformation of land services in Indonesia. This paper aims to evaluate the readiness of a land office to achieve digital transformation visions. Here, we apply the Digital Governance Assessment Framework (DGRA), adapted to the land service sector, as the basis for conducting this evaluation. The nine core indicators of the DGRA toolkit are used as a basis for assessment. Desk studies were conducted to identify formal legislation and to find the technical specifications. Direct observations and in-depth interviews were conducted with stakeholders to find user needs and evaluate the implementation of current regulations on the land service business process. Quality assessment was carried out on land registration data at the Land Office of Yogyakarta City as a sample. The quality assessment results indicate a problem with completeness, conformity, consistency, accuracy, duplication, and integrity. In conclusion, the readiness level still needs improvement, especially in the indicator related to Cyber Security, Privacy, and Resilience (1.0). Even though the Leadership and Governance, User-Centered Design, and Public Administration Reforms and Change Management sections shows a reasonably high score (≥2.0), other core sections, namely Technology Infrastructure (1.7), Legislation and Regulation (1.4), Data Infrastructure, Strategies, and Governance (1.8) are mediocre, and therefore they need improvement.","author":[{"dropping-particle":"","family":"Kusmiarto","given":"Kusmiarto","non-dropping-particle":"","parse-names":false,"suffix":""},{"dropping-particle":"","family":"Aditya","given":"Trias","non-dropping-particle":"","parse-names":false,"suffix":""},{"dropping-particle":"","family":"Djurdjani","given":"Djurdjani","non-dropping-particle":"","parse-names":false,"suffix":""},{"dropping-particle":"","family":"Subaryono","given":"Subaryono","non-dropping-particle":"","parse-names":false,"suffix":""}],"container-title":"Land","id":"ITEM-1","issue":"2","issued":{"date-parts":[["2021","1","27"]]},"language":"English","note":"Cited By :6\n\nExport Date: 11 May 2023\n\nCorrespondence Address: Kusmiarto, K.; Department of Geodetic Engineering, Indonesia; email: kusmiarto@stpn.ac.id\n\nCorrespondence Address: Kusmiarto, K.; Sekolah Tinggi Pertanahan NasionalIndonesia; email: kusmiarto@stpn.ac.id\n\nFunding details: Sekolah Tinggi Teknologi Garut, STTG\n\nFunding details: Universitas Gadjah Mada, UGM\n\nFunding text 1: Funding: This research was funded by the Directorate of Research Universitas Gadjah Mada. Doctoral program scholarship awarded by Sekolah Tinggi Pertanahan Nasional.\n\nReferences: Williamson, I., Enemark, S., Rajabifard, A., Land Administration for Sustainable Development (2010) FIG Congress 2010: Facing the Challenges-Building the Capacity, , FIG (International Federation of Surveyors): Sydney, Australia, [Google Scholar]; \nRajabifard, A., (2020) Sustainable Development Goals Connectivity Dilemma: Land and Geospatial for Urban and Rural Resilience, , CRC Press-Taylor and Francis Group: Boca Raton, FL, USA, ISBN 9780367259358. [Google Scholar];\n(2019) A Framework on Effective Land Administration: A Reference for Developing, Reforming, Renewing, Strengthening or Modernizing Land Administration and Management Systems, , United Nations Committee of Experts on Global Geospatial Information Management (UN-GGIM). United Nations: New York, NY, USA, [Google Scholar];\nMika, M., Modernisation of the Cadastre in Poland as a tool to improve the land management and administration process (2019) Surv. Rev, 52, pp. 224-234. , [Google Scholar] [CrossRef];\nPepper, R., Garrity, J., (2015) ICTs, Income Inequality, and Ensuring Inclusive Growth; in the Global Information Technology Report 2015, , ICTs for Inclusive Growth, the World Economic Forum and INSEAD: Geneva, Switzerland, [Google Scholar];\nScott, C., (2012) Does Broadband Internet Access Actually Spur Economic Growth?, pp. 1-15. , UC: Berkeley, CA, USA, [Google Scholar];\n(2015) How Innovations in Land Administration Reform Improve on Doing Business: Cases from Lithuania, the Republic of Korea, Rwanda and the United Kingdom, , World Bank Group. World Bank: Washington, DC, USA, [Google Scholar];\nDoing Business 2020: Comparing Business Regulation in 190 Economies, , World Bank. World Bank: Washington, DC, USA, 2020. [Google Scholar];\nMinistry of ATR/BPN Ministry of ATR/BPNs Work Is Now Better, , Https://www.atrbpn.go.id/?menu=bacaandkd=o6OKf/9PKsFus5CZrGRkWY6d9/zkO7nHNg1WifEnjjoaUR4M8fP3uApHPzXPuG2T, (accessed on 4 January 2021);\n(2010) Regulation of the Head of the National Land Agency of the Republic of Indonesia Number 1 of 2010 Concerning Land Service Standards and Regulations, , The Head of National Land Agency. BPN-RI: Jakarta, Indonesia, [Google Scholar];\nAditya, T., Maria-Unger, E., vd Berg, C., Bennett, R., Saers, P., Lukman Syahid, H., Erwan, D., Budi Santosa, P., Participatory Land Administration in Indonesia: Quality and Usability Assessment (2020) Land, 9, p. 79. , [Google Scholar] [CrossRef];\nChekole, S.D., de Vries, W.T., Shibeshi, G.B., An Evaluation Framework for Urban Cadastral System Policy in Ethiopia (2020) Land, 9, p. 60. , [Google Scholar] [CrossRef];\n(2019) European Foundation Quality Management (EFQM) Model, , Https://www.efqm.org/, EFQM. EFQM: Brussels, Belgium, (accessed on 4 January 2021);\nKaufmann, J., Steudler, D., (1998) Cadastre 2014 a Vision for a Future Cadastral System, , International Federation of Surveyors (FIG): Copenhagen, Denmark, [Google Scholar];\nDeininger, K., Selod, H., Burns, A., (2012) The Land Governance Assessment Framework: Identifying and Monitoring Good Practice in the Land Sector, , The World Bank: Washington, DC, USA, ISBN 9780821387580. [Google Scholar];\nSteudler, D., Rajabifard, A., Williamson, I.P., Evaluation of land administration systems (2004) Land Use Policy, 21, pp. 371-380. , [Google Scholar] [CrossRef];\nShibeshi, G.B., Fuchs, H., Mansberger, R., Lessons from Systematic Evaluation of Land Administration Systems: The Case of Amhara National Regional State of Ethiopia (2015) World Dev, 68, pp. 282-295. , [Google Scholar] [CrossRef];\nRajabifard, A., Steudler, D., Aien, A., Kalantari, M., The Cadastral Template 2.0, From Design to Implementation (2014) Proceedings of the FIG Congress, 2014 Engaging the Challenges-Enhancing the Relevance, pp. 1-25. , Kuala Lumpur, Malaysia, 16-21 June [Google Scholar];\nHttps://www.un.org/sustainabledevelopment/sustainable-development-goals/, United Nations Sustainable Development Goals. (accessed on 4 January 2021); Chekole, S.D., de Vries, W.T., Durán-Díaz, P., Shibeshi, G.B., Performance Evaluation of the Urban Cadastral System in Addis Ababa, Ethiopia (2020) Land, 9, p. 505. , [Google Scholar] [CrossRef];\n(2020) Digital Government Readiness Assessment: The Foundation of Digital Development (DGRA) Toolkit V.31, 2020. , World Bank DGRA Core Team. World Bank: Washington, DC, USA, ISBN 9789264251823. [Google Scholar];\n(2020) Digital Government Readiness Assessment Toolkit: Guidelines for Task Teams, , World Bank Group. World Bank: Washington, DC, USA, [Google Scholar];\n(1997) The Government of Republic Indonesia Government Regulation No. 24/1997 on Land Registration, , The Government of Republic Indonesia: Jakarta, Indonesia;\n(2013) The Regulation of the Head of National Land Agency No. 6/2013, Public Information Services in the National Land Agency of the Republic of Indonesia, , The Head of National Land Agency. BPN-RI: Jakarta, Indonesia, [Google Scholar];\n(2017) Regulation of the Minister of ATR/BPN Number 4 of 2017 Concerning Service Standards of the Ministry of Agrarian and Spatial Planning/National Land Agency, , Minister of ATR/BPN. Ministry of ATR/BPN: Jakarta, Indonesia, [Google Scholar];\n(2015) Regulation of the Minister of ATR/BPN Number 17 of 2015 Concerning Service Standards and Arrangements for Agrarian, Spatial and Land Management in Investment Activities, , Minister of ATR/BPN. Ministry of ATR/BPN: Jakarta, Indonesia, [Google Scholar];\n(2021) Complete Systematic Land Registration Technical Guidelines, pp. 1-135. , Ministry of ATR/BPN. Ministry of ATR/BPN: Jakarta, Indonesia, [Google Scholar];\nBaca, M., Gill, T., Gilliland, A.J., (2016) Introduction to Metadata, , Baca, M., Ed.; The Getty Research Institute: Los Angeles, CA, USA, [Google Scholar];\n(2011) Geospatial Metadata, , FGDC. Federal Geographic Data Committee (FGDC): Reston, VA, USA, [Google Scholar];\nWentz, E.A., Shimizu, M., Measuring Spatial Data Fitness-for-Use through Multiple Criteria Decision Making (2018) Ann. Am. Assoc. Geogr, 108, pp. 1150-1167. , [Google Scholar] [CrossRef];\nHttps://docs.atrbpn.go.id/surveytanahku/, Ministry of ATR/BPN Survey Tanahku Application. (accessed on 18 November 2020); Https://docs.atrbpn.go.id/sentuhtanahku/, Ministry of ATR/BPN Sentuh Tanahku Application. (accessed on 18 November 2020); Https://eoffice.atrbpn.go.id/Account/Index?returnUrl=http://eoffice.atrbpn.go.id/, Ministry of ATR/BPN E-Office of ATR/BPN. (accessed on 12 November 2020); Https://kkp2.atrbpn.go.id/, Ministry of ATR/BPN KKP Web Version 2.0. (accessed on 4 January 2021); Mustofa, F.C., Aditya, T., Sutanta, H., Sistem Informasi Pertanahan Partisipatif untuk Pemetaan Bidang Tanah: Sebuah Tinjauan Pustaka Komprehensif (2018) Maj. Ilm. Globe, 20, p. 1. , [Google Scholar] [CrossRef];\nMustofa, F.C., Evaluation of Land Information System Development in The Ministry of Agrarian Affairs and Spatial Planning/National Land Agency (2020) BHUMI J. Agrar. Pertanah, 6, pp. 158-172. , [Google Scholar];\n(2017) Regulation of the Minister of Home Affairs of the Republic of Indonesia Number 137 of 2017 Concerning Code and Data for Government Administration Areas, , Minister of Home Affairs. Ministry of Home Affairs: Jakarta, Indonesia, [Google Scholar];\nHttps://ppsdm.atrbpn.go.id/, Ministry of ATR/BPN Center for Human Resources Development. (accessed on 25 November 2020); Pipino, L.L., Lee, Y.W., Richard, Y., Wang Data Quality Assessment (2002) Commun. ACM, 45, pp. 211-218. , [Google Scholar] [CrossRef];\n(2015) Quality Management Systems-Fundamentals and Vocabulary, , ISO 9000. International Organization for Standardization (ISO): Geneva, Switzerland, [Google Scholar];\nJuran, J., (1988) Juran on Planning for Quality, , The Free Press: New York, NY, USA, [Google Scholar];\nWang, R.Y., Strong, D.M., Beyond Accuracy: What Data Quality Means to Data Consumers (1996) J. Manag. Inf. Syst, 12, pp. 5-33. , [Google Scholar] [CrossRef];\nBatini, C., Scannapieca, M., (2006) Data Quality: Concepts, Methodologies and Techniques, , Carey, M.J., Ceri, S., Eds.; Springer: Berlin/Heidelberg, Germany, ISBN 9783540331728. [Google Scholar];\nBatini, C., Daniele, B., Federico, C., Simone, G., A Data Quality Methodology for Heterogeneous Data (2011) Int. J. Database Manag. Syst. IJDMS, 3, pp. 60-79. , [Google Scholar];\nCrosby, P., (1979) Quality is Free, , McGraw-Hill: New York, NY, USA, [Google Scholar];\nReiker, W.S., Quality Control Circle and Company Wide Quality Control (1983) Qual. Pr, 16, pp. 14-17. , [Google Scholar];\nLee, Y.W., Pipino, L.L., Funk, J.D., Wang, R.Y., (2006) Journey to Data Quality, , The MIT Press: Cambridge, MA, USA; London, UK, ISBN 9780262122870. [Google Scholar];\nBatini, C., Cappiello, C., Francalanci, C., Maurino, A., Methodologies for Data Quality Assessment and Improvement (2009) ACM Comput. Surv, 41, pp. 1-52. , [Google Scholar] [CrossRef];\nMcCormack, S., Implementing Effective Data Quality, , Https://www.youtube.com/watch?v=OKLeAitmCcUandfeature=youtu.be, (accessed on 4 January 2021);\nWorld Bank Group Digital Government Assessments: Recent Approaches and Methodologies, , Https://olc.worldbank.org/print/content/digital-government-assessments-recent-approaches-and-methodologies, (accessed on 7 January 2021);\nOECD Digital Government Toolkit, , Https://www.oecd.org/governance/digital-government/toolkit/12principles/, OECD. (accessed on 7 January 2021);\n(2016) Digital Dividends, , World Bank Group. The World Bank: Wahington, DC, USA, ISBN 9781464806711. [Google Scholar]","page":"120","publisher":"MDPI AG","publisher-place":"Department of Geodetic Engineering, Faculty of Engineering, Universitas Gadjah Mada, Yogyakarta, 55281, Indonesia","title":"Digital Transformation of Land Services in Indonesia: A Readiness Assessment","type":"article-journal","volume":"10"},"uris":["http://www.mendeley.com/documents/?uuid=68a735c7-3c3e-4e6a-8423-6e667707ece4"]}],"mendeley":{"formattedCitation":"(Kusmiarto et al., 2021)","plainTextFormattedCitation":"(Kusmiarto et al., 2021)","previouslyFormattedCitation":"(Kusmiarto et al., 2021)"},"properties":{"noteIndex":0},"schema":"https://github.com/citation-style-language/schema/raw/master/csl-citation.json"}</w:instrText>
      </w:r>
      <w:r w:rsidR="006131EA" w:rsidRPr="004D5D1F">
        <w:rPr>
          <w:rFonts w:ascii="Arial" w:eastAsia="Calibri" w:hAnsi="Arial" w:cs="Arial"/>
          <w:lang w:val="en"/>
        </w:rPr>
        <w:fldChar w:fldCharType="separate"/>
      </w:r>
      <w:r w:rsidR="006131EA" w:rsidRPr="004D5D1F">
        <w:rPr>
          <w:rFonts w:ascii="Arial" w:eastAsia="Calibri" w:hAnsi="Arial" w:cs="Arial"/>
          <w:noProof/>
          <w:lang w:val="en"/>
        </w:rPr>
        <w:t>(Kusmiarto et al., 2021)</w:t>
      </w:r>
      <w:r w:rsidR="006131EA" w:rsidRPr="004D5D1F">
        <w:rPr>
          <w:rFonts w:ascii="Arial" w:eastAsia="Calibri" w:hAnsi="Arial" w:cs="Arial"/>
          <w:lang w:val="en"/>
        </w:rPr>
        <w:fldChar w:fldCharType="end"/>
      </w:r>
      <w:r w:rsidR="006131EA" w:rsidRPr="004D5D1F">
        <w:rPr>
          <w:rFonts w:ascii="Arial" w:eastAsia="Calibri" w:hAnsi="Arial" w:cs="Arial"/>
          <w:lang w:val="en"/>
        </w:rPr>
        <w:t xml:space="preserve">. </w:t>
      </w:r>
      <w:r w:rsidRPr="002F40B4">
        <w:rPr>
          <w:rFonts w:ascii="Arial" w:eastAsia="Calibri" w:hAnsi="Arial" w:cs="Arial"/>
          <w:lang w:val="en"/>
        </w:rPr>
        <w:t xml:space="preserve">On the contrary, e-government is essential in realizing more open and participatory governance by enabling service delivery and public participation remotely </w:t>
      </w:r>
      <w:r w:rsidR="006131EA"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{"citationItems":[{"id":"ITEM-1","itemData":{"DOI":"10.21837/PM.V18I13.794","ISSN":"16756215","abstract":"Public participation is gaining popularity in local governance practices where the involvement of the public in the decision-making process is essential in promoting good governance concepts. However, local authorities are facing challenges in guiding public involvement in e-government services such as smart city programmes. Hence, this paper aimed to examine the participation process in e-government services and smart city programmes, and later to recommend a framework to assess participation level and process in local context. Petaling Jaya, Malaysia, was selected as a case study where interviews and observations were conducted with thematic analysis based on relevant themes. Through the selected attributes and designated questions in the participation framework, time and effort can be saved in addition to clearing the ambiguities of stakeholders who are keen on gaining the authentic participation culture in e-services and smart city programmes. This study has provided new insights on how e-government can be implemented by the local government after adopting a smart city policy in the context of public participation.","author":[{"dropping-particle":"","family":"Boon","given":"Lim Seng","non-dropping-particle":"","parse-names":false,"suffix":""},{"dropping-particle":"","family":"Malek","given":"Jalaluddin Abdul","non-dropping-particle":"","parse-names":false,"suffix":""},{"dropping-particle":"","family":"Hussain","given":"Mohd Yusof","non-dropping-particle":"","parse-names":false,"suffix":""},{"dropping-particle":"","family":"Tahir","given":"Zurinah","non-dropping-particle":"","parse-names":false,"suffix":""}],"container-title":"Planning Malaysia","id":"ITEM-1","issue":"3","issued":{"date-parts":[["2020","7","20"]]},"language":"English","note":"Cited By :5\n\nExport Date: 22 October 2022\n\nCorrespondence Address: Boon, L.S.; School of Social, Malaysia; email: limsengboonn@gmail.com\n\nReferences: Alonso, R. G., Castro, S. L., Technology helps, people make: A smart city governance framework grounded in deliberative democracy (2016) Smarter as the New Urban Agenda, pp. 333-347. , J. Gil-Garcia (Ed), –). Cham Heidelberg: Springer; \nAnthopoulos, L., Fitsilis, P., Evolution roadmaps for smart cities: Determining viable paths (2013) Proceedings of the 13th European Conference of the E-Government, pp. 27-35. , Varese, Italy, 13-14 June;\nArnstein, S. R., A ladder of citizen participation (1969) Journal of the American Institute of Planners, 35 (4), pp. 216-224;\nAxelsson, K., Melin, U., Citizen participation and involvement in eGovernment projects: An emergent framework (2008) EGOV 2008, LNCS, 5184, pp. 207-218. , M. A. Wimmer, H. J. Scholl, &amp;amp; E. Ferro (Eds), –). Verlag Berlin Heidelberg: Springer;\nAxelsson, K., Melin, U., Lindgren, I., Exploring the importance of citizen participation and involvement in e-government projects (2010) Transforming Government: People, Process and Policy, 4 (4), pp. 299-321;\nBovaird, T., Beyond engagement and participation: User and community coproduction of public services (2007) Pub. Admin. Review, pp. 846-860. , Sep-Oct;\nCavaye, A. L. M., User participation in system development revisited (1995) Information &amp;amp; Management, 28, pp. 311-323;\nCh’ng, B., (2018) New chapter opens for villagers in PJ, , https://www.thestar.com.my/metro/metro-news/2018/08/04/new-chapter-opensfor-villagers-in-pj-unique-container-library-launched-to-enhance-education-inthe/, Retrieved March 16, 2019, from;\nCornwall, A., Unpacking “participation”: Models, meanings and practices (2008) Community Development Journal, 43 (3), pp. 269-283;\nDeLone, W., McLean, E., Information Systems Success: The quest for the dependent variable (1992) Information Systems Research, 3 (1), pp. 60-95;\nDeLone, W., McLean, E., The DeLone and McLean model of information systems success: A ten-year update (2003) Journal of Management Information Systems, 19 (4), pp. 9-30;\nGiffinger, R., Fertner, C., Kramar, H., (2007) Smart cities: Ranking of European medium-sized cities, , et. Wien: TU Vienna;\nIrvin, R. A., Stansbury, J., Citizen participation in decision making (2004) Pub. Admin. Review, 64 (1), pp. 55-65;\nJafari, S. M., Ali, N. A., Exploring the values of e-governance to citizens (2011) E-CASE &amp;amp; e-Tech Inter. Conference, pp. 1312-1332. , Jan’11, Tokyo;\nKamalia Azma, K., Nor Laila, M. N., Citizen-centric demand model for transformational government systems (2017) PACIS 2017 Proceedings, 139;\nKing, C. S., Feltey, K. M., Susel, B. O., The question of participation: Toward authentic public participation in public administration (1998) Pub. Admin. Review, 58 (4), pp. 317-326;\nLynch, T., Gregor, S., User participation in decision support systems development (2004) European Journal of Information Systems, 13, pp. 286-301;\n(2012) Pelan Strategik Sustainable Petaling Jaya 2030, , Majlis Bandaraya Petaling Jaya (MBPJ). Petaling Jaya: Majlis Bandaraya Petaling Jaya;\n(2018) Petaling Jaya population demographics, , https://www.pjkcd.net/population-demographicsMajlisBandarayaPetalingJaya(MBPJ), Majlis Bandaraya Petaling Jaya (MBPJ). Retrieved March 19, 2019, from (2019). PJ Green Squad. Retrieved January 4, 2019, from http://eps.mbpj.gov.my/query/PJGreenSquadInfo.pdf;\nMariana, M. O., (2008) Stakeholder participation in the implementation of Local Agenda 21 in Malaysia, , PhD thesis, Universiti Putra Malaysia;\nMumford, E., Consensus systems design: An evaluation of this approach (1979) Design and Implementation of CBIS, , N. Szyperski &amp;amp; E. Grochla (Eds), Groningen: Sijthoff and Noordhoff;\nNam, T., Pardo, T., Conceptualizing smart city with dimensions of technology, people &amp;amp; institutions (2011) Proceedings of the 12th Inter. Conf. on Dig. Gov. Research, pp. 282-291. , June 12–15, College Park, MD, USA;\nSakdon, Z., (2019) Council launches RM3mil community grant project, , https://www.thestar.com.my/metro/metronews/2019/03/07/council-launches-rm3mil-community-grant-project/, Retrieved March 10, 2019, from;\nVigoda, E., From responsiveness to collaboration (2002) Pub. Admin. Review, 62 (5), pp. 527-540;\nWhite, S. C., Depoliticising development: The uses and abuses of participation (1996) Development in Practice, 6 (1), pp. 6-15;\nYildiz, M., E-government research: Reviewing the literature, limitations, and ways forward (2007) Government Information Quarterly, 24, pp. 646-665;\nYin, R. K., (2018) Case Study Research and Applications: Design and Methods, , (Sixth Edition). Thousand Oaks: Sage;\nZikri, M., Tarmiji, M., Aziz, A. M., Local government service efficiency: Public participation matters (2015) Int. Jour. of Soc. Science &amp;amp; Humanity, 5 (10), pp. 827-831","page":"300-312","publisher":"Malaysian Institute Of Planners","publisher-place":"School of Social, Development and Environmental Studies, Faculty of Social Sciences and Humanities, Universiti Kebangsaan Malaysia, Malaysia","title":"Participation in e-government services and smart city programs: A case study of Malaysian local authority","type":"article-journal","volume":"18"},"uris":["http://www.mendeley.com/documents/?uuid=00e7c4dd-234c-4cac-a8b4-25b4b2121a2e"]}],"mendeley":{"formattedCitation":"(Boon et al., 2020)","plainTextFormattedCitation":"(Boon et al., 2020)","previouslyFormattedCitation":"(Boon et al., 2020)"},"properties":{"noteIndex":0},"schema":"https://github.com/citation-style-language/schema/raw/master/csl-citation.json"}</w:instrText>
      </w:r>
      <w:r w:rsidR="006131EA" w:rsidRPr="004D5D1F">
        <w:rPr>
          <w:rFonts w:ascii="Arial" w:eastAsia="Calibri" w:hAnsi="Arial" w:cs="Arial"/>
          <w:lang w:val="en"/>
        </w:rPr>
        <w:fldChar w:fldCharType="separate"/>
      </w:r>
      <w:r w:rsidR="006131EA" w:rsidRPr="004D5D1F">
        <w:rPr>
          <w:rFonts w:ascii="Arial" w:eastAsia="Calibri" w:hAnsi="Arial" w:cs="Arial"/>
          <w:noProof/>
          <w:lang w:val="en"/>
        </w:rPr>
        <w:t>(Boon et al., 2020)</w:t>
      </w:r>
      <w:r w:rsidR="006131EA" w:rsidRPr="004D5D1F">
        <w:rPr>
          <w:rFonts w:ascii="Arial" w:eastAsia="Calibri" w:hAnsi="Arial" w:cs="Arial"/>
          <w:lang w:val="en"/>
        </w:rPr>
        <w:fldChar w:fldCharType="end"/>
      </w:r>
      <w:r w:rsidR="006131EA" w:rsidRPr="004D5D1F">
        <w:rPr>
          <w:rFonts w:ascii="Arial" w:eastAsia="Calibri" w:hAnsi="Arial" w:cs="Arial"/>
          <w:lang w:val="en"/>
        </w:rPr>
        <w:t>.</w:t>
      </w:r>
    </w:p>
    <w:p w14:paraId="3E18A463" w14:textId="0FB58D6B" w:rsidR="00081EDE" w:rsidRPr="00022A8F" w:rsidRDefault="00081EDE" w:rsidP="00022A8F">
      <w:pPr>
        <w:spacing w:after="0" w:line="276" w:lineRule="auto"/>
        <w:jc w:val="both"/>
        <w:rPr>
          <w:rFonts w:ascii="Arial" w:hAnsi="Arial" w:cs="Arial"/>
          <w:b/>
          <w:i/>
          <w:szCs w:val="20"/>
        </w:rPr>
      </w:pPr>
      <w:r w:rsidRPr="00022A8F">
        <w:rPr>
          <w:rFonts w:ascii="Arial" w:hAnsi="Arial" w:cs="Arial"/>
          <w:b/>
          <w:i/>
          <w:szCs w:val="20"/>
        </w:rPr>
        <w:t>Mapping Research Topics</w:t>
      </w:r>
    </w:p>
    <w:p w14:paraId="526731D2" w14:textId="58350D8C" w:rsidR="00081EDE" w:rsidRPr="004D5D1F" w:rsidRDefault="002F40B4" w:rsidP="00D93CCB">
      <w:pPr>
        <w:spacing w:after="0" w:line="276" w:lineRule="auto"/>
        <w:ind w:firstLine="851"/>
        <w:jc w:val="both"/>
        <w:rPr>
          <w:rFonts w:ascii="Arial" w:eastAsia="Calibri" w:hAnsi="Arial" w:cs="Arial"/>
          <w:lang w:val="en"/>
        </w:rPr>
      </w:pPr>
      <w:r w:rsidRPr="002F40B4">
        <w:rPr>
          <w:rFonts w:ascii="Arial" w:eastAsia="Calibri" w:hAnsi="Arial" w:cs="Arial"/>
          <w:lang w:val="en"/>
        </w:rPr>
        <w:t xml:space="preserve">Conceptual structure maps incorporate cluster analysis to conduct systematic reviews and visualize research topics </w:t>
      </w:r>
      <w:r w:rsidR="006131EA"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{"citationItems":[{"id":"ITEM-1","itemData":{"DOI":"10.1007/978-3-319-57413-4_11","ISBN":"9783319574134","abstract":"Cluster analysis is an exploratory tool for compressing data into a smaller number of groups or representing points. The latter aims at sufficiently summarizing the underlying data structure and as such can serve the analyst for further consideration instead of dealing with the complete data set. Because of this data compression property, cluster analysis remains to be an essential part of the marketing analyst’s toolbox in today’s data rich business environment. This chapter gives an overview of the various approaches and methods for cluster analysis and links them with the most relevant marketing research contexts. We also provide pointers to the specific packages and functions for performing cluster analysis using the R ecosystem for statistical computing. A substantial part of this chapter is devoted to the illustration of applying different clustering procedures to a reference data set of shopping basket data. We briefly outline the general approach of the considered techniques, provide a walk-through for the corresponding R code required to perform the analyses, and offer some interpretation of the results.","author":[{"dropping-particle":"","family":"Reutterer","given":"Thomas","non-dropping-particle":"","parse-names":false,"suffix":""},{"dropping-particle":"","family":"Dan","given":"Daniel","non-dropping-particle":"","parse-names":false,"suffix":""}],"container-title":"Handbook of Market Research","id":"ITEM-1","issued":{"date-parts":[["2021"]]},"language":"English","page":"221-249","publisher":"Springer International Publishing","publisher-place":"Department of Marketing, WU Vienna University of Economics and Business, Vienna, Austria","title":"Cluster Analysis in Marketing Research","type":"chapter"},"uris":["http://www.mendeley.com/documents/?uuid=57285ff0-b0ea-4cb1-9424-7669d10102fb","http://www.mendeley.com/documents/?uuid=d7ab5c8d-3f2c-4290-b15a-6462d0e3c661"]}],"mendeley":{"formattedCitation":"(Reutterer &amp; Dan, 2021)","plainTextFormattedCitation":"(Reutterer &amp; Dan, 2021)","previouslyFormattedCitation":"(Reutterer &amp; Dan, 2021)"},"properties":{"noteIndex":0},"schema":"https://github.com/citation-style-language/schema/raw/master/csl-citation.json"}</w:instrText>
      </w:r>
      <w:r w:rsidR="006131EA" w:rsidRPr="004D5D1F">
        <w:rPr>
          <w:rFonts w:ascii="Arial" w:eastAsia="Calibri" w:hAnsi="Arial" w:cs="Arial"/>
          <w:lang w:val="en"/>
        </w:rPr>
        <w:fldChar w:fldCharType="separate"/>
      </w:r>
      <w:r w:rsidR="006131EA" w:rsidRPr="004D5D1F">
        <w:rPr>
          <w:rFonts w:ascii="Arial" w:eastAsia="Calibri" w:hAnsi="Arial" w:cs="Arial"/>
          <w:noProof/>
          <w:lang w:val="en"/>
        </w:rPr>
        <w:t>(Reutterer &amp; Dan, 2021)</w:t>
      </w:r>
      <w:r w:rsidR="006131EA" w:rsidRPr="004D5D1F">
        <w:rPr>
          <w:rFonts w:ascii="Arial" w:eastAsia="Calibri" w:hAnsi="Arial" w:cs="Arial"/>
          <w:lang w:val="en"/>
        </w:rPr>
        <w:fldChar w:fldCharType="end"/>
      </w:r>
      <w:r w:rsidRPr="002F40B4">
        <w:rPr>
          <w:rFonts w:ascii="Arial" w:eastAsia="Calibri" w:hAnsi="Arial" w:cs="Arial"/>
          <w:lang w:val="en"/>
        </w:rPr>
        <w:t xml:space="preserve">. With this method, researchers can discern both homogeneous and heterogeneous conceptual patterns across various disciplines </w:t>
      </w:r>
      <w:r w:rsidR="006131EA"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{"citationItems":[{"id":"ITEM-1","itemData":{"DOI":"10.13998/j.cnki.issn1002-1248.23-0214","ISSN":"10021248","abstract":"[Purpose/Significance] Interdisciplinary research can creatively solve complex problems in natural environment and human society through knowledge integration and penetration. With the increase of interdisciplinary research results, the evaluation of interdisciplinarity becomes increasingly necessary. How to establish an effective method for interdisciplinarity measurement and achieve a comprehensive measurement of scientific research papers is an urgent problem to be solved. [Method/Process] Based on the above background, this study takes the data of scientific research papers as the analysis source, deconstructs the interdisciplinarity of scientific research papers from multiple dimensions, constructs the feature set of interdisciplinarity of scientific research papers, and on this basis proposes the method for measuring interdisciplinarity based on the adaptive method of machine learning, and conducts a comprehensive measurement of interdisciplinarity. This study has certain positive significance for researchers to understand the interdisciplinary papers in the field. The work process is as follows: First of all, the basic concepts of interdisciplinarity are sorted out and related concepts are discriminated, and the index of interdisciplinarity of different dimensions is analyzed. Based on the connotation and characteristics of interdisciplinary research, the characteristic index of interdisciplinarity of scientific research papers is extracted from three dimensions: subject attribute, knowledge network topology and knowledge integration text content. Secondly, an interdisciplinarity measurement method based on machine learning is constructed. By analyzing information gain and feature similarity of input indexes and data in feature sets, a feature selection calculation method based on adaptive feature selection is proposed, and the accuracy of feature classification is maximized by machine learning classifier. At the same time, the feature subset that can best express the interdisciplinary is selected based on the adaptive selection of the minimum number of features, and the selected adaptive feature set is used in the calculation of the interdisciplinary of the paper, and the results of the calculation of the original feature set are analyzed comprehensively. Finally, an empirical study was carried out in the field of plant nanobiotechnology to verify the effectiveness of the index system and adaptive feature selection listed above, identify and scr…","author":[{"dropping-particle":"","family":"Wang","given":"Jinfei","non-dropping-particle":"","parse-names":false,"suffix":""},{"dropping-particle":"","family":"Sun","given":"Wei","non-dropping-particle":"","parse-names":false,"suffix":""},{"dropping-particle":"","family":"Zhang","given":"Xuefu","non-dropping-particle":"","parse-names":false,"suffix":""},{"dropping-particle":"","family":"Yang","given":"Lu","non-dropping-particle":"","parse-names":false,"suffix":""}],"container-title":"Journal of Library and Information Science in Agriculture","id":"ITEM-1","issue":"3","issued":{"date-parts":[["2023"]]},"language":"Chinese","page":"52-70","publisher":"Agricultural Information Institute, Chinese Academy of Agricultural Sciences","publisher-place":"Institute of Agricultural Information, Chinese Academy of Agricultural Sciences, Beijing, 100081, China","title":"Interdisciplinarity Measurement Method of Scientific Research Papers based on Adaptive Feature Selection","type":"article-journal","volume":"35"},"uris":["http://www.mendeley.com/documents/?uuid=5a6a7899-a5c3-48d8-b351-85d28cc65a32","http://www.mendeley.com/documents/?uuid=e7f4f871-7902-4186-8819-d276a123d2c8"]}],"mendeley":{"formattedCitation":"(J. Wang et al., 2023)","plainTextFormattedCitation":"(J. Wang et al., 2023)","previouslyFormattedCitation":"(J. Wang et al., 2023)"},"properties":{"noteIndex":0},"schema":"https://github.com/citation-style-language/schema/raw/master/csl-citation.json"}</w:instrText>
      </w:r>
      <w:r w:rsidR="006131EA" w:rsidRPr="004D5D1F">
        <w:rPr>
          <w:rFonts w:ascii="Arial" w:eastAsia="Calibri" w:hAnsi="Arial" w:cs="Arial"/>
          <w:lang w:val="en"/>
        </w:rPr>
        <w:fldChar w:fldCharType="separate"/>
      </w:r>
      <w:r w:rsidR="006131EA" w:rsidRPr="004D5D1F">
        <w:rPr>
          <w:rFonts w:ascii="Arial" w:eastAsia="Calibri" w:hAnsi="Arial" w:cs="Arial"/>
          <w:noProof/>
          <w:lang w:val="en"/>
        </w:rPr>
        <w:t>(J. Wang et al., 2023)</w:t>
      </w:r>
      <w:r w:rsidR="006131EA" w:rsidRPr="004D5D1F">
        <w:rPr>
          <w:rFonts w:ascii="Arial" w:eastAsia="Calibri" w:hAnsi="Arial" w:cs="Arial"/>
          <w:lang w:val="en"/>
        </w:rPr>
        <w:fldChar w:fldCharType="end"/>
      </w:r>
      <w:r w:rsidR="006131EA" w:rsidRPr="004D5D1F">
        <w:rPr>
          <w:rFonts w:ascii="Arial" w:eastAsia="Calibri" w:hAnsi="Arial" w:cs="Arial"/>
          <w:lang w:val="en"/>
        </w:rPr>
        <w:t>.</w:t>
      </w:r>
      <w:r w:rsidR="006131EA">
        <w:rPr>
          <w:rFonts w:ascii="Arial" w:eastAsia="Calibri" w:hAnsi="Arial" w:cs="Arial"/>
          <w:lang w:val="en"/>
        </w:rPr>
        <w:t xml:space="preserve"> </w:t>
      </w:r>
      <w:r w:rsidRPr="002F40B4">
        <w:rPr>
          <w:rFonts w:ascii="Arial" w:eastAsia="Calibri" w:hAnsi="Arial" w:cs="Arial"/>
          <w:lang w:val="en"/>
        </w:rPr>
        <w:t xml:space="preserve">Additionally, this approach focuses on efficient clustering techniques and scalable algorithms, which are essential for capturing the complete structure and dynamics of the research topics under investigation through cluster analysis </w:t>
      </w:r>
      <w:r w:rsidR="006131EA"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{"citationItems":[{"id":"ITEM-1","itemData":{"DOI":"10.1109/GCITC60406.2023.10426546","ISBN":"9798350308167","abstract":"Big data clustering on cloud platforms has become increasingly important due to the exponential growth of data and the need for scalable and efficient processing. This review examines a paper that focuses on the application of clustering algorithms in a cloud computing environment to analyze and cluster large-scale datasets. The paper explores the implementation and evaluation of various clustering algorithms in a cloud-computing environment. It introduces the problem of big data clustering and highlights the significance of leveraging cloud resources to handle massive volumes of data efficiently. The authors propose a novel approach that utilizes cloud infrastructure to perform distributed clustering and present experimental results using real- world datasets. The paper provides a comprehensive literature review on big data clustering and cloud computing. It discusses relevant prior research, highlighting the gaps and challenges addressed by the proposed approach. The research provides evidence for the scalability and effectiveness of the suggested method when working with sizable datasets. It showcases the advantages of cloud-computing in terms of resource utilization and processing time.","author":[{"dropping-particle":"","family":"Gupta","given":"Vishan Kumar","non-dropping-particle":"","parse-names":false,"suffix":""},{"dropping-particle":"","family":"Gupta","given":"Avdhesh","non-dropping-particle":"","parse-names":false,"suffix":""},{"dropping-particle":"","family":"Agrawal","given":"Madhup","non-dropping-particle":"","parse-names":false,"suffix":""},{"dropping-particle":"","family":"Sardana","given":"Anjali","non-dropping-particle":"","parse-names":false,"suffix":""},{"dropping-particle":"","family":"Shukla","given":"Surendra Kumar","non-dropping-particle":"","parse-names":false,"suffix":""},{"dropping-particle":"","family":"Joshi","given":"Kireet","non-dropping-particle":"","parse-names":false,"suffix":""}],"container-title":"2023 Global Conference on Information Technologies and Communications, GCITC 2023","id":"ITEM-1","issued":{"date-parts":[["2023"]]},"language":"English","publisher":"Institute of Electrical and Electronics Engineers Inc.","publisher-place":"Amity University Punjab, Department of Cse, Mohali, India","title":"An Effectual Method for Clustering of Bigdata on the Cloud using Fuzzy c-means Algorithm","type":"paper-conference"},"uris":["http://www.mendeley.com/documents/?uuid=d5d46a96-5ca3-4438-83e2-9a094f2701d0","http://www.mendeley.com/documents/?uuid=157b9a67-1045-4b71-bb88-e7a1d8b04cde"]}],"mendeley":{"formattedCitation":"(Gupta et al., 2023)","plainTextFormattedCitation":"(Gupta et al., 2023)","previouslyFormattedCitation":"(Gupta et al., 2023)"},"properties":{"noteIndex":0},"schema":"https://github.com/citation-style-language/schema/raw/master/csl-citation.json"}</w:instrText>
      </w:r>
      <w:r w:rsidR="006131EA" w:rsidRPr="004D5D1F">
        <w:rPr>
          <w:rFonts w:ascii="Arial" w:eastAsia="Calibri" w:hAnsi="Arial" w:cs="Arial"/>
          <w:lang w:val="en"/>
        </w:rPr>
        <w:fldChar w:fldCharType="separate"/>
      </w:r>
      <w:r w:rsidR="006131EA" w:rsidRPr="004D5D1F">
        <w:rPr>
          <w:rFonts w:ascii="Arial" w:eastAsia="Calibri" w:hAnsi="Arial" w:cs="Arial"/>
          <w:noProof/>
          <w:lang w:val="en"/>
        </w:rPr>
        <w:t>(Gupta et al., 2023)</w:t>
      </w:r>
      <w:r w:rsidR="006131EA" w:rsidRPr="004D5D1F">
        <w:rPr>
          <w:rFonts w:ascii="Arial" w:eastAsia="Calibri" w:hAnsi="Arial" w:cs="Arial"/>
          <w:lang w:val="en"/>
        </w:rPr>
        <w:fldChar w:fldCharType="end"/>
      </w:r>
      <w:r w:rsidR="006131EA" w:rsidRPr="004D5D1F">
        <w:rPr>
          <w:rFonts w:ascii="Arial" w:eastAsia="Calibri" w:hAnsi="Arial" w:cs="Arial"/>
          <w:lang w:val="en"/>
        </w:rPr>
        <w:t>.</w:t>
      </w:r>
    </w:p>
    <w:p w14:paraId="0CFDC549" w14:textId="77777777" w:rsidR="00F94379" w:rsidRDefault="00F94379" w:rsidP="00E15DFB">
      <w:pPr>
        <w:spacing w:after="0" w:line="276" w:lineRule="auto"/>
        <w:jc w:val="center"/>
        <w:rPr>
          <w:rFonts w:ascii="Arial" w:eastAsia="Calibri" w:hAnsi="Arial" w:cs="Arial"/>
          <w:b/>
          <w:szCs w:val="20"/>
          <w:lang w:val="id-ID"/>
        </w:rPr>
      </w:pPr>
    </w:p>
    <w:p w14:paraId="7EB46068" w14:textId="77777777" w:rsidR="00F94379" w:rsidRDefault="00F94379" w:rsidP="00E15DFB">
      <w:pPr>
        <w:spacing w:after="0" w:line="276" w:lineRule="auto"/>
        <w:jc w:val="center"/>
        <w:rPr>
          <w:rFonts w:ascii="Arial" w:eastAsia="Calibri" w:hAnsi="Arial" w:cs="Arial"/>
          <w:b/>
          <w:szCs w:val="20"/>
          <w:lang w:val="id-ID"/>
        </w:rPr>
      </w:pPr>
    </w:p>
    <w:p w14:paraId="5BEF268B" w14:textId="7E863BE3" w:rsidR="00081EDE" w:rsidRPr="00E15DFB" w:rsidRDefault="00022A8F" w:rsidP="00E15DFB">
      <w:pPr>
        <w:spacing w:after="0" w:line="276" w:lineRule="auto"/>
        <w:jc w:val="center"/>
        <w:rPr>
          <w:rFonts w:ascii="Arial" w:eastAsia="Calibri" w:hAnsi="Arial" w:cs="Arial"/>
          <w:b/>
          <w:szCs w:val="20"/>
          <w:lang w:val="id-ID"/>
        </w:rPr>
      </w:pPr>
      <w:proofErr w:type="spellStart"/>
      <w:r>
        <w:rPr>
          <w:rFonts w:ascii="Arial" w:eastAsia="Calibri" w:hAnsi="Arial" w:cs="Arial"/>
          <w:b/>
          <w:szCs w:val="20"/>
          <w:lang w:val="id-ID"/>
        </w:rPr>
        <w:t>Figure</w:t>
      </w:r>
      <w:proofErr w:type="spellEnd"/>
      <w:r w:rsidRPr="00022A8F">
        <w:rPr>
          <w:rFonts w:ascii="Arial" w:eastAsia="Calibri" w:hAnsi="Arial" w:cs="Arial"/>
          <w:b/>
          <w:szCs w:val="20"/>
          <w:lang w:val="id-ID"/>
        </w:rPr>
        <w:t xml:space="preserve"> 3. </w:t>
      </w:r>
      <w:proofErr w:type="spellStart"/>
      <w:r w:rsidRPr="00022A8F">
        <w:rPr>
          <w:rFonts w:ascii="Arial" w:eastAsia="Calibri" w:hAnsi="Arial" w:cs="Arial"/>
          <w:b/>
          <w:szCs w:val="20"/>
          <w:lang w:val="id-ID"/>
        </w:rPr>
        <w:t>Conceptual</w:t>
      </w:r>
      <w:proofErr w:type="spellEnd"/>
      <w:r w:rsidRPr="00022A8F">
        <w:rPr>
          <w:rFonts w:ascii="Arial" w:eastAsia="Calibri" w:hAnsi="Arial" w:cs="Arial"/>
          <w:b/>
          <w:szCs w:val="20"/>
          <w:lang w:val="id-ID"/>
        </w:rPr>
        <w:t xml:space="preserve"> </w:t>
      </w:r>
      <w:proofErr w:type="spellStart"/>
      <w:r w:rsidRPr="00022A8F">
        <w:rPr>
          <w:rFonts w:ascii="Arial" w:eastAsia="Calibri" w:hAnsi="Arial" w:cs="Arial"/>
          <w:b/>
          <w:szCs w:val="20"/>
          <w:lang w:val="id-ID"/>
        </w:rPr>
        <w:t>Structure</w:t>
      </w:r>
      <w:proofErr w:type="spellEnd"/>
      <w:r w:rsidRPr="00022A8F">
        <w:rPr>
          <w:rFonts w:ascii="Arial" w:eastAsia="Calibri" w:hAnsi="Arial" w:cs="Arial"/>
          <w:b/>
          <w:szCs w:val="20"/>
          <w:lang w:val="id-ID"/>
        </w:rPr>
        <w:t xml:space="preserve"> Map</w:t>
      </w:r>
      <w:bookmarkStart w:id="1" w:name="_Hlk202096034"/>
      <w:bookmarkEnd w:id="1"/>
    </w:p>
    <w:p w14:paraId="00A699DC" w14:textId="77777777" w:rsidR="00081EDE" w:rsidRPr="002F2E68" w:rsidRDefault="00081EDE" w:rsidP="00081EDE">
      <w:pPr>
        <w:spacing w:after="0" w:line="240" w:lineRule="auto"/>
        <w:jc w:val="center"/>
        <w:rPr>
          <w:rFonts w:ascii="Times New Roman" w:eastAsia="Times New Roman" w:hAnsi="Times New Roman" w:cs="Times New Roman"/>
          <w:b/>
          <w:bCs/>
          <w:sz w:val="24"/>
          <w:szCs w:val="24"/>
        </w:rPr>
      </w:pPr>
      <w:r w:rsidRPr="002F2E68">
        <w:rPr>
          <w:rFonts w:ascii="Times New Roman" w:eastAsia="Times New Roman" w:hAnsi="Times New Roman" w:cs="Times New Roman"/>
          <w:b/>
          <w:bCs/>
          <w:noProof/>
          <w:sz w:val="24"/>
          <w:szCs w:val="24"/>
        </w:rPr>
        <w:drawing>
          <wp:inline distT="0" distB="0" distL="0" distR="0" wp14:anchorId="6C05032F" wp14:editId="2E2927B1">
            <wp:extent cx="5040000" cy="3359815"/>
            <wp:effectExtent l="0" t="0" r="8255" b="0"/>
            <wp:docPr id="2127938303" name="Picture 2" descr="A white sheet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938303" name="Picture 2" descr="A white sheet with black text&#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0000" cy="3359815"/>
                    </a:xfrm>
                    <a:prstGeom prst="rect">
                      <a:avLst/>
                    </a:prstGeom>
                  </pic:spPr>
                </pic:pic>
              </a:graphicData>
            </a:graphic>
          </wp:inline>
        </w:drawing>
      </w:r>
    </w:p>
    <w:p w14:paraId="6CE0A351" w14:textId="7C2180CC" w:rsidR="00081EDE" w:rsidRPr="002F2E68" w:rsidRDefault="00081EDE" w:rsidP="00022A8F">
      <w:pPr>
        <w:spacing w:after="0" w:line="276" w:lineRule="auto"/>
        <w:jc w:val="center"/>
        <w:rPr>
          <w:rFonts w:ascii="Times New Roman" w:hAnsi="Times New Roman" w:cs="Times New Roman"/>
          <w:sz w:val="24"/>
          <w:szCs w:val="24"/>
        </w:rPr>
      </w:pPr>
      <w:bookmarkStart w:id="2" w:name="_Hlk201865022"/>
      <w:proofErr w:type="spellStart"/>
      <w:r w:rsidRPr="00022A8F">
        <w:rPr>
          <w:rFonts w:ascii="Arial" w:eastAsia="Calibri" w:hAnsi="Arial" w:cs="Arial"/>
          <w:b/>
          <w:szCs w:val="20"/>
          <w:lang w:val="id-ID"/>
        </w:rPr>
        <w:t>Source</w:t>
      </w:r>
      <w:proofErr w:type="spellEnd"/>
      <w:r w:rsidRPr="00022A8F">
        <w:rPr>
          <w:rFonts w:ascii="Arial" w:eastAsia="Calibri" w:hAnsi="Arial" w:cs="Arial"/>
          <w:b/>
          <w:szCs w:val="20"/>
          <w:lang w:val="id-ID"/>
        </w:rPr>
        <w:t xml:space="preserve">: </w:t>
      </w:r>
      <w:proofErr w:type="spellStart"/>
      <w:r w:rsidR="009F728E" w:rsidRPr="00022A8F">
        <w:rPr>
          <w:rFonts w:ascii="Arial" w:eastAsia="Calibri" w:hAnsi="Arial" w:cs="Arial"/>
          <w:b/>
          <w:szCs w:val="20"/>
          <w:lang w:val="id-ID"/>
        </w:rPr>
        <w:t>Author</w:t>
      </w:r>
      <w:proofErr w:type="spellEnd"/>
      <w:r w:rsidR="009F728E" w:rsidRPr="00022A8F">
        <w:rPr>
          <w:rFonts w:ascii="Arial" w:eastAsia="Calibri" w:hAnsi="Arial" w:cs="Arial"/>
          <w:b/>
          <w:szCs w:val="20"/>
          <w:lang w:val="id-ID"/>
        </w:rPr>
        <w:t xml:space="preserve"> </w:t>
      </w:r>
      <w:proofErr w:type="spellStart"/>
      <w:r w:rsidR="009F728E" w:rsidRPr="00022A8F">
        <w:rPr>
          <w:rFonts w:ascii="Arial" w:eastAsia="Calibri" w:hAnsi="Arial" w:cs="Arial"/>
          <w:b/>
          <w:szCs w:val="20"/>
          <w:lang w:val="id-ID"/>
        </w:rPr>
        <w:t>generated</w:t>
      </w:r>
      <w:proofErr w:type="spellEnd"/>
      <w:r w:rsidR="009F728E" w:rsidRPr="00022A8F">
        <w:rPr>
          <w:rFonts w:ascii="Arial" w:eastAsia="Calibri" w:hAnsi="Arial" w:cs="Arial"/>
          <w:b/>
          <w:szCs w:val="20"/>
          <w:lang w:val="id-ID"/>
        </w:rPr>
        <w:t xml:space="preserve"> </w:t>
      </w:r>
      <w:proofErr w:type="spellStart"/>
      <w:r w:rsidR="009F728E" w:rsidRPr="00022A8F">
        <w:rPr>
          <w:rFonts w:ascii="Arial" w:eastAsia="Calibri" w:hAnsi="Arial" w:cs="Arial"/>
          <w:b/>
          <w:szCs w:val="20"/>
          <w:lang w:val="id-ID"/>
        </w:rPr>
        <w:t>through</w:t>
      </w:r>
      <w:proofErr w:type="spellEnd"/>
      <w:r w:rsidR="009F728E" w:rsidRPr="00022A8F">
        <w:rPr>
          <w:rFonts w:ascii="Arial" w:eastAsia="Calibri" w:hAnsi="Arial" w:cs="Arial"/>
          <w:b/>
          <w:szCs w:val="20"/>
          <w:lang w:val="id-ID"/>
        </w:rPr>
        <w:t xml:space="preserve"> </w:t>
      </w:r>
      <w:proofErr w:type="spellStart"/>
      <w:r w:rsidR="009F728E">
        <w:rPr>
          <w:rFonts w:ascii="Arial" w:eastAsia="Calibri" w:hAnsi="Arial" w:cs="Arial"/>
          <w:b/>
          <w:szCs w:val="20"/>
          <w:lang w:val="id-ID"/>
        </w:rPr>
        <w:t>RStudio-Biblioshiny</w:t>
      </w:r>
      <w:bookmarkStart w:id="3" w:name="_Hlk202096046"/>
      <w:bookmarkEnd w:id="3"/>
      <w:proofErr w:type="spellEnd"/>
    </w:p>
    <w:bookmarkEnd w:id="2"/>
    <w:p w14:paraId="5DD45A35" w14:textId="468FAF3C" w:rsidR="002F40B4" w:rsidRPr="002F40B4" w:rsidRDefault="002F40B4" w:rsidP="002F40B4">
      <w:pPr>
        <w:spacing w:after="0" w:line="276" w:lineRule="auto"/>
        <w:ind w:firstLine="567"/>
        <w:jc w:val="both"/>
        <w:rPr>
          <w:rFonts w:ascii="Arial" w:eastAsia="Calibri" w:hAnsi="Arial" w:cs="Arial"/>
          <w:lang w:val="en"/>
        </w:rPr>
      </w:pPr>
      <w:r w:rsidRPr="002F40B4">
        <w:rPr>
          <w:rFonts w:ascii="Arial" w:eastAsia="Calibri" w:hAnsi="Arial" w:cs="Arial"/>
          <w:lang w:val="en"/>
        </w:rPr>
        <w:t xml:space="preserve">Figure 3 shows the first cluster from the factorial analysis centers around the key terms </w:t>
      </w:r>
      <w:r w:rsidR="00454A75">
        <w:rPr>
          <w:rFonts w:ascii="Arial" w:eastAsia="Calibri" w:hAnsi="Arial" w:cs="Arial"/>
          <w:lang w:val="en"/>
        </w:rPr>
        <w:t>“</w:t>
      </w:r>
      <w:r w:rsidR="008E19FA">
        <w:rPr>
          <w:rFonts w:ascii="Arial" w:eastAsia="Calibri" w:hAnsi="Arial" w:cs="Arial"/>
          <w:lang w:val="en"/>
        </w:rPr>
        <w:t>s</w:t>
      </w:r>
      <w:r w:rsidRPr="002F40B4">
        <w:rPr>
          <w:rFonts w:ascii="Arial" w:eastAsia="Calibri" w:hAnsi="Arial" w:cs="Arial"/>
          <w:lang w:val="en"/>
        </w:rPr>
        <w:t xml:space="preserve">mart cities,” “Indonesia,” and “public participation.” This cluster illustrates the concept of smart cities in Indonesia while stressing the necessity of public participation. In this regard, the solutions for implementing smart cities in Indonesia are guided by collaboration between the governing bodies and the community willing to participate. As per Law No. 23 of 2014 stipulations, the regional innovation framework provides for community participation to solve socio-economic and environmental problems </w:t>
      </w:r>
      <w:r w:rsidR="006131EA"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{"citationItems":[{"id":"ITEM-1","itemData":{"DOI":"10.1051/e3sconf/202459404004","ISBN":"25550403 (ISSN)","ISSN":"22671242","abstract":"Smart city-based development has become a trend in the world amid the complexity of urban problems and the pace of technological development. Law No. 23 of 2014 concerning Regional Government, provides the widest possible space for regions, districts/cities to innovate in all forms of reform in the implementation of Regional Government. This study highlights the problems surrounding the role of the government in the implementation of smart cities in Indonesia, The role of the central and regional governments and community participation plays a big role for the district/city to become a smart city. Innovation in the implementation of smart cities needs to be pursued in order to formulate innovative solutions to various social, economic, and environmental challenges to improve the sustainability and livebility of cities. The government also continues to strive to build a smart city with various policies supported by regulations and budgeting, and then it is hoped that each region has its own characteristics or personal branding.","author":[{"dropping-particle":"","family":"Syah","given":"Ardy Firman","non-dropping-particle":"","parse-names":false,"suffix":""},{"dropping-particle":"","family":"Sacipto","given":"Rian","non-dropping-particle":"","parse-names":false,"suffix":""},{"dropping-particle":"","family":"Yasin","given":"Akhmad","non-dropping-particle":"","parse-names":false,"suffix":""},{"dropping-particle":"","family":"Maemunah","given":"Siti","non-dropping-particle":"","parse-names":false,"suffix":""},{"dropping-particle":"","family":"Nuryadin","given":"Deden","non-dropping-particle":"","parse-names":false,"suffix":""},{"dropping-particle":"","family":"Mutaqin","given":"Mutaqin","non-dropping-particle":"","parse-names":false,"suffix":""}],"container-title":"E3S Web of Conferences","editor":[{"dropping-particle":"","family":"D.","given":"Mutiarin","non-dropping-particle":"","parse-names":false,"suffix":""},{"dropping-particle":"","family":"M.","given":"Alam","non-dropping-particle":"","parse-names":false,"suffix":""},{"dropping-particle":"","family":"D.","given":"Cahill","non-dropping-particle":"","parse-names":false,"suffix":""},{"dropping-particle":"","family":"J.","given":"Sharifuddin","non-dropping-particle":"","parse-names":false,"suffix":""},{"dropping-particle":"","family":"M.","given":"Senge","non-dropping-particle":"","parse-names":false,"suffix":""},{"dropping-particle":"","family":"A.","given":"Robani","non-dropping-particle":"","parse-names":false,"suffix":""},{"dropping-particle":"","family":"P.","given":"Saiyut","non-dropping-particle":"","parse-names":false,"suffix":""},{"dropping-particle":"","family":"A.","given":"Nurmandi","non-dropping-particle":"","parse-names":false,"suffix":""}],"id":"ITEM-1","issued":{"date-parts":[["2024"]]},"language":"English","publisher":"EDP Sciences","publisher-place":"Research Center for Domestic Governance, National Research and Innovation Agency, South Jakarta, Indonesia","title":"Smart City Implementation in Indonesian Regions: Juridical and Empirical Review","type":"paper-conference","volume":"594"},"uris":["http://www.mendeley.com/documents/?uuid=b9d38623-f877-4657-bf06-23858bf9bc85","http://www.mendeley.com/documents/?uuid=e6eda5b6-586e-40a7-8efa-d23c462632a2"]}],"mendeley":{"formattedCitation":"(Syah et al., 2024)","plainTextFormattedCitation":"(Syah et al., 2024)","previouslyFormattedCitation":"(Syah et al., 2024)"},"properties":{"noteIndex":0},"schema":"https://github.com/citation-style-language/schema/raw/master/csl-citation.json"}</w:instrText>
      </w:r>
      <w:r w:rsidR="006131EA" w:rsidRPr="004D5D1F">
        <w:rPr>
          <w:rFonts w:ascii="Arial" w:eastAsia="Calibri" w:hAnsi="Arial" w:cs="Arial"/>
          <w:lang w:val="en"/>
        </w:rPr>
        <w:fldChar w:fldCharType="separate"/>
      </w:r>
      <w:r w:rsidR="006131EA" w:rsidRPr="004D5D1F">
        <w:rPr>
          <w:rFonts w:ascii="Arial" w:eastAsia="Calibri" w:hAnsi="Arial" w:cs="Arial"/>
          <w:noProof/>
          <w:lang w:val="en"/>
        </w:rPr>
        <w:t>(Syah et al., 2024)</w:t>
      </w:r>
      <w:r w:rsidR="006131EA" w:rsidRPr="004D5D1F">
        <w:rPr>
          <w:rFonts w:ascii="Arial" w:eastAsia="Calibri" w:hAnsi="Arial" w:cs="Arial"/>
          <w:lang w:val="en"/>
        </w:rPr>
        <w:fldChar w:fldCharType="end"/>
      </w:r>
      <w:r w:rsidR="006131EA" w:rsidRPr="004D5D1F">
        <w:rPr>
          <w:rFonts w:ascii="Arial" w:eastAsia="Calibri" w:hAnsi="Arial" w:cs="Arial"/>
          <w:lang w:val="en"/>
        </w:rPr>
        <w:t>.</w:t>
      </w:r>
      <w:r w:rsidRPr="002F40B4">
        <w:rPr>
          <w:rFonts w:ascii="Arial" w:eastAsia="Calibri" w:hAnsi="Arial" w:cs="Arial"/>
          <w:lang w:val="en"/>
        </w:rPr>
        <w:t xml:space="preserve"> The realization of smart cities hinges on active public engagement, a cornerstone in sustainable development driven by technology </w:t>
      </w:r>
      <w:r w:rsidR="006131EA"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{"citationItems":[{"id":"ITEM-1","itemData":{"DOI":"10.62527/joiv.8.3.2239","ISSN":"25499904","abstract":"—Citizen engagement is crucial for the success of smart cities. In urban areas, communities as social capital has an interpersonal bond that unites people. Due to the complexity of urban issues like pollution, waste, and population density, citizens can monitor the government's work priorities to solve the problem. This article focuses on smart cities from a human-centered perspective, emphasizing the role of information technology. In Indonesia, citizens' rights awareness is facilitated by the National Public Service Complaint Management System (SP4N) or People's Aspiration and Online Complaints Service (LAPOR!), which acts as social capital. This article explores five key aspects of smart cities and smart citizenship: governance, citizen participation, infrastructure, public spaces, and urban livability. While ICT-driven approaches can swiftly transform cities, a community-based approach fosters long-term shifts. Meanwhile, limited citizen involvement contributes to ecosystem degradation in Indonesia and underscores the urgency and importance of citizen engagement in urban planning. In democratic societies, citizens hold power, and concepts of smart citizenship encompass civic intelligence and, at the same time, also value local knowledge. In Indonesia, LAPOR! reflects smart citizenship, enabling transparent reporting of aspirations and complaints. However, factors like limited access and education of citizens affect its use. This research used qualitative methods with content analysis methods. Qualitative content analysis is used to examine the textual content of websites. Using LAPOR! SP4N in Indonesia to see the implementation of the concept of smart society and smart city. Participatory processes should contribute substantially to urban planning and governance. Information technology serves as a temporary solution for long-term urban planning issues. Broader concerns like public policy and participatory democracy must also be considered. In conclusion, this article explores the dynamic relationship between smart cities and smart citizenship, highlighting the importance of active citizen engagement and the potential of technology to empower communities for positive urban transformations.","author":[{"dropping-particle":"","family":"Febriani","given":"Rika","non-dropping-particle":"","parse-names":false,"suffix":""},{"dropping-particle":"","family":"Luthfi","given":"Zaky Farid","non-dropping-particle":"","parse-names":false,"suffix":""},{"dropping-particle":"","family":"Waldi","given":"Atri","non-dropping-particle":"","parse-names":false,"suffix":""}],"container-title":"International Journal on Informatics Visualization","id":"ITEM-1","issue":"3","issued":{"date-parts":[["2024"]]},"language":"English","page":"1185-1191","publisher":"Politeknik Negeri Padang","publisher-place":"Social and Political Department, Faculty of Social Science, Universitas Negeri Padang, Indonesia","title":"Participation of Citizen as Social Capital in LAPOR! Application in Indonesia","type":"article-journal","volume":"8"},"uris":["http://www.mendeley.com/documents/?uuid=98dc201f-4412-4b0a-aa57-f01ac3c8bc21","http://www.mendeley.com/documents/?uuid=7670d2e2-b016-4d29-94e5-f33e09fb7c72"]}],"mendeley":{"formattedCitation":"(Febriani et al., 2024)","plainTextFormattedCitation":"(Febriani et al., 2024)","previouslyFormattedCitation":"(Febriani et al., 2024)"},"properties":{"noteIndex":0},"schema":"https://github.com/citation-style-language/schema/raw/master/csl-citation.json"}</w:instrText>
      </w:r>
      <w:r w:rsidR="006131EA" w:rsidRPr="004D5D1F">
        <w:rPr>
          <w:rFonts w:ascii="Arial" w:eastAsia="Calibri" w:hAnsi="Arial" w:cs="Arial"/>
          <w:lang w:val="en"/>
        </w:rPr>
        <w:fldChar w:fldCharType="separate"/>
      </w:r>
      <w:r w:rsidR="006131EA" w:rsidRPr="004D5D1F">
        <w:rPr>
          <w:rFonts w:ascii="Arial" w:eastAsia="Calibri" w:hAnsi="Arial" w:cs="Arial"/>
          <w:noProof/>
          <w:lang w:val="en"/>
        </w:rPr>
        <w:t>(Febriani et al., 2024)</w:t>
      </w:r>
      <w:r w:rsidR="006131EA" w:rsidRPr="004D5D1F">
        <w:rPr>
          <w:rFonts w:ascii="Arial" w:eastAsia="Calibri" w:hAnsi="Arial" w:cs="Arial"/>
          <w:lang w:val="en"/>
        </w:rPr>
        <w:fldChar w:fldCharType="end"/>
      </w:r>
      <w:r w:rsidR="006131EA" w:rsidRPr="004D5D1F">
        <w:rPr>
          <w:rFonts w:ascii="Arial" w:eastAsia="Calibri" w:hAnsi="Arial" w:cs="Arial"/>
          <w:lang w:val="en"/>
        </w:rPr>
        <w:t>.</w:t>
      </w:r>
    </w:p>
    <w:p w14:paraId="369584D0" w14:textId="626299E6" w:rsidR="002F40B4" w:rsidRPr="002F40B4" w:rsidRDefault="002F40B4" w:rsidP="002F40B4">
      <w:pPr>
        <w:spacing w:after="0" w:line="276" w:lineRule="auto"/>
        <w:ind w:firstLine="567"/>
        <w:jc w:val="both"/>
        <w:rPr>
          <w:rFonts w:ascii="Arial" w:eastAsia="Calibri" w:hAnsi="Arial" w:cs="Arial"/>
          <w:lang w:val="en"/>
        </w:rPr>
      </w:pPr>
      <w:r w:rsidRPr="002F40B4">
        <w:rPr>
          <w:rFonts w:ascii="Arial" w:eastAsia="Calibri" w:hAnsi="Arial" w:cs="Arial"/>
          <w:lang w:val="en"/>
        </w:rPr>
        <w:t>The second cluster concentrates on the most recent trends of “digital transformation and technological innovation,” using the keywords “digital transformation,” “innovation,” and “technological innovation.” This cluster showcases the pivotal function of technological innovation as a primary motor for change in the digital governance system. Developments that enable smart cities to emerge systematically integrate innovative technologies into urban management</w:t>
      </w:r>
      <w:r w:rsidR="006131EA">
        <w:rPr>
          <w:rFonts w:ascii="Arial" w:eastAsia="Calibri" w:hAnsi="Arial" w:cs="Arial"/>
          <w:lang w:val="en"/>
        </w:rPr>
        <w:t xml:space="preserve"> </w:t>
      </w:r>
      <w:bookmarkStart w:id="4" w:name="_Hlk203502385"/>
      <w:r w:rsidR="003848FC"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{"citationItems":[{"id":"ITEM-1","itemData":{"ISSN":"23136014","abstract":"Many countries in East and Southeast Asia have become undisputed leaders in innovation in information technology and the digital economy. In doing so, substantial high-tech Asian megacities have become growth points, which serve as experimental testing grounds for technological innovations and offer pilot and special regulatory regimes for the rapid deployment of promising innovations. The transformation of the socio-economic and political life of individual cities and states is, in one way or another, inextricably linked to the development and adoption of atypical regulatory institutions and systems. The technological development of cities has recently been linked in one way or another to the concept of the “smart city.” This definition means the comprehensive implementation of intelligent technologies into the decision-making cycle in an urban environment for monitoring, control, and regulation activities. This paper aims to identify the main features of regulating the development, implementation, and application of innovative city technologies in Asian countries that are leaders in the digital economy. Through the analysis of independent rankings, the People’s Republic of China, Japan, Singapore, and the Republic of Korea are chosen as such countries. These countries are united not only by their overall leadership in the digital economy but also by the presence of cities leading in implementing innovative technologies. The paper uses the methodology of formal-logical analysis and comparative jurisprudence, revealing the essence of the regulatory framework for the development, implementation and application of urban smart technology in the selected countries. A comparative study of the main provisions of regulations aimed at streamlining social relations on the development, implementation, and application of intelligent technologies in cities in the selected countries also allows us to develop proposals for the development of Russian regulation in the application of smart technologies in cities.","author":[{"dropping-particle":"","family":"Dremlyuga","given":"Roman I.","non-dropping-particle":"","parse-names":false,"suffix":""},{"dropping-particle":"","family":"Korobeev","given":"Aleksandr I.","non-dropping-particle":"","parse-names":false,"suffix":""}],"container-title":"Journal of Siberian Federal University - Humanities and Social Sciences","id":"ITEM-1","issue":"5","issued":{"date-parts":[["2023"]]},"language":"Russian","page":"819-832","publisher":"Siberian Federal University","publisher-place":"Far Eastern Federal University, Vladivostok, Russian Federation","title":"Regulation of Smart City Technologies in Asian Digital Economy Leaders","type":"article-journal","volume":"16"},"uris":["http://www.mendeley.com/documents/?uuid=28e767b4-746b-4bf0-b3eb-a93e47fa6b95","http://www.mendeley.com/documents/?uuid=c0c19cbc-fc21-444e-ac69-74179e0a33f4"]}],"mendeley":{"formattedCitation":"(Dremlyuga &amp; Korobeev, 2023)","plainTextFormattedCitation":"(Dremlyuga &amp; Korobeev, 2023)","previouslyFormattedCitation":"(Dremlyuga &amp; Korobeev, 2023)"},"properties":{"noteIndex":0},"schema":"https://github.com/citation-style-language/schema/raw/master/csl-citation.json"}</w:instrText>
      </w:r>
      <w:r w:rsidR="003848FC" w:rsidRPr="004D5D1F">
        <w:rPr>
          <w:rFonts w:ascii="Arial" w:eastAsia="Calibri" w:hAnsi="Arial" w:cs="Arial"/>
          <w:lang w:val="en"/>
        </w:rPr>
        <w:fldChar w:fldCharType="separate"/>
      </w:r>
      <w:r w:rsidR="003848FC" w:rsidRPr="004D5D1F">
        <w:rPr>
          <w:rFonts w:ascii="Arial" w:eastAsia="Calibri" w:hAnsi="Arial" w:cs="Arial"/>
          <w:noProof/>
          <w:lang w:val="en"/>
        </w:rPr>
        <w:t>(Dremlyuga &amp; Korobeev, 2023)</w:t>
      </w:r>
      <w:r w:rsidR="003848FC" w:rsidRPr="004D5D1F">
        <w:rPr>
          <w:rFonts w:ascii="Arial" w:eastAsia="Calibri" w:hAnsi="Arial" w:cs="Arial"/>
          <w:lang w:val="en"/>
        </w:rPr>
        <w:fldChar w:fldCharType="end"/>
      </w:r>
      <w:bookmarkEnd w:id="4"/>
      <w:r w:rsidR="003848FC" w:rsidRPr="004D5D1F">
        <w:rPr>
          <w:rFonts w:ascii="Arial" w:eastAsia="Calibri" w:hAnsi="Arial" w:cs="Arial"/>
          <w:lang w:val="en"/>
        </w:rPr>
        <w:t>.</w:t>
      </w:r>
      <w:r w:rsidR="003848FC">
        <w:rPr>
          <w:rFonts w:ascii="Arial" w:eastAsia="Calibri" w:hAnsi="Arial" w:cs="Arial"/>
          <w:lang w:val="en"/>
        </w:rPr>
        <w:t xml:space="preserve"> </w:t>
      </w:r>
      <w:r w:rsidRPr="002F40B4">
        <w:rPr>
          <w:rFonts w:ascii="Arial" w:eastAsia="Calibri" w:hAnsi="Arial" w:cs="Arial"/>
          <w:lang w:val="en"/>
        </w:rPr>
        <w:t>Moreover, managing the digital economy profoundly influences governance, particularly in modernizing systems and developing institutional capacities</w:t>
      </w:r>
      <w:r w:rsidR="006131EA">
        <w:rPr>
          <w:rFonts w:ascii="Arial" w:eastAsia="Calibri" w:hAnsi="Arial" w:cs="Arial"/>
          <w:lang w:val="en"/>
        </w:rPr>
        <w:t xml:space="preserve"> </w:t>
      </w:r>
      <w:r w:rsidR="006131EA"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{"citationItems":[{"id":"ITEM-1","itemData":{"DOI":"10.20069/j.cnki.DJKX.202404001","ISSN":"10022848","abstract":"The research question of how the digital economy can effectively promote changes in the organizational and institutional arrangements of social production and empower the modernization of governance systems and capabilities at all levels holds significant research value. Currently, there is little research on the digital economy's role in driving macroeconomic governance changes. The digital sector and the physical sector are interconnected within the physical value chain and the innovation value chain, with unique exchange and competition relationships. In the macroeconomy, the digital sector is susceptible to output fluctuations during investment and financing exposure periods or industry cycle nodes, leading to broader economic fluctuations, which may render traditional macroeconomic control measures ineffective. The distinctive operational rules of the digital economy necessitate timely updates to macroeconomic governance and innovative implementation of macroeconomic policies in terms of ideas, methods, and means.This article uses Marx's theory of social reproduction as a foundation to construct a four-part reproduction model that includes digital production and its downstream sectors. It deduces the macroeconomic operation mode, policy tools, and governance system under the digital economy. The research findings include: 1) Increased capital accumulation in the digital factor production sector drives growth in other sectors and overall output. 2) Faster technological progress in the digital consumer goods production sector accelerates capital accumulation in the digital factor sector, promoting total output growth. 3) Capital accumulation in the digital factor sector has a ratchet effect on total output growth, indicating that even a one-time increase in capital accumulation can continue to provide a positive supply shock to the macroeconomy. 4) In the event of a negative demand shock, the digital factor sector increases research and development investment and accelerates technological breakthroughs to avoid a decline in profit margins, helping to maintain macroeconomic resilience and avoid drastic fluctuations in short-term total output. 5) The relative exclusivity of the digital elements sector may weaken the policy effectiveness of expansionary demand management.The conclusion implies that in the digital economy, both initial demand shocks and demand policies aimed at rebalancing struggle to maximize short-term equilibrium changes. Therefore, m…","author":[{"dropping-particle":"","family":"Liu","given":"Hang","non-dropping-particle":"","parse-names":false,"suffix":""},{"dropping-particle":"","family":"Gao","given":"Fei","non-dropping-particle":"","parse-names":false,"suffix":""},{"dropping-particle":"","family":"Ma","given":"Pin","non-dropping-particle":"","parse-names":false,"suffix":""}],"container-title":"Modern Economic Science","id":"ITEM-1","issue":"4","issued":{"date-parts":[["2024"]]},"language":"Chinese","page":"1-13","publisher":"Editorial Board of Modern Economic Science","publisher-place":"School of Economics and Finance, Xi'an Jiaotong University, Xi'an, 710061, China","title":"Theoretical Logic and Policy Practice of Digital Economy Driving the Improvement of Macroeconomic Governance System —An Analysis Based on Marx's Theory of Social Reproduction","type":"article-journal","volume":"46"},"uris":["http://www.mendeley.com/documents/?uuid=4e0aa906-d0cf-426e-a0dc-d52dbcde1f2d","http://www.mendeley.com/documents/?uuid=8efd035c-8597-4e83-af91-6bc3186d30b2"]}],"mendeley":{"formattedCitation":"(Liu et al., 2024)","plainTextFormattedCitation":"(Liu et al., 2024)","previouslyFormattedCitation":"(Liu et al., 2024)"},"properties":{"noteIndex":0},"schema":"https://github.com/citation-style-language/schema/raw/master/csl-citation.json"}</w:instrText>
      </w:r>
      <w:r w:rsidR="006131EA" w:rsidRPr="004D5D1F">
        <w:rPr>
          <w:rFonts w:ascii="Arial" w:eastAsia="Calibri" w:hAnsi="Arial" w:cs="Arial"/>
          <w:lang w:val="en"/>
        </w:rPr>
        <w:fldChar w:fldCharType="separate"/>
      </w:r>
      <w:r w:rsidR="006131EA" w:rsidRPr="004D5D1F">
        <w:rPr>
          <w:rFonts w:ascii="Arial" w:eastAsia="Calibri" w:hAnsi="Arial" w:cs="Arial"/>
          <w:noProof/>
          <w:lang w:val="en"/>
        </w:rPr>
        <w:t>(Liu et al., 2024)</w:t>
      </w:r>
      <w:r w:rsidR="006131EA" w:rsidRPr="004D5D1F">
        <w:rPr>
          <w:rFonts w:ascii="Arial" w:eastAsia="Calibri" w:hAnsi="Arial" w:cs="Arial"/>
          <w:lang w:val="en"/>
        </w:rPr>
        <w:fldChar w:fldCharType="end"/>
      </w:r>
      <w:r w:rsidRPr="002F40B4">
        <w:rPr>
          <w:rFonts w:ascii="Arial" w:eastAsia="Calibri" w:hAnsi="Arial" w:cs="Arial"/>
          <w:lang w:val="en"/>
        </w:rPr>
        <w:t>. Newer regional initiatives like the DSR (Digital Silk Road) and DEPA (Digital Economy Partnership Agreement) have sought to advance digital collaboration and policy integration amongst Southeast Asian nations</w:t>
      </w:r>
      <w:r w:rsidR="006131EA">
        <w:rPr>
          <w:rFonts w:ascii="Arial" w:eastAsia="Calibri" w:hAnsi="Arial" w:cs="Arial"/>
          <w:lang w:val="en"/>
        </w:rPr>
        <w:t xml:space="preserve"> </w:t>
      </w:r>
      <w:r w:rsidR="006131EA"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{"citationItems":[{"id":"ITEM-1","itemData":{"DOI":"10.54648/trad2022038","ISSN":"22102795","abstract":"How does the complexity and fragmentation of digital trade governance shape the digital trade strategies of members of the Association of Southeast Asian Nations (ASEAN)? And how are these strategies, in turn, shaping digital governance in the region? Drawing on the regime complexity literature in international relations, this article examines the different digital strategies used by three ASEAN members – Singapore, Vietnam, and Indonesia – to navigate between the regulatory approaches of the United States and China. The article highlights the Digital Economy Partnership Agreement (DEPA) as a key venue for increasing cooperation and consistency of digital trade rules in the Asia-Pacific. If the US pushes for a binding digital trade agreement as part of the Indo-Pacific Economic Framework (IPEF), the loose, modular cooperation of DEPA would become more attractive to ASEAN members. Yet, even a modest DEPA that chooses to emphasize breadth of membership over deep liberalization would still represent progress in reducing regime complexity.","author":[{"dropping-particle":"","family":"Corning","given":"Gregory P.","non-dropping-particle":"","parse-names":false,"suffix":""}],"container-title":"Journal of World Trade","id":"ITEM-1","issue":"6","issued":{"date-parts":[["2022"]]},"language":"English","page":"915-938","publisher":"Kluwer Law International","publisher-place":"Department of Political Science, Santa Clara University, United States","title":"ASEAN and the Regime Complex for Digital Trade in the Asia-Pacific","type":"article-journal","volume":"56"},"uris":["http://www.mendeley.com/documents/?uuid=662fe372-b405-481f-bc35-58f6ccf06657","http://www.mendeley.com/documents/?uuid=3658af29-78cc-4edb-9615-b46e7b250395"]}],"mendeley":{"formattedCitation":"(Corning, 2022)","plainTextFormattedCitation":"(Corning, 2022)","previouslyFormattedCitation":"(Corning, 2022)"},"properties":{"noteIndex":0},"schema":"https://github.com/citation-style-language/schema/raw/master/csl-citation.json"}</w:instrText>
      </w:r>
      <w:r w:rsidR="006131EA" w:rsidRPr="004D5D1F">
        <w:rPr>
          <w:rFonts w:ascii="Arial" w:eastAsia="Calibri" w:hAnsi="Arial" w:cs="Arial"/>
          <w:lang w:val="en"/>
        </w:rPr>
        <w:fldChar w:fldCharType="separate"/>
      </w:r>
      <w:r w:rsidR="006131EA" w:rsidRPr="004D5D1F">
        <w:rPr>
          <w:rFonts w:ascii="Arial" w:eastAsia="Calibri" w:hAnsi="Arial" w:cs="Arial"/>
          <w:noProof/>
          <w:lang w:val="en"/>
        </w:rPr>
        <w:t>(Corning, 2022)</w:t>
      </w:r>
      <w:r w:rsidR="006131EA" w:rsidRPr="004D5D1F">
        <w:rPr>
          <w:rFonts w:ascii="Arial" w:eastAsia="Calibri" w:hAnsi="Arial" w:cs="Arial"/>
          <w:lang w:val="en"/>
        </w:rPr>
        <w:fldChar w:fldCharType="end"/>
      </w:r>
      <w:r w:rsidRPr="002F40B4">
        <w:rPr>
          <w:rFonts w:ascii="Arial" w:eastAsia="Calibri" w:hAnsi="Arial" w:cs="Arial"/>
          <w:lang w:val="en"/>
        </w:rPr>
        <w:t>.</w:t>
      </w:r>
    </w:p>
    <w:p w14:paraId="1FDD1FEA" w14:textId="2F2E1B2D" w:rsidR="00081EDE" w:rsidRPr="004D5D1F" w:rsidRDefault="002F40B4" w:rsidP="002F40B4">
      <w:pPr>
        <w:spacing w:after="0" w:line="276" w:lineRule="auto"/>
        <w:ind w:firstLine="567"/>
        <w:jc w:val="both"/>
        <w:rPr>
          <w:rFonts w:ascii="Arial" w:eastAsia="Calibri" w:hAnsi="Arial" w:cs="Arial"/>
          <w:lang w:val="en"/>
        </w:rPr>
      </w:pPr>
      <w:r w:rsidRPr="002F40B4">
        <w:rPr>
          <w:rFonts w:ascii="Arial" w:eastAsia="Calibri" w:hAnsi="Arial" w:cs="Arial"/>
          <w:lang w:val="en"/>
        </w:rPr>
        <w:t xml:space="preserve">This </w:t>
      </w:r>
      <w:r w:rsidR="00DC4D13" w:rsidRPr="002F40B4">
        <w:rPr>
          <w:rFonts w:ascii="Arial" w:eastAsia="Calibri" w:hAnsi="Arial" w:cs="Arial"/>
          <w:lang w:val="en"/>
        </w:rPr>
        <w:t>analysis</w:t>
      </w:r>
      <w:r w:rsidR="00DC4D13">
        <w:rPr>
          <w:rFonts w:ascii="Arial" w:eastAsia="Calibri" w:hAnsi="Arial" w:cs="Arial"/>
          <w:lang w:val="en"/>
        </w:rPr>
        <w:t>’</w:t>
      </w:r>
      <w:r w:rsidR="00DC4D13" w:rsidRPr="002F40B4">
        <w:rPr>
          <w:rFonts w:ascii="Arial" w:eastAsia="Calibri" w:hAnsi="Arial" w:cs="Arial"/>
          <w:lang w:val="en"/>
        </w:rPr>
        <w:t>s</w:t>
      </w:r>
      <w:r w:rsidRPr="002F40B4">
        <w:rPr>
          <w:rFonts w:ascii="Arial" w:eastAsia="Calibri" w:hAnsi="Arial" w:cs="Arial"/>
          <w:lang w:val="en"/>
        </w:rPr>
        <w:t xml:space="preserve"> third cluster revolves around e-government and its transparency and education dimensions. It highlights the relationship connecting the two sides with a clear emphasis on the education sector. This study determines that e-government has a significant and positive impact on enhancing transparency and accountability in the education sector through increasing accessibility to information. These solutions would help foster public trust and resolve many public implementation challenges if implemented. Thus, there is ample opportunity for e-government to revamp governance models in the education sector and transform the associated outcomes</w:t>
      </w:r>
      <w:r w:rsidR="00832205">
        <w:rPr>
          <w:rFonts w:ascii="Arial" w:eastAsia="Calibri" w:hAnsi="Arial" w:cs="Arial"/>
          <w:lang w:val="en"/>
        </w:rPr>
        <w:t xml:space="preserve"> </w:t>
      </w:r>
      <w:r w:rsidR="00832205"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{"citationItems":[{"id":"ITEM-1","itemData":{"DOI":"10.1080/15512169.2018.1550420","ISSN":"15512177","abstract":"The existing literature on transparency teaching in higher education reveals that the adoption of transparent-oriented assignments improves the learning outcomes for underserved students at the introductory level, and decreases the rate of attrition among the student population with the highest risk of dropping out. Concurrently, the continued demand for online education programs has resulted in the expansion of course and degree offerings, and a steady increase in online student enrollment nationwide. However, a number of recent studies find that while the goal of online education is to improve access to higher education, that historically underrepresented groups report lower course completion rates and poorer grade performance in online classes, when compared to underrepresented students enrolled in hybrid and in person courses. Utilizing a quasiexperimental design, this article evaluates the implementation of transparency teaching methods in the online classroom versus the in-person classroom to determine if student learning outcomes vary according to course modality, focusing specifically on outcomes among the underserved student population. The goal of this study is to establish that transparent teaching methods help mitigate the negative effects of the virtual classroom for underserved students.","author":[{"dropping-particle":"","family":"Howard","given":"Tiffiany O.","non-dropping-particle":"","parse-names":false,"suffix":""},{"dropping-particle":"","family":"Winkelmes","given":"Mary Ann","non-dropping-particle":"","parse-names":false,"suffix":""},{"dropping-particle":"","family":"Shegog","given":"Marya","non-dropping-particle":"","parse-names":false,"suffix":""}],"container-title":"Journal of Political Science Education","id":"ITEM-1","issue":"2","issued":{"date-parts":[["2020"]]},"language":"English","page":"198-211","publisher":"Routledge","publisher-place":"University of Nevada, United States","title":"Transparency Teaching in the Virtual Classroom: Assessing the Opportunities and Challenges of Integrating Transparency Teaching Methods with Online Learning","type":"article-journal","volume":"16"},"uris":["http://www.mendeley.com/documents/?uuid=fc5facf7-fc6f-4479-936b-e1d68b754a6c","http://www.mendeley.com/documents/?uuid=9ba79a7a-81ac-4eb9-b1ba-da3fa8dc8d45"]}],"mendeley":{"formattedCitation":"(Howard et al., 2020)","plainTextFormattedCitation":"(Howard et al., 2020)","previouslyFormattedCitation":"(Howard et al., 2020)"},"properties":{"noteIndex":0},"schema":"https://github.com/citation-style-language/schema/raw/master/csl-citation.json"}</w:instrText>
      </w:r>
      <w:r w:rsidR="00832205" w:rsidRPr="004D5D1F">
        <w:rPr>
          <w:rFonts w:ascii="Arial" w:eastAsia="Calibri" w:hAnsi="Arial" w:cs="Arial"/>
          <w:lang w:val="en"/>
        </w:rPr>
        <w:fldChar w:fldCharType="separate"/>
      </w:r>
      <w:r w:rsidR="00832205" w:rsidRPr="004D5D1F">
        <w:rPr>
          <w:rFonts w:ascii="Arial" w:eastAsia="Calibri" w:hAnsi="Arial" w:cs="Arial"/>
          <w:noProof/>
          <w:lang w:val="en"/>
        </w:rPr>
        <w:t>(Howard et al., 2020)</w:t>
      </w:r>
      <w:r w:rsidR="00832205" w:rsidRPr="004D5D1F">
        <w:rPr>
          <w:rFonts w:ascii="Arial" w:eastAsia="Calibri" w:hAnsi="Arial" w:cs="Arial"/>
          <w:lang w:val="en"/>
        </w:rPr>
        <w:fldChar w:fldCharType="end"/>
      </w:r>
      <w:r w:rsidRPr="002F40B4">
        <w:rPr>
          <w:rFonts w:ascii="Arial" w:eastAsia="Calibri" w:hAnsi="Arial" w:cs="Arial"/>
          <w:lang w:val="en"/>
        </w:rPr>
        <w:t>. Nevertheless, sustained work is needed to ensure the effective implementation of e-government services across all educational institutions</w:t>
      </w:r>
      <w:r w:rsidR="00832205">
        <w:rPr>
          <w:rFonts w:ascii="Arial" w:eastAsia="Calibri" w:hAnsi="Arial" w:cs="Arial"/>
          <w:lang w:val="en"/>
        </w:rPr>
        <w:t xml:space="preserve"> </w:t>
      </w:r>
      <w:r w:rsidR="00832205"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{"citationItems":[{"id":"ITEM-1","itemData":{"DOI":"10.24294/jipd.v8i10.7707","ISSN":"25727931","abstract":"This paper examines the transformative potential of e-government in public administration, focusing on its capacity to enhance service delivery, transparency, accessibility, cost efficiency, and civic engagement. The study identifies key challenges, including inadequate technological infrastructure, cybersecurity vulnerabilities, resistance to change within public institutions, and a lack of public awareness about e-government services. These barriers hinder the seamless operation and adoption of digital government initiatives. Conversely, the study highlights significant opportunities such as streamlined service delivery, enhanced transparency through real-time access to government data, increased accessibility for marginalized and remote communities, substantial cost savings, and greater civic engagement via digital platforms. Addressing these challenges through targeted strategies— enhancing technological infrastructure, bolstering cybersecurity, managing organizational change, and raising public awareness—can help policymakers and public administrators implement more effective and inclusive e-government initiatives. Additionally, the integration of these digital solutions can drive sustainable development and digital inclusion, fostering social equity and economic growth. By leveraging these opportunities, governments can achieve more efficient, transparent, and accountable governance. Ultimately, the successful implementation of e-government can transform the relationship between citizens and the state, building trust and fostering a more participatory democratic process.","author":[{"dropping-particle":"","family":"Zhang","given":"Mengzhong","non-dropping-particle":"","parse-names":false,"suffix":""},{"dropping-particle":"","family":"Kaur","given":"Manpreet","non-dropping-particle":"","parse-names":false,"suffix":""}],"container-title":"Journal of Infrastructure, Policy and Development","id":"ITEM-1","issue":"10","issued":{"date-parts":[["2024","9","20"]]},"language":"English","note":"Export Date: 01 November 2024; Cited By: 0; Correspondence Address: M. Zhang; Education and Social Sciences, College of Humanities, Gannon University, 16541, United States; email: zhang038@gannon.edu","page":"7707","publisher":"EnPress Publisher, LLC","publisher-place":"Education and Social Sciences, College of Humanities, Gannon University, 16541, PA, United States","title":"Toward a theory of e-government: Challenges and opportunities, a literature review","type":"article-journal","volume":"8"},"uris":["http://www.mendeley.com/documents/?uuid=08e28069-ec4f-46a1-b9b1-6a1bb46a1cc8"]}],"mendeley":{"formattedCitation":"(Zhang &amp; Kaur, 2024)","plainTextFormattedCitation":"(Zhang &amp; Kaur, 2024)","previouslyFormattedCitation":"(Zhang &amp; Kaur, 2024)"},"properties":{"noteIndex":0},"schema":"https://github.com/citation-style-language/schema/raw/master/csl-citation.json"}</w:instrText>
      </w:r>
      <w:r w:rsidR="00832205" w:rsidRPr="004D5D1F">
        <w:rPr>
          <w:rFonts w:ascii="Arial" w:eastAsia="Calibri" w:hAnsi="Arial" w:cs="Arial"/>
          <w:lang w:val="en"/>
        </w:rPr>
        <w:fldChar w:fldCharType="separate"/>
      </w:r>
      <w:r w:rsidR="00832205" w:rsidRPr="004D5D1F">
        <w:rPr>
          <w:rFonts w:ascii="Arial" w:eastAsia="Calibri" w:hAnsi="Arial" w:cs="Arial"/>
          <w:noProof/>
          <w:lang w:val="en"/>
        </w:rPr>
        <w:t>(Zhang &amp; Kaur, 2024)</w:t>
      </w:r>
      <w:r w:rsidR="00832205" w:rsidRPr="004D5D1F">
        <w:rPr>
          <w:rFonts w:ascii="Arial" w:eastAsia="Calibri" w:hAnsi="Arial" w:cs="Arial"/>
          <w:lang w:val="en"/>
        </w:rPr>
        <w:fldChar w:fldCharType="end"/>
      </w:r>
      <w:r w:rsidRPr="002F40B4">
        <w:rPr>
          <w:rFonts w:ascii="Arial" w:eastAsia="Calibri" w:hAnsi="Arial" w:cs="Arial"/>
          <w:lang w:val="en"/>
        </w:rPr>
        <w:t>.</w:t>
      </w:r>
    </w:p>
    <w:p w14:paraId="3CB5517D" w14:textId="4354A9F1" w:rsidR="00022A8F" w:rsidRDefault="00022A8F" w:rsidP="00022A8F">
      <w:pPr>
        <w:spacing w:after="0" w:line="276" w:lineRule="auto"/>
        <w:jc w:val="center"/>
        <w:rPr>
          <w:rFonts w:ascii="Times New Roman" w:hAnsi="Times New Roman" w:cs="Times New Roman"/>
          <w:sz w:val="24"/>
          <w:szCs w:val="24"/>
        </w:rPr>
      </w:pPr>
      <w:proofErr w:type="spellStart"/>
      <w:r w:rsidRPr="00022A8F">
        <w:rPr>
          <w:rFonts w:ascii="Arial" w:eastAsia="Calibri" w:hAnsi="Arial" w:cs="Arial"/>
          <w:b/>
          <w:szCs w:val="20"/>
          <w:lang w:val="id-ID"/>
        </w:rPr>
        <w:t>Figure</w:t>
      </w:r>
      <w:proofErr w:type="spellEnd"/>
      <w:r w:rsidRPr="00022A8F">
        <w:rPr>
          <w:rFonts w:ascii="Arial" w:eastAsia="Calibri" w:hAnsi="Arial" w:cs="Arial"/>
          <w:b/>
          <w:szCs w:val="20"/>
          <w:lang w:val="id-ID"/>
        </w:rPr>
        <w:t xml:space="preserve"> </w:t>
      </w:r>
      <w:r>
        <w:rPr>
          <w:rFonts w:ascii="Arial" w:eastAsia="Calibri" w:hAnsi="Arial" w:cs="Arial"/>
          <w:b/>
          <w:szCs w:val="20"/>
          <w:lang w:val="id-ID"/>
        </w:rPr>
        <w:t>4</w:t>
      </w:r>
      <w:r w:rsidRPr="00022A8F">
        <w:rPr>
          <w:rFonts w:ascii="Arial" w:eastAsia="Calibri" w:hAnsi="Arial" w:cs="Arial"/>
          <w:b/>
          <w:szCs w:val="20"/>
          <w:lang w:val="id-ID"/>
        </w:rPr>
        <w:t xml:space="preserve">. </w:t>
      </w:r>
      <w:proofErr w:type="spellStart"/>
      <w:r w:rsidRPr="00022A8F">
        <w:rPr>
          <w:rFonts w:ascii="Arial" w:eastAsia="Calibri" w:hAnsi="Arial" w:cs="Arial"/>
          <w:b/>
          <w:szCs w:val="20"/>
          <w:lang w:val="id-ID"/>
        </w:rPr>
        <w:t>Cluster</w:t>
      </w:r>
      <w:proofErr w:type="spellEnd"/>
      <w:r w:rsidRPr="00022A8F">
        <w:rPr>
          <w:rFonts w:ascii="Arial" w:eastAsia="Calibri" w:hAnsi="Arial" w:cs="Arial"/>
          <w:b/>
          <w:szCs w:val="20"/>
          <w:lang w:val="id-ID"/>
        </w:rPr>
        <w:t xml:space="preserve"> </w:t>
      </w:r>
      <w:proofErr w:type="spellStart"/>
      <w:r w:rsidRPr="00022A8F">
        <w:rPr>
          <w:rFonts w:ascii="Arial" w:eastAsia="Calibri" w:hAnsi="Arial" w:cs="Arial"/>
          <w:b/>
          <w:szCs w:val="20"/>
          <w:lang w:val="id-ID"/>
        </w:rPr>
        <w:t>of</w:t>
      </w:r>
      <w:proofErr w:type="spellEnd"/>
      <w:r w:rsidRPr="00022A8F">
        <w:rPr>
          <w:rFonts w:ascii="Arial" w:eastAsia="Calibri" w:hAnsi="Arial" w:cs="Arial"/>
          <w:b/>
          <w:szCs w:val="20"/>
          <w:lang w:val="id-ID"/>
        </w:rPr>
        <w:t xml:space="preserve"> Co-</w:t>
      </w:r>
      <w:proofErr w:type="spellStart"/>
      <w:r w:rsidRPr="00022A8F">
        <w:rPr>
          <w:rFonts w:ascii="Arial" w:eastAsia="Calibri" w:hAnsi="Arial" w:cs="Arial"/>
          <w:b/>
          <w:szCs w:val="20"/>
          <w:lang w:val="id-ID"/>
        </w:rPr>
        <w:t>Cited</w:t>
      </w:r>
      <w:proofErr w:type="spellEnd"/>
      <w:r w:rsidRPr="00022A8F">
        <w:rPr>
          <w:rFonts w:ascii="Arial" w:eastAsia="Calibri" w:hAnsi="Arial" w:cs="Arial"/>
          <w:b/>
          <w:szCs w:val="20"/>
          <w:lang w:val="id-ID"/>
        </w:rPr>
        <w:t xml:space="preserve"> </w:t>
      </w:r>
      <w:proofErr w:type="spellStart"/>
      <w:r w:rsidRPr="00022A8F">
        <w:rPr>
          <w:rFonts w:ascii="Arial" w:eastAsia="Calibri" w:hAnsi="Arial" w:cs="Arial"/>
          <w:b/>
          <w:szCs w:val="20"/>
          <w:lang w:val="id-ID"/>
        </w:rPr>
        <w:t>References</w:t>
      </w:r>
      <w:proofErr w:type="spellEnd"/>
    </w:p>
    <w:p w14:paraId="7FCB6C5F" w14:textId="1ED66ADE" w:rsidR="00022A8F" w:rsidRPr="00022A8F" w:rsidRDefault="00022A8F" w:rsidP="00022A8F">
      <w:pPr>
        <w:spacing w:after="0" w:line="276" w:lineRule="auto"/>
        <w:rPr>
          <w:rFonts w:ascii="Times New Roman" w:eastAsia="Calibri" w:hAnsi="Times New Roman" w:cs="Times New Roman"/>
          <w:bCs/>
          <w:iCs/>
          <w:sz w:val="24"/>
          <w:szCs w:val="24"/>
        </w:rPr>
      </w:pPr>
      <w:r w:rsidRPr="002F2E68">
        <w:rPr>
          <w:rFonts w:ascii="Times New Roman" w:hAnsi="Times New Roman" w:cs="Times New Roman"/>
          <w:noProof/>
          <w:sz w:val="24"/>
          <w:szCs w:val="24"/>
        </w:rPr>
        <w:drawing>
          <wp:inline distT="0" distB="0" distL="0" distR="0" wp14:anchorId="15C07751" wp14:editId="113AE711">
            <wp:extent cx="5040000" cy="1661759"/>
            <wp:effectExtent l="0" t="0" r="0" b="0"/>
            <wp:docPr id="941164747" name="Picture 4" descr="An image contains text, pictures, letters, children's 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164747" name="Picture 4" descr="Sebuah gambar berisi teks, gambar, surat, Seni anak-anak&#10;&#10;AI-generated content may be incorrect."/>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45032" b="1787"/>
                    <a:stretch>
                      <a:fillRect/>
                    </a:stretch>
                  </pic:blipFill>
                  <pic:spPr bwMode="auto">
                    <a:xfrm>
                      <a:off x="0" y="0"/>
                      <a:ext cx="5040000" cy="1661759"/>
                    </a:xfrm>
                    <a:prstGeom prst="rect">
                      <a:avLst/>
                    </a:prstGeom>
                    <a:noFill/>
                    <a:ln>
                      <a:noFill/>
                    </a:ln>
                    <a:extLst>
                      <a:ext uri="{53640926-AAD7-44D8-BBD7-CCE9431645EC}">
                        <a14:shadowObscured xmlns:a14="http://schemas.microsoft.com/office/drawing/2010/main"/>
                      </a:ext>
                    </a:extLst>
                  </pic:spPr>
                </pic:pic>
              </a:graphicData>
            </a:graphic>
          </wp:inline>
        </w:drawing>
      </w:r>
    </w:p>
    <w:p w14:paraId="3A096C20" w14:textId="62D272D6" w:rsidR="00022A8F" w:rsidRPr="00022A8F" w:rsidRDefault="00022A8F" w:rsidP="00022A8F">
      <w:pPr>
        <w:spacing w:after="0" w:line="276" w:lineRule="auto"/>
        <w:jc w:val="center"/>
        <w:rPr>
          <w:rFonts w:ascii="Arial" w:eastAsia="Calibri" w:hAnsi="Arial" w:cs="Arial"/>
          <w:b/>
          <w:szCs w:val="20"/>
          <w:lang w:val="id-ID"/>
        </w:rPr>
      </w:pPr>
      <w:proofErr w:type="spellStart"/>
      <w:r w:rsidRPr="00022A8F">
        <w:rPr>
          <w:rFonts w:ascii="Arial" w:eastAsia="Calibri" w:hAnsi="Arial" w:cs="Arial"/>
          <w:b/>
          <w:szCs w:val="20"/>
          <w:lang w:val="id-ID"/>
        </w:rPr>
        <w:t>Source</w:t>
      </w:r>
      <w:proofErr w:type="spellEnd"/>
      <w:r w:rsidRPr="00022A8F">
        <w:rPr>
          <w:rFonts w:ascii="Arial" w:eastAsia="Calibri" w:hAnsi="Arial" w:cs="Arial"/>
          <w:b/>
          <w:szCs w:val="20"/>
          <w:lang w:val="id-ID"/>
        </w:rPr>
        <w:t xml:space="preserve">: </w:t>
      </w:r>
      <w:proofErr w:type="spellStart"/>
      <w:r w:rsidRPr="00022A8F">
        <w:rPr>
          <w:rFonts w:ascii="Arial" w:eastAsia="Calibri" w:hAnsi="Arial" w:cs="Arial"/>
          <w:b/>
          <w:szCs w:val="20"/>
          <w:lang w:val="id-ID"/>
        </w:rPr>
        <w:t>Author</w:t>
      </w:r>
      <w:proofErr w:type="spellEnd"/>
      <w:r w:rsidRPr="00022A8F">
        <w:rPr>
          <w:rFonts w:ascii="Arial" w:eastAsia="Calibri" w:hAnsi="Arial" w:cs="Arial"/>
          <w:b/>
          <w:szCs w:val="20"/>
          <w:lang w:val="id-ID"/>
        </w:rPr>
        <w:t xml:space="preserve"> </w:t>
      </w:r>
      <w:proofErr w:type="spellStart"/>
      <w:r w:rsidRPr="00022A8F">
        <w:rPr>
          <w:rFonts w:ascii="Arial" w:eastAsia="Calibri" w:hAnsi="Arial" w:cs="Arial"/>
          <w:b/>
          <w:szCs w:val="20"/>
          <w:lang w:val="id-ID"/>
        </w:rPr>
        <w:t>generated</w:t>
      </w:r>
      <w:proofErr w:type="spellEnd"/>
      <w:r w:rsidRPr="00022A8F">
        <w:rPr>
          <w:rFonts w:ascii="Arial" w:eastAsia="Calibri" w:hAnsi="Arial" w:cs="Arial"/>
          <w:b/>
          <w:szCs w:val="20"/>
          <w:lang w:val="id-ID"/>
        </w:rPr>
        <w:t xml:space="preserve"> </w:t>
      </w:r>
      <w:proofErr w:type="spellStart"/>
      <w:r w:rsidRPr="00022A8F">
        <w:rPr>
          <w:rFonts w:ascii="Arial" w:eastAsia="Calibri" w:hAnsi="Arial" w:cs="Arial"/>
          <w:b/>
          <w:szCs w:val="20"/>
          <w:lang w:val="id-ID"/>
        </w:rPr>
        <w:t>through</w:t>
      </w:r>
      <w:proofErr w:type="spellEnd"/>
      <w:r w:rsidRPr="00022A8F">
        <w:rPr>
          <w:rFonts w:ascii="Arial" w:eastAsia="Calibri" w:hAnsi="Arial" w:cs="Arial"/>
          <w:b/>
          <w:szCs w:val="20"/>
          <w:lang w:val="id-ID"/>
        </w:rPr>
        <w:t xml:space="preserve"> </w:t>
      </w:r>
      <w:proofErr w:type="spellStart"/>
      <w:r w:rsidRPr="00022A8F">
        <w:rPr>
          <w:rFonts w:ascii="Arial" w:eastAsia="Calibri" w:hAnsi="Arial" w:cs="Arial"/>
          <w:b/>
          <w:szCs w:val="20"/>
          <w:lang w:val="id-ID"/>
        </w:rPr>
        <w:t>CiteSpace</w:t>
      </w:r>
      <w:proofErr w:type="spellEnd"/>
    </w:p>
    <w:p w14:paraId="0DAB6051" w14:textId="43C956FA" w:rsidR="002F40B4" w:rsidRPr="002F40B4" w:rsidRDefault="002F40B4" w:rsidP="002F40B4">
      <w:pPr>
        <w:spacing w:after="0" w:line="276" w:lineRule="auto"/>
        <w:ind w:firstLine="567"/>
        <w:jc w:val="both"/>
        <w:rPr>
          <w:rFonts w:ascii="Arial" w:eastAsia="Calibri" w:hAnsi="Arial" w:cs="Arial"/>
          <w:lang w:val="en"/>
        </w:rPr>
      </w:pPr>
      <w:r w:rsidRPr="002F40B4">
        <w:rPr>
          <w:rFonts w:ascii="Arial" w:eastAsia="Calibri" w:hAnsi="Arial" w:cs="Arial"/>
          <w:lang w:val="en"/>
        </w:rPr>
        <w:t xml:space="preserve">Figure 4 shows that three clusters have been formed through shared citation analysis in Southeast </w:t>
      </w:r>
      <w:r w:rsidR="00DC4D13" w:rsidRPr="002F40B4">
        <w:rPr>
          <w:rFonts w:ascii="Arial" w:eastAsia="Calibri" w:hAnsi="Arial" w:cs="Arial"/>
          <w:lang w:val="en"/>
        </w:rPr>
        <w:t>Asia</w:t>
      </w:r>
      <w:r w:rsidR="00DC4D13">
        <w:rPr>
          <w:rFonts w:ascii="Arial" w:eastAsia="Calibri" w:hAnsi="Arial" w:cs="Arial"/>
          <w:lang w:val="en"/>
        </w:rPr>
        <w:t>’</w:t>
      </w:r>
      <w:r w:rsidR="00DC4D13" w:rsidRPr="002F40B4">
        <w:rPr>
          <w:rFonts w:ascii="Arial" w:eastAsia="Calibri" w:hAnsi="Arial" w:cs="Arial"/>
          <w:lang w:val="en"/>
        </w:rPr>
        <w:t>s</w:t>
      </w:r>
      <w:r w:rsidRPr="002F40B4">
        <w:rPr>
          <w:rFonts w:ascii="Arial" w:eastAsia="Calibri" w:hAnsi="Arial" w:cs="Arial"/>
          <w:lang w:val="en"/>
        </w:rPr>
        <w:t xml:space="preserve"> digital governance discourse, as depicted in figure 4. Cluster 0 is referred to as </w:t>
      </w:r>
      <w:r w:rsidR="00454A75">
        <w:rPr>
          <w:rFonts w:ascii="Arial" w:eastAsia="Calibri" w:hAnsi="Arial" w:cs="Arial"/>
          <w:lang w:val="en"/>
        </w:rPr>
        <w:t>“</w:t>
      </w:r>
      <w:r w:rsidR="008E19FA">
        <w:rPr>
          <w:rFonts w:ascii="Arial" w:eastAsia="Calibri" w:hAnsi="Arial" w:cs="Arial"/>
          <w:lang w:val="en"/>
        </w:rPr>
        <w:t>s</w:t>
      </w:r>
      <w:r w:rsidRPr="002F40B4">
        <w:rPr>
          <w:rFonts w:ascii="Arial" w:eastAsia="Calibri" w:hAnsi="Arial" w:cs="Arial"/>
          <w:lang w:val="en"/>
        </w:rPr>
        <w:t xml:space="preserve">mart City Strategy.” It focuses on the power of digital technology to catalyze change in contemporary urban planning and sustainable development </w:t>
      </w:r>
      <w:r w:rsidR="00832205"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{"citationItems":[{"id":"ITEM-1","itemData":{"DOI":"10.4018/IJEPR.333851","ISSN":"2160-9918","abstract":"Integrated urban development can serve as a cross-sectoral planning concept to manage processes of transformation in urban systems towards sustainability and resilience. At the same time, urban digital twins are being implemented with increasing frequency in urban planning. They can be used to foster such transformations and to make improvements that are more adequate regarding the complexity of urban systems than mere efficiency boost. In this article, the authors discuss how they try to support such change by applying transformative research methods, such as conducting real-world experiments based on prototyping and testing digital tools. The article illustrates how they use the development of urban digital twins in Hamburg, Germany as a field of intervention with the aim of achieving broader usage by and representation of marginalised groups that are typically overlooked in such technology and in urban planning itself.","author":[{"dropping-particle":"","family":"Ziehl","given":"Michael","non-dropping-particle":"","parse-names":false,"suffix":""},{"dropping-particle":"","family":"Herzog","given":"Rico","non-dropping-particle":"","parse-names":false,"suffix":""},{"dropping-particle":"","family":"Degkwitz","given":"Till","non-dropping-particle":"","parse-names":false,"suffix":""},{"dropping-particle":"","family":"Niggemann","given":"Martin Heinrich","non-dropping-particle":"","parse-names":false,"suffix":""},{"dropping-particle":"","family":"Ziemer","given":"Gesa","non-dropping-particle":"","parse-names":false,"suffix":""},{"dropping-particle":"","family":"Thoneick","given":"Rosa","non-dropping-particle":"","parse-names":false,"suffix":""}],"container-title":"International Journal of E-Planning Research","id":"ITEM-1","issue":"1","issued":{"date-parts":[["2023","11"]]},"language":"English","page":"1-18","publisher":"IGI Global","publisher-place":"City Science Lab, HafenCity University, Hamburg, Germany","title":"Transformative Research in Digital Twins for Integrated Urban Development","type":"article-journal","volume":"12"},"uris":["http://www.mendeley.com/documents/?uuid=fc0c677a-2437-4f9c-ae37-9ac1240bef46","http://www.mendeley.com/documents/?uuid=9bdbd88a-0a37-436f-880b-2099ee2db483"]}],"mendeley":{"formattedCitation":"(Ziehl et al., 2023)","plainTextFormattedCitation":"(Ziehl et al., 2023)","previouslyFormattedCitation":"(Ziehl et al., 2023)"},"properties":{"noteIndex":0},"schema":"https://github.com/citation-style-language/schema/raw/master/csl-citation.json"}</w:instrText>
      </w:r>
      <w:r w:rsidR="00832205" w:rsidRPr="004D5D1F">
        <w:rPr>
          <w:rFonts w:ascii="Arial" w:eastAsia="Calibri" w:hAnsi="Arial" w:cs="Arial"/>
          <w:lang w:val="en"/>
        </w:rPr>
        <w:fldChar w:fldCharType="separate"/>
      </w:r>
      <w:r w:rsidR="00832205" w:rsidRPr="004D5D1F">
        <w:rPr>
          <w:rFonts w:ascii="Arial" w:eastAsia="Calibri" w:hAnsi="Arial" w:cs="Arial"/>
          <w:noProof/>
          <w:lang w:val="en"/>
        </w:rPr>
        <w:t>(Ziehl et al., 2023)</w:t>
      </w:r>
      <w:r w:rsidR="00832205" w:rsidRPr="004D5D1F">
        <w:rPr>
          <w:rFonts w:ascii="Arial" w:eastAsia="Calibri" w:hAnsi="Arial" w:cs="Arial"/>
          <w:lang w:val="en"/>
        </w:rPr>
        <w:fldChar w:fldCharType="end"/>
      </w:r>
      <w:r w:rsidR="00832205" w:rsidRPr="004D5D1F">
        <w:rPr>
          <w:rFonts w:ascii="Arial" w:eastAsia="Calibri" w:hAnsi="Arial" w:cs="Arial"/>
          <w:lang w:val="en"/>
        </w:rPr>
        <w:t>.</w:t>
      </w:r>
      <w:r w:rsidR="00832205">
        <w:rPr>
          <w:rFonts w:ascii="Arial" w:eastAsia="Calibri" w:hAnsi="Arial" w:cs="Arial"/>
          <w:lang w:val="en"/>
        </w:rPr>
        <w:t xml:space="preserve"> </w:t>
      </w:r>
      <w:r w:rsidRPr="002F40B4">
        <w:rPr>
          <w:rFonts w:ascii="Arial" w:eastAsia="Calibri" w:hAnsi="Arial" w:cs="Arial"/>
          <w:lang w:val="en"/>
        </w:rPr>
        <w:t xml:space="preserve">Global discourse on smart cities focuses on their proliferation; most developed urban centers serve as nadirs for smart city influx </w:t>
      </w:r>
      <w:r w:rsidR="00832205"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{"citationItems":[{"id":"ITEM-1","itemData":{"DOI":"10.1080/10630732.2018.1558387","ISSN":"14661853","abstract":"Despite its growing ubiquitous presence, the smart city continues to struggle for definitional clarity and practical import. In response, this study interrogates the smart city as global discourse network by examining a collection of key texts associated with cities worldwide. Using a list of 5,553 cities, a systematic webometric exercise was conducted to measure hit counts produced by searching for “smart city.” Consequently, 27 cities with the highest validated hit counts were selected. Next, 346 online texts were collected from among the top 20 hits across each of the selected cities, and analyzed both quantitatively and qualitatively using AntConc software. The findings confirm, first, the presence of a strong globalizing narrative which emphasizes world cities as “best practice” models. Second, they reveal the smart city’s association—beyond the quest for incremental, technical improvements of current urban systems and processes—with a pronounced transformative governance agenda. The article identifies five critical junctures at the heart of the evolving smart city discourse regime; these shed light on the ongoing boundary work in which the smart city is engaged and which contain significant unresolved tensions. The paper concludes with a discussion of resulting implications for research, policy, and practice.","author":[{"dropping-particle":"","family":"Joss","given":"Simon","non-dropping-particle":"","parse-names":false,"suffix":""},{"dropping-particle":"","family":"Sengers","given":"Frans","non-dropping-particle":"","parse-names":false,"suffix":""},{"dropping-particle":"","family":"Schraven","given":"Daan","non-dropping-particle":"","parse-names":false,"suffix":""},{"dropping-particle":"","family":"Caprotti","given":"Federico","non-dropping-particle":"","parse-names":false,"suffix":""},{"dropping-particle":"","family":"Dayot","given":"Youri","non-dropping-particle":"","parse-names":false,"suffix":""}],"container-title":"Journal of Urban Technology","id":"ITEM-1","issue":"1","issued":{"date-parts":[["2019"]]},"note":"Cited By (since 2019): 108","page":"3-34","title":"The Smart City as Global Discourse: Storylines and Critical Junctures across 27 Cities","type":"article-journal","volume":"26"},"uris":["http://www.mendeley.com/documents/?uuid=fb60f153-bab7-4c3d-9be2-db3108e798b6"]}],"mendeley":{"formattedCitation":"(Joss et al., 2019)","plainTextFormattedCitation":"(Joss et al., 2019)","previouslyFormattedCitation":"(Joss et al., 2019)"},"properties":{"noteIndex":0},"schema":"https://github.com/citation-style-language/schema/raw/master/csl-citation.json"}</w:instrText>
      </w:r>
      <w:r w:rsidR="00832205" w:rsidRPr="004D5D1F">
        <w:rPr>
          <w:rFonts w:ascii="Arial" w:eastAsia="Calibri" w:hAnsi="Arial" w:cs="Arial"/>
          <w:lang w:val="en"/>
        </w:rPr>
        <w:fldChar w:fldCharType="separate"/>
      </w:r>
      <w:r w:rsidR="00832205" w:rsidRPr="004D5D1F">
        <w:rPr>
          <w:rFonts w:ascii="Arial" w:eastAsia="Calibri" w:hAnsi="Arial" w:cs="Arial"/>
          <w:noProof/>
          <w:lang w:val="en"/>
        </w:rPr>
        <w:t>(Joss et al., 2019)</w:t>
      </w:r>
      <w:r w:rsidR="00832205" w:rsidRPr="004D5D1F">
        <w:rPr>
          <w:rFonts w:ascii="Arial" w:eastAsia="Calibri" w:hAnsi="Arial" w:cs="Arial"/>
          <w:lang w:val="en"/>
        </w:rPr>
        <w:fldChar w:fldCharType="end"/>
      </w:r>
      <w:r w:rsidR="00832205" w:rsidRPr="004D5D1F">
        <w:rPr>
          <w:rFonts w:ascii="Arial" w:eastAsia="Calibri" w:hAnsi="Arial" w:cs="Arial"/>
          <w:lang w:val="en"/>
        </w:rPr>
        <w:t>.</w:t>
      </w:r>
      <w:r w:rsidR="00832205">
        <w:rPr>
          <w:rFonts w:ascii="Arial" w:eastAsia="Calibri" w:hAnsi="Arial" w:cs="Arial"/>
          <w:lang w:val="en"/>
        </w:rPr>
        <w:t xml:space="preserve"> </w:t>
      </w:r>
      <w:r w:rsidRPr="002F40B4">
        <w:rPr>
          <w:rFonts w:ascii="Arial" w:eastAsia="Calibri" w:hAnsi="Arial" w:cs="Arial"/>
          <w:lang w:val="en"/>
        </w:rPr>
        <w:t xml:space="preserve">This study aims to analyze the conceptual interrelations of innovative and sustainable cities. Articles after </w:t>
      </w:r>
      <w:r w:rsidR="00832205"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{"citationItems":[{"id":"ITEM-1","itemData":{"DOI":"10.3390/su142013315","ISSN":"2071-1050","abstract":"The sustainability of a smart city development depends on the interpretations and prioritization driven by the key actors. Currently; the “top-down” smart city implementation in many countries is at risk of disengaging with local stakeholders and further widening the social disparities in the cities. This paper presents the socio-political contexts of a smart city, the citizens’ perspectives and awareness using Phuket, and Thailand as a case study. Desktop research was used to describe the context of the smart city policy; key driving organizations; budget allocation; and the guiding vision and mission statements at the local level. A survey of 409 residents was conducted to assess their awareness and willingness to participate in Phuket Smart City (PSC) activities as well as internet behavior and communication channels. The findings reveal uneven awareness of PSC across demographic groups. PSC was more familiar to the middle-aged; highly educated; high-income; and locals with leadership positions and living near the city center. A perceived lack of knowledge, time, information, and relevance affected the residents’ willingness to be involved in smart city development. Active communication and grass-root engagement are needed to improve public awareness and engagement in smart city implementation and achieve meaningful and equitable development.","author":[{"dropping-particle":"","family":"Sontiwanich","given":"Phanaranan","non-dropping-particle":"","parse-names":false,"suffix":""},{"dropping-particle":"","family":"Boonchai","given":"Chantinee","non-dropping-particle":"","parse-names":false,"suffix":""},{"dropping-particle":"","family":"Beeton","given":"Robert J. S.","non-dropping-particle":"","parse-names":false,"suffix":""}],"container-title":"Sustainability","id":"ITEM-1","issue":"20","issued":{"date-parts":[["2022","10"]]},"language":"English","page":"13315","publisher":"MDPI","publisher-place":"Faculty of Technology and Environment, Prince of Songkla University, Phuket, 83120, Thailand","title":"An Unsustainable Smart City: Lessons from Uneven Citizen Education and Engagement in Thailand","type":"article-journal","volume":"14"},"uris":["http://www.mendeley.com/documents/?uuid=0b343688-fd5d-437f-9fdf-29d50cc51e44","http://www.mendeley.com/documents/?uuid=0c839580-cd74-4993-a553-c41b6141a608"]}],"mendeley":{"formattedCitation":"(Sontiwanich et al., 2022)","plainTextFormattedCitation":"(Sontiwanich et al., 2022)","previouslyFormattedCitation":"(Sontiwanich et al., 2022)"},"properties":{"noteIndex":0},"schema":"https://github.com/citation-style-language/schema/raw/master/csl-citation.json"}</w:instrText>
      </w:r>
      <w:r w:rsidR="00832205" w:rsidRPr="004D5D1F">
        <w:rPr>
          <w:rFonts w:ascii="Arial" w:eastAsia="Calibri" w:hAnsi="Arial" w:cs="Arial"/>
          <w:lang w:val="en"/>
        </w:rPr>
        <w:fldChar w:fldCharType="separate"/>
      </w:r>
      <w:r w:rsidR="00832205" w:rsidRPr="004D5D1F">
        <w:rPr>
          <w:rFonts w:ascii="Arial" w:eastAsia="Calibri" w:hAnsi="Arial" w:cs="Arial"/>
          <w:noProof/>
          <w:lang w:val="en"/>
        </w:rPr>
        <w:t>(Sontiwanich et al., 2022)</w:t>
      </w:r>
      <w:r w:rsidR="00832205" w:rsidRPr="004D5D1F">
        <w:rPr>
          <w:rFonts w:ascii="Arial" w:eastAsia="Calibri" w:hAnsi="Arial" w:cs="Arial"/>
          <w:lang w:val="en"/>
        </w:rPr>
        <w:fldChar w:fldCharType="end"/>
      </w:r>
      <w:r w:rsidR="00832205">
        <w:rPr>
          <w:rFonts w:ascii="Arial" w:eastAsia="Calibri" w:hAnsi="Arial" w:cs="Arial"/>
          <w:lang w:val="en"/>
        </w:rPr>
        <w:t xml:space="preserve">. </w:t>
      </w:r>
      <w:r w:rsidRPr="002F40B4">
        <w:rPr>
          <w:rFonts w:ascii="Arial" w:eastAsia="Calibri" w:hAnsi="Arial" w:cs="Arial"/>
          <w:lang w:val="en"/>
        </w:rPr>
        <w:t xml:space="preserve">offer their perspectives on citizen participatory engagement and the uneven planning silos in Thailand. Key topics </w:t>
      </w:r>
      <w:r w:rsidR="00DC4D13" w:rsidRPr="002F40B4">
        <w:rPr>
          <w:rFonts w:ascii="Arial" w:eastAsia="Calibri" w:hAnsi="Arial" w:cs="Arial"/>
          <w:lang w:val="en"/>
        </w:rPr>
        <w:t>are</w:t>
      </w:r>
      <w:r w:rsidRPr="002F40B4">
        <w:rPr>
          <w:rFonts w:ascii="Arial" w:eastAsia="Calibri" w:hAnsi="Arial" w:cs="Arial"/>
          <w:lang w:val="en"/>
        </w:rPr>
        <w:t xml:space="preserve"> smart cities, digital transformation, and the </w:t>
      </w:r>
      <w:r w:rsidR="00454A75">
        <w:rPr>
          <w:rFonts w:ascii="Arial" w:eastAsia="Calibri" w:hAnsi="Arial" w:cs="Arial"/>
          <w:lang w:val="en"/>
        </w:rPr>
        <w:t>“</w:t>
      </w:r>
      <w:r w:rsidR="008E19FA">
        <w:rPr>
          <w:rFonts w:ascii="Arial" w:eastAsia="Calibri" w:hAnsi="Arial" w:cs="Arial"/>
          <w:lang w:val="en"/>
        </w:rPr>
        <w:t>s</w:t>
      </w:r>
      <w:r w:rsidRPr="002F40B4">
        <w:rPr>
          <w:rFonts w:ascii="Arial" w:eastAsia="Calibri" w:hAnsi="Arial" w:cs="Arial"/>
          <w:lang w:val="en"/>
        </w:rPr>
        <w:t>tandardization</w:t>
      </w:r>
      <w:r w:rsidR="00DC4D13">
        <w:rPr>
          <w:rFonts w:ascii="Arial" w:eastAsia="Calibri" w:hAnsi="Arial" w:cs="Arial"/>
          <w:lang w:val="en"/>
        </w:rPr>
        <w:t>”</w:t>
      </w:r>
      <w:r w:rsidRPr="002F40B4">
        <w:rPr>
          <w:rFonts w:ascii="Arial" w:eastAsia="Calibri" w:hAnsi="Arial" w:cs="Arial"/>
          <w:lang w:val="en"/>
        </w:rPr>
        <w:t xml:space="preserve"> of innovative city development, describing a movement towards participatory and holistic digital urbanism.</w:t>
      </w:r>
    </w:p>
    <w:p w14:paraId="029AAE83" w14:textId="23754BC9" w:rsidR="002F40B4" w:rsidRPr="002F40B4" w:rsidRDefault="002F40B4" w:rsidP="002F40B4">
      <w:pPr>
        <w:spacing w:after="0" w:line="276" w:lineRule="auto"/>
        <w:ind w:firstLine="567"/>
        <w:jc w:val="both"/>
        <w:rPr>
          <w:rFonts w:ascii="Arial" w:eastAsia="Calibri" w:hAnsi="Arial" w:cs="Arial"/>
          <w:lang w:val="en"/>
        </w:rPr>
      </w:pPr>
      <w:r w:rsidRPr="002F40B4">
        <w:rPr>
          <w:rFonts w:ascii="Arial" w:eastAsia="Calibri" w:hAnsi="Arial" w:cs="Arial"/>
          <w:lang w:val="en"/>
        </w:rPr>
        <w:t xml:space="preserve">This focus on the </w:t>
      </w:r>
      <w:r w:rsidR="00454A75">
        <w:rPr>
          <w:rFonts w:ascii="Arial" w:eastAsia="Calibri" w:hAnsi="Arial" w:cs="Arial"/>
          <w:lang w:val="en"/>
        </w:rPr>
        <w:t>“</w:t>
      </w:r>
      <w:r w:rsidR="008E19FA">
        <w:rPr>
          <w:rFonts w:ascii="Arial" w:eastAsia="Calibri" w:hAnsi="Arial" w:cs="Arial"/>
          <w:lang w:val="en"/>
        </w:rPr>
        <w:t>s</w:t>
      </w:r>
      <w:r w:rsidRPr="002F40B4">
        <w:rPr>
          <w:rFonts w:ascii="Arial" w:eastAsia="Calibri" w:hAnsi="Arial" w:cs="Arial"/>
          <w:lang w:val="en"/>
        </w:rPr>
        <w:t xml:space="preserve">trategic Renewal in Digital Transformation” (silhouette value: 0.993), which forms the third cluster, centers on adopting digital technology in enterprises, tiny and medium-sized businesses, and the logistics industry. This cluster is validated through seminal contributions like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{"citationItems":[{"id":"ITEM-1","itemData":{"DOI":"10.18421/TEM93-21","ISSN":"2217-8333","abstract":"Though Small and Medium Enterprises (SMEs) are engines of growth, due to multiple reasons they are low in adoption of digitalization and technology. This paper seeks to provide a framework to prioritize the factors/dynamics towards adoption of information and communication technologies (ICT). Through review of literature and applying Analytical Hierarchy Process (AHP), relevant factors have been chalked out and arranged in terms of priority. The findings indicate SMEs adopt ICT to have a relative advantage over competitors. Affordability, ease of use, value creation and productivity are top priority reasons. Profitability and top management support are other prime factors that stimulate ICT adoption. Other relevant factors include technological self-efficacy and personal characteristics of entrepreneurs.","author":[{"dropping-particle":"","family":"Naushad","given":"Mohammad","non-dropping-particle":"","parse-names":false,"suffix":""},{"dropping-particle":"","family":"M. M","given":"Sulphey","non-dropping-particle":"","parse-names":false,"suffix":""}],"container-title":"TEM Journal","id":"ITEM-1","issue":"3","issued":{"date-parts":[["2020","8"]]},"language":"English","page":"983-991","publisher":"UIKTEN - Association for Information Communication Technology Education and Science","publisher-place":"College of Business Administration, Prince Sattam Bin Abdulaziz University, P O Box-165, Alkharj, 11942, Saudi Arabia","title":"Prioritizing Technology Adoption Dynamics among SMEs","type":"article-journal","volume":"9"},"uris":["http://www.mendeley.com/documents/?uuid=1a4ddc17-68ae-4102-9e24-bfc982b4f15b","http://www.mendeley.com/documents/?uuid=d04bebd0-7838-4b6c-9232-9c1592f69c02"]}],"mendeley":{"formattedCitation":"(Naushad &amp; M. M, 2020)","plainTextFormattedCitation":"(Naushad &amp; M. M, 2020)","previouslyFormattedCitation":"(Naushad &amp; M. M, 2020)"},"properties":{"noteIndex":0},"schema":"https://github.com/citation-style-language/schema/raw/master/csl-citation.json"}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(Naushad &amp; M. M, 2020)</w:t>
      </w:r>
      <w:r w:rsidR="00D64833" w:rsidRPr="004D5D1F">
        <w:rPr>
          <w:rFonts w:ascii="Arial" w:eastAsia="Calibri" w:hAnsi="Arial" w:cs="Arial"/>
          <w:lang w:val="en"/>
        </w:rPr>
        <w:fldChar w:fldCharType="end"/>
      </w:r>
      <w:r w:rsidR="00D64833" w:rsidRPr="004D5D1F">
        <w:rPr>
          <w:rFonts w:ascii="Arial" w:eastAsia="Calibri" w:hAnsi="Arial" w:cs="Arial"/>
          <w:lang w:val="en"/>
        </w:rPr>
        <w:t>.</w:t>
      </w:r>
      <w:r w:rsidR="00D64833">
        <w:rPr>
          <w:rFonts w:ascii="Arial" w:eastAsia="Calibri" w:hAnsi="Arial" w:cs="Arial"/>
          <w:lang w:val="en"/>
        </w:rPr>
        <w:t xml:space="preserve"> </w:t>
      </w:r>
      <w:r w:rsidRPr="002F40B4">
        <w:rPr>
          <w:rFonts w:ascii="Arial" w:eastAsia="Calibri" w:hAnsi="Arial" w:cs="Arial"/>
          <w:lang w:val="en"/>
        </w:rPr>
        <w:t xml:space="preserve">which provide frameworks for PLS-SEM reporting.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{"citationItems":[{"id":"ITEM-1","itemData":{"DOI":"10.1108/IJPDLM-06-2023-0200","ISSN":"0960-0035","abstract":"Purpose: This study aims to evaluate the usage of partial least squares structural equation modeling (PLS-SEM) in journals related to logistics and supply chain management (LSCM). Design/methodology/approach: Based on a structured literature review approach, the authors reviewed 401 articles in the field of LSCM applying PLS-SEM published in 15 major journals between 2014 and 2022. The analysis focused on reasons for using PLS-SEM, measurement model and structural model evaluation criteria, advanced analysis techniques and reporting practices. Findings: LSCM researchers sometimes did not clarify the reasons for using PLS-SEM, such as sample size, complex models and non-normal distributions. Additionally, most articles exhibit limited use of measurement models and structural model evaluation techniques, leading to inappropriate use of assessment criteria. Furthermore, progress in the practical implementation of advanced analysis techniques is slow, and there is a need for improved transparency in reporting analysis algorithms. Originality/value: This study contributes to the field of LSCM by providing clear criteria and steps for using PLS-SEM, enriching the understanding and advancement of research methodologies in this field.","author":[{"dropping-particle":"","family":"Wang","given":"Siqi","non-dropping-particle":"","parse-names":false,"suffix":""},{"dropping-particle":"","family":"Cheah","given":"Jun-Hwa","non-dropping-particle":"","parse-names":false,"suffix":""},{"dropping-particle":"","family":"Wong","given":"Chee Yew","non-dropping-particle":"","parse-names":false,"suffix":""},{"dropping-particle":"","family":"Ramayah","given":"T.","non-dropping-particle":"","parse-names":false,"suffix":""}],"container-title":"International Journal of Physical Distribution &amp; Logistics Management","id":"ITEM-1","issue":"7/8","issued":{"date-parts":[["2024","10"]]},"language":"English","page":"673-704","publisher":"Emerald Publishing","publisher-place":"Business School, Guangdong Ocean University, Yangjiang, China","title":"Progress in partial least squares structural equation modeling use in logistics and supply chain management in the last decade: a structured literature review","type":"article-journal","volume":"54"},"uris":["http://www.mendeley.com/documents/?uuid=2d7bf270-5df8-463c-acc0-71ae3199f9f4","http://www.mendeley.com/documents/?uuid=c84528a9-1571-44da-b6af-f236878edbc1"]}],"mendeley":{"formattedCitation":"(S. Wang et al., 2024)","plainTextFormattedCitation":"(S. Wang et al., 2024)","previouslyFormattedCitation":"(S. Wang et al., 2024)"},"properties":{"noteIndex":0},"schema":"https://github.com/citation-style-language/schema/raw/master/csl-citation.json"}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(S. Wang et al., 2024)</w:t>
      </w:r>
      <w:r w:rsidR="00D64833" w:rsidRPr="004D5D1F">
        <w:rPr>
          <w:rFonts w:ascii="Arial" w:eastAsia="Calibri" w:hAnsi="Arial" w:cs="Arial"/>
          <w:lang w:val="en"/>
        </w:rPr>
        <w:fldChar w:fldCharType="end"/>
      </w:r>
      <w:r w:rsidR="00D64833" w:rsidRPr="004D5D1F">
        <w:rPr>
          <w:rFonts w:ascii="Arial" w:eastAsia="Calibri" w:hAnsi="Arial" w:cs="Arial"/>
          <w:lang w:val="en"/>
        </w:rPr>
        <w:t>.</w:t>
      </w:r>
      <w:r w:rsidR="00D64833">
        <w:rPr>
          <w:rFonts w:ascii="Arial" w:eastAsia="Calibri" w:hAnsi="Arial" w:cs="Arial"/>
          <w:lang w:val="en"/>
        </w:rPr>
        <w:t xml:space="preserve"> </w:t>
      </w:r>
      <w:r w:rsidRPr="002F40B4">
        <w:rPr>
          <w:rFonts w:ascii="Arial" w:eastAsia="Calibri" w:hAnsi="Arial" w:cs="Arial"/>
          <w:lang w:val="en"/>
        </w:rPr>
        <w:t xml:space="preserve">which develops a multidisciplinary research agenda for digital transformation. The </w:t>
      </w:r>
      <w:r w:rsidR="00DC4D13" w:rsidRPr="002F40B4">
        <w:rPr>
          <w:rFonts w:ascii="Arial" w:eastAsia="Calibri" w:hAnsi="Arial" w:cs="Arial"/>
          <w:lang w:val="en"/>
        </w:rPr>
        <w:t>cluster</w:t>
      </w:r>
      <w:r w:rsidR="00DC4D13">
        <w:rPr>
          <w:rFonts w:ascii="Arial" w:eastAsia="Calibri" w:hAnsi="Arial" w:cs="Arial"/>
          <w:lang w:val="en"/>
        </w:rPr>
        <w:t>’</w:t>
      </w:r>
      <w:r w:rsidR="00DC4D13" w:rsidRPr="002F40B4">
        <w:rPr>
          <w:rFonts w:ascii="Arial" w:eastAsia="Calibri" w:hAnsi="Arial" w:cs="Arial"/>
          <w:lang w:val="en"/>
        </w:rPr>
        <w:t>s</w:t>
      </w:r>
      <w:r w:rsidRPr="002F40B4">
        <w:rPr>
          <w:rFonts w:ascii="Arial" w:eastAsia="Calibri" w:hAnsi="Arial" w:cs="Arial"/>
          <w:lang w:val="en"/>
        </w:rPr>
        <w:t xml:space="preserve"> thematic focus includes strategic agility, technology-organization-environment frameworks, and digital capabilities. Contributions of this cluster include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{"citationItems":[{"id":"ITEM-1","itemData":{"DOI":"10.1016/j.jik.2024.100640","ISSN":"2444569X","abstract":"This study addresses the fragmented understanding of the relationship between digital transformation (DT) and innovation by proposing a multi-level framework that integrates diverse disciplinary perspectives. This framework provides deep insight into how DT influences innovation. A systematic literature review was conducted, and based on the findings, a research agenda was outlined as a roadmap to guide future studies. This research contributes to the strategic change and innovation literature by providing a multi-level framework explaining how DT-driven structural change affects innovation, considering various contingencies such as market dynamics, technological advancements, and organizational capacities. Additionally, this study contributes to the innovation and strategic information systems domain by demonstrating that DT's role as a strategic asset for achieving innovation should align with firm capabilities, structural characteristics, and environmental and external dynamics.","author":[{"dropping-particle":"","family":"Saeedikiya","given":"Mehrzad","non-dropping-particle":"","parse-names":false,"suffix":""},{"dropping-particle":"","family":"Salunke","given":"Sandeep","non-dropping-particle":"","parse-names":false,"suffix":""},{"dropping-particle":"","family":"Kowalkiewicz","given":"Marek","non-dropping-particle":"","parse-names":false,"suffix":""}],"container-title":"Journal of Innovation &amp; Knowledge","id":"ITEM-1","issue":"1","issued":{"date-parts":[["2025","1"]]},"language":"English","page":"100640","publisher":"Elsevier B.V.","publisher-place":"Queensland University of Technology, School of Management, Centre for Future Enterprise, 02 George Street, Brisbane City, 4000, QLD, Australia","title":"The nexus of digital transformation and innovation: A multilevel framework and research agenda","type":"article-journal","volume":"10"},"uris":["http://www.mendeley.com/documents/?uuid=cf41f37b-49f3-44fe-9a23-ab36e009be65","http://www.mendeley.com/documents/?uuid=263bb60a-c1c4-4353-84b0-c08d0140d677"]}],"mendeley":{"formattedCitation":"(Saeedikiya et al., 2025)","plainTextFormattedCitation":"(Saeedikiya et al., 2025)","previouslyFormattedCitation":"(Saeedikiya et al., 2025)"},"properties":{"noteIndex":0},"schema":"https://github.com/citation-style-language/schema/raw/master/csl-citation.json"}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(Saeedikiya et al., 2025)</w:t>
      </w:r>
      <w:r w:rsidR="00D64833" w:rsidRPr="004D5D1F">
        <w:rPr>
          <w:rFonts w:ascii="Arial" w:eastAsia="Calibri" w:hAnsi="Arial" w:cs="Arial"/>
          <w:lang w:val="en"/>
        </w:rPr>
        <w:fldChar w:fldCharType="end"/>
      </w:r>
      <w:r w:rsidR="00D64833">
        <w:rPr>
          <w:rFonts w:ascii="Arial" w:eastAsia="Calibri" w:hAnsi="Arial" w:cs="Arial"/>
          <w:lang w:val="en"/>
        </w:rPr>
        <w:t xml:space="preserve">. </w:t>
      </w:r>
      <w:r w:rsidRPr="002F40B4">
        <w:rPr>
          <w:rFonts w:ascii="Arial" w:eastAsia="Calibri" w:hAnsi="Arial" w:cs="Arial"/>
          <w:lang w:val="en"/>
        </w:rPr>
        <w:t>which analyzes digital readiness in SMEs and logistics companies in Vietnam, suggesting a strategic regional shift in innovation during accelerated digital transformation.</w:t>
      </w:r>
    </w:p>
    <w:p w14:paraId="69A21866" w14:textId="594561CC" w:rsidR="00022A8F" w:rsidRPr="004D5D1F" w:rsidRDefault="002F40B4" w:rsidP="002F40B4">
      <w:pPr>
        <w:spacing w:after="0" w:line="276" w:lineRule="auto"/>
        <w:ind w:firstLine="567"/>
        <w:jc w:val="both"/>
        <w:rPr>
          <w:rFonts w:ascii="Arial" w:eastAsia="Calibri" w:hAnsi="Arial" w:cs="Arial"/>
          <w:lang w:val="en"/>
        </w:rPr>
      </w:pPr>
      <w:r w:rsidRPr="002F40B4">
        <w:rPr>
          <w:rFonts w:ascii="Arial" w:eastAsia="Calibri" w:hAnsi="Arial" w:cs="Arial"/>
          <w:lang w:val="en"/>
        </w:rPr>
        <w:t xml:space="preserve">In the same way, with the title </w:t>
      </w:r>
      <w:r w:rsidR="00454A75">
        <w:rPr>
          <w:rFonts w:ascii="Arial" w:eastAsia="Calibri" w:hAnsi="Arial" w:cs="Arial"/>
          <w:lang w:val="en"/>
        </w:rPr>
        <w:t>“</w:t>
      </w:r>
      <w:r w:rsidR="008E19FA">
        <w:rPr>
          <w:rFonts w:ascii="Arial" w:eastAsia="Calibri" w:hAnsi="Arial" w:cs="Arial"/>
          <w:lang w:val="en"/>
        </w:rPr>
        <w:t>s</w:t>
      </w:r>
      <w:r w:rsidRPr="002F40B4">
        <w:rPr>
          <w:rFonts w:ascii="Arial" w:eastAsia="Calibri" w:hAnsi="Arial" w:cs="Arial"/>
          <w:lang w:val="en"/>
        </w:rPr>
        <w:t xml:space="preserve">ustainable Development and Public Trust,” Cluster #4 focuses on sociotechnical aspects of digital urbanism, particularly inclusivity and public trust as well as legitimacy in innovative governance. This compilation works like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{"citationItems":[{"id":"ITEM-1","itemData":{"DOI":"10.1016/j.giq.2023.101907","ISSN":"0740624X","abstract":"There is growing concern that implementing effective governance constitutes a significant element in cities becoming ‘smart’ due to its multidisciplinarity, complexity of urban challenges and multi-stakeholder involvement. It is assumed that in smart city initiatives, new governance modes arise through the interplay of technological artefacts and political and social factors, viewed through a sociotechnical perspective. We also argue that traditional urban governance modes help explain emerging modes and the nature of citizen-government interactions. Thus, a combination of the sociotechnical view with the modes of urban governance as a theoretical approach was used to understand the dynamics of emerging governance modes in smart city initiatives. Two cases were studied using a longitudinal qualitative case study and temporal bracketing analysis for an in-depth understanding. Our findings evidenced that the configuration of the elements, governance mode, information and communication technology (ICT) and types of citizen-government interaction varies from one initiative to another and changes over time, across multiple sociotechnical networks in practice, which leads to emerging new governance modes. We highlight that a new understanding of smart urban governance for sustainable development in the digital age needs to be developed as a dynamic process. Moreover, we identified two emerging governance modes and proposed a dynamic approach to investigate smart urban governance in other contexts.","author":[{"dropping-particle":"","family":"Przeybilovicz","given":"Erico","non-dropping-particle":"","parse-names":false,"suffix":""},{"dropping-particle":"","family":"Cunha","given":"Maria Alexandra","non-dropping-particle":"","parse-names":false,"suffix":""}],"container-title":"Government Information Quarterly","id":"ITEM-1","issue":"1","issued":{"date-parts":[["2024","3"]]},"language":"English","page":"101907","publisher":"Elsevier Ltd","publisher-place":"United Nations University Operating Unit on Policy-Driven Electronic Governance (UNU-EGOV), Campus de Couros, Rua Vila Flor 166, Guimarães, 4810-445, Portugal","title":"Governing in the digital age: The emergence of dynamic smart urban governance modes","type":"article-journal","volume":"41"},"uris":["http://www.mendeley.com/documents/?uuid=226f3e0b-3322-490e-978f-3ce6c881b34a","http://www.mendeley.com/documents/?uuid=b9e9207d-fb21-4cbc-818d-2471848f274d"]}],"mendeley":{"formattedCitation":"(Przeybilovicz &amp; Cunha, 2024)","plainTextFormattedCitation":"(Przeybilovicz &amp; Cunha, 2024)","previouslyFormattedCitation":"(Przeybilovicz &amp; Cunha, 2024)"},"properties":{"noteIndex":0},"schema":"https://github.com/citation-style-language/schema/raw/master/csl-citation.json"}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(Przeybilovicz &amp; Cunha, 2024)</w:t>
      </w:r>
      <w:r w:rsidR="00D64833" w:rsidRPr="004D5D1F">
        <w:rPr>
          <w:rFonts w:ascii="Arial" w:eastAsia="Calibri" w:hAnsi="Arial" w:cs="Arial"/>
          <w:lang w:val="en"/>
        </w:rPr>
        <w:fldChar w:fldCharType="end"/>
      </w:r>
      <w:r w:rsidR="00D64833" w:rsidRPr="004D5D1F">
        <w:rPr>
          <w:rFonts w:ascii="Arial" w:eastAsia="Calibri" w:hAnsi="Arial" w:cs="Arial"/>
          <w:lang w:val="en"/>
        </w:rPr>
        <w:t xml:space="preserve"> and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{"citationItems":[{"id":"ITEM-1","itemData":{"DOI":"10.4018/IJEPR.2020010101","ISSN":"2160-9918","abstract":"Over the past decade, the dominant entrepreneurial form of urban governance has seriously hindered the transformation of cities by neglecting the role of urban contexts in shaping governance structures and outcomes. To promote alternatives, this article presents a sociotechnical framework for smart urban governance. This framework explicitly examines the impacts of urban contexts on the sociotechnical interaction between urban technological innovation and urban governance in the realm of smart cities. Three real-world cases were used to demonstrate how the framework can be applied in different urban contexts. The results show that the alleged smartness in smart urban governance by no means implies the simple acceptance, adoption, and use of technology; instead, it needs to be conditionate. For successful smart urban governance, urban technological innovation should be effectively attuned to the wider urban actors and preexisting urban challenges (i.e., the urban governance process), with a special focus on the urban context.","author":[{"dropping-particle":"","family":"Jiang","given":"Huaxiong","non-dropping-particle":"","parse-names":false,"suffix":""},{"dropping-particle":"","family":"Geertman","given":"Stan","non-dropping-particle":"","parse-names":false,"suffix":""},{"dropping-particle":"","family":"Witte","given":"Patrick","non-dropping-particle":"","parse-names":false,"suffix":""}],"container-title":"International Journal of E-Planning Research","id":"ITEM-1","issue":"1","issued":{"date-parts":[["2020","1"]]},"language":"English","page":"1-19","publisher":"IGI Global","publisher-place":"Utrecht University, Utrecht, Netherlands","title":"A Sociotechnical Framework for Smart Urban Governance","type":"article-journal","volume":"9"},"uris":["http://www.mendeley.com/documents/?uuid=e2fd5e78-c6ea-4f2b-8c98-050e172e6326","http://www.mendeley.com/documents/?uuid=2d81f053-2c0f-4474-b470-8aa3d4fa56f2"]}],"mendeley":{"formattedCitation":"(Jiang et al., 2020)","plainTextFormattedCitation":"(Jiang et al., 2020)","previouslyFormattedCitation":"(Jiang et al., 2020)"},"properties":{"noteIndex":0},"schema":"https://github.com/citation-style-language/schema/raw/master/csl-citation.json"}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(Jiang et al., 2020)</w:t>
      </w:r>
      <w:r w:rsidR="00D64833" w:rsidRPr="004D5D1F">
        <w:rPr>
          <w:rFonts w:ascii="Arial" w:eastAsia="Calibri" w:hAnsi="Arial" w:cs="Arial"/>
          <w:lang w:val="en"/>
        </w:rPr>
        <w:fldChar w:fldCharType="end"/>
      </w:r>
      <w:r w:rsidRPr="002F40B4">
        <w:rPr>
          <w:rFonts w:ascii="Arial" w:eastAsia="Calibri" w:hAnsi="Arial" w:cs="Arial"/>
          <w:lang w:val="en"/>
        </w:rPr>
        <w:t>, which criticized the citizens</w:t>
      </w:r>
      <w:r w:rsidR="00DC4D13">
        <w:rPr>
          <w:rFonts w:ascii="Arial" w:eastAsia="Calibri" w:hAnsi="Arial" w:cs="Arial"/>
          <w:lang w:val="en"/>
        </w:rPr>
        <w:t>”</w:t>
      </w:r>
      <w:r w:rsidRPr="002F40B4">
        <w:rPr>
          <w:rFonts w:ascii="Arial" w:eastAsia="Calibri" w:hAnsi="Arial" w:cs="Arial"/>
          <w:lang w:val="en"/>
        </w:rPr>
        <w:t xml:space="preserve"> participation in Dublin</w:t>
      </w:r>
      <w:r w:rsidR="008E19FA">
        <w:rPr>
          <w:rFonts w:ascii="Arial" w:eastAsia="Calibri" w:hAnsi="Arial" w:cs="Arial"/>
          <w:lang w:val="en"/>
        </w:rPr>
        <w:t>’s</w:t>
      </w:r>
      <w:r w:rsidRPr="002F40B4">
        <w:rPr>
          <w:rFonts w:ascii="Arial" w:eastAsia="Calibri" w:hAnsi="Arial" w:cs="Arial"/>
          <w:lang w:val="en"/>
        </w:rPr>
        <w:t xml:space="preserve"> brilliant city initiative. It discussed big data and the implications of AI in smart cities. Citing works like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{"citationItems":[{"id":"ITEM-1","itemData":{"DOI":"10.1007/978-981-15-3738-7_18","ISBN":"9789811537387","abstract":"Smart cities are now a buzzword all over the world, with various places jumping on to the bandwagon, implementing “smart” technology and marketing themselves as “smart” cities. This case study from Singapore however brings out a different perspective to our understanding of smart cities. This chapter highlights how smart cities are not necessarily about the implementation of the most advanced, cutting edge technology, but are also about efficient governance for the intelligent implementation of technology. As such, Singapore, which we believe is a relatively successful smart city, demonstrates how technology can never be the panacea to all city’s problems; technology cannot successfully bring about positive change without a concomitant improvement to governance and how policies are implemented for betterment of the society and its integration to local economy. To do so, this chapter highlights Singapore’s citizen-oriented, nation-wide approach and the central role of the government in smart city initiatives.","author":[{"dropping-particle":"","family":"Chang","given":"Fiona","non-dropping-particle":"","parse-names":false,"suffix":""},{"dropping-particle":"","family":"Das","given":"Diganta","non-dropping-particle":"","parse-names":false,"suffix":""}],"container-title":"Developing National Urban Policies","id":"ITEM-1","issued":{"date-parts":[["2020"]]},"language":"English","page":"425-440","publisher":"Springer Nature Singapore","publisher-place":"Singapore","title":"Smart Nation Singapore: Developing Policies for a Citizen-Oriented Smart City Initiative","type":"chapter"},"uris":["http://www.mendeley.com/documents/?uuid=6582d88c-c350-4ddf-8a5e-aacdbdaded2e","http://www.mendeley.com/documents/?uuid=b69509f8-7695-43ca-8405-8889de30599f"]}],"mendeley":{"formattedCitation":"(Chang &amp; Das, 2020)","plainTextFormattedCitation":"(Chang &amp; Das, 2020)","previouslyFormattedCitation":"(Chang &amp; Das, 2020)"},"properties":{"noteIndex":0},"schema":"https://github.com/citation-style-language/schema/raw/master/csl-citation.json"}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(Chang &amp; Das, 2020)</w:t>
      </w:r>
      <w:r w:rsidR="00D64833" w:rsidRPr="004D5D1F">
        <w:rPr>
          <w:rFonts w:ascii="Arial" w:eastAsia="Calibri" w:hAnsi="Arial" w:cs="Arial"/>
          <w:lang w:val="en"/>
        </w:rPr>
        <w:fldChar w:fldCharType="end"/>
      </w:r>
      <w:r w:rsidR="00D64833">
        <w:rPr>
          <w:rFonts w:ascii="Arial" w:eastAsia="Calibri" w:hAnsi="Arial" w:cs="Arial"/>
          <w:lang w:val="en"/>
        </w:rPr>
        <w:t xml:space="preserve">. </w:t>
      </w:r>
      <w:r w:rsidRPr="002F40B4">
        <w:rPr>
          <w:rFonts w:ascii="Arial" w:eastAsia="Calibri" w:hAnsi="Arial" w:cs="Arial"/>
          <w:lang w:val="en"/>
        </w:rPr>
        <w:t>raises worries about the smart city and Singaporean governance model using AI. Terms like `public trust`, `citizen-centric smart cities`, and `digital legitimacy` highlight the need for the public to consider acceptance and engagement about the sustainability of smart cities in Southeast Asia.</w:t>
      </w:r>
    </w:p>
    <w:p w14:paraId="011E2113" w14:textId="2560DBA0" w:rsidR="00081EDE" w:rsidRPr="00022A8F" w:rsidRDefault="00081EDE" w:rsidP="00022A8F">
      <w:pPr>
        <w:spacing w:after="0" w:line="276" w:lineRule="auto"/>
        <w:jc w:val="both"/>
        <w:rPr>
          <w:rFonts w:ascii="Arial" w:hAnsi="Arial" w:cs="Arial"/>
          <w:b/>
          <w:i/>
          <w:szCs w:val="20"/>
        </w:rPr>
      </w:pPr>
      <w:r w:rsidRPr="00022A8F">
        <w:rPr>
          <w:rFonts w:ascii="Arial" w:hAnsi="Arial" w:cs="Arial"/>
          <w:b/>
          <w:i/>
          <w:szCs w:val="20"/>
        </w:rPr>
        <w:t>Evolution of Research Topics</w:t>
      </w:r>
    </w:p>
    <w:p w14:paraId="7BE7958D" w14:textId="0C0601E2" w:rsidR="00081EDE" w:rsidRPr="004D5D1F" w:rsidRDefault="00C236CF" w:rsidP="00025CB0">
      <w:pPr>
        <w:spacing w:after="0" w:line="276" w:lineRule="auto"/>
        <w:ind w:firstLine="851"/>
        <w:jc w:val="both"/>
        <w:rPr>
          <w:rFonts w:ascii="Arial" w:eastAsia="Calibri" w:hAnsi="Arial" w:cs="Arial"/>
          <w:lang w:val="en"/>
        </w:rPr>
      </w:pPr>
      <w:r w:rsidRPr="00C236CF">
        <w:rPr>
          <w:rFonts w:ascii="Arial" w:eastAsia="Calibri" w:hAnsi="Arial" w:cs="Arial"/>
          <w:lang w:val="en"/>
        </w:rPr>
        <w:t xml:space="preserve">Utilizing </w:t>
      </w:r>
      <w:proofErr w:type="spellStart"/>
      <w:r w:rsidRPr="00C236CF">
        <w:rPr>
          <w:rFonts w:ascii="Arial" w:eastAsia="Calibri" w:hAnsi="Arial" w:cs="Arial"/>
          <w:lang w:val="en"/>
        </w:rPr>
        <w:t>Biblioshiny</w:t>
      </w:r>
      <w:proofErr w:type="spellEnd"/>
      <w:r w:rsidRPr="00C236CF">
        <w:rPr>
          <w:rFonts w:ascii="Arial" w:eastAsia="Calibri" w:hAnsi="Arial" w:cs="Arial"/>
          <w:lang w:val="en"/>
        </w:rPr>
        <w:t xml:space="preserve"> with RStudio, complemented by a Sankey diagram, provides a comprehensive perspective on the study. Such visual aids are beneficial for researchers in identifying intersections of interest among multiple themes, anticipating emerging trends, and uncovering significant relationships relevant to the investigative problems at hand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{"citationItems":[{"id":"ITEM-1","itemData":{"DOI":"10.2174/2213275912666190801113359","ISSN":"26662558","abstract":"Background: Nowadays, the demand for data science-related job positions have seen a huge increase due to the recent data explosion incurred by the industries and organizations globally. The necessity to harness and utilize the amount of information hidden inside these huge datasets for effective decision-making has become the need of the hour. However, this scenario is where a data analyst or a data scientist comes into play. They are domain experts who have the skillset and expertise to extract hidden meaning from data and convert them into useful insights. This work illustrates the use of data mining and advanced data analysis techniques such as data aggregation, summarization along with data visualization using R tool to understand and analyse the job trends in the United States of America (USA) and then drill down to analyse job trends for data science-related job positions from year 2011 to 2016. Objective: This paper discusses the general job trends in the US and how the job seekers are migrating from one place to another place using Visa for different titles, majorly for business analytics. Methods: Analytics is done using R programming, different functions of the programming on various parameters and inference is drawn on the result. Results &amp; Conclusion: The aim of this analysis is to predict the job trends in line with demand, region, employers, wages in USD.","author":[{"dropping-particle":"","family":"Ramasubbareddy","given":"Somula","non-dropping-particle":"","parse-names":false,"suffix":""},{"dropping-particle":"","family":"Walia","given":"Anish S.","non-dropping-particle":"","parse-names":false,"suffix":""},{"dropping-particle":"","family":"Luhach","given":"Ashish K.","non-dropping-particle":"","parse-names":false,"suffix":""},{"dropping-particle":"","family":"Kannayaram","given":"Govinda","non-dropping-particle":"","parse-names":false,"suffix":""},{"dropping-particle":"","family":"Evakattu","given":"Swetha","non-dropping-particle":"","parse-names":false,"suffix":""}],"container-title":"Recent Advances in Computer Science and Communications","id":"ITEM-1","issue":"1","issued":{"date-parts":[["2019"]]},"language":"English","page":"100-108","publisher":"Bentham Science Publishers","publisher-place":"Department of Information Technology, VNRVJIET, Hyderabad, India","title":"Big Data Analysis on Job Trends Using R","type":"article-journal","volume":"14"},"uris":["http://www.mendeley.com/documents/?uuid=a434f0ab-2a11-482f-966e-4013b81a6ec6","http://www.mendeley.com/documents/?uuid=2264bafd-6347-4e8b-91f3-a3a200158d8b"]}],"mendeley":{"formattedCitation":"(Ramasubbareddy et al., 2019)","plainTextFormattedCitation":"(Ramasubbareddy et al., 2019)","previouslyFormattedCitation":"(Ramasubbareddy et al., 2019)"},"properties":{"noteIndex":0},"schema":"https://github.com/citation-style-language/schema/raw/master/csl-citation.json"}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(Ramasubbareddy et al., 2019)</w:t>
      </w:r>
      <w:r w:rsidR="00D64833" w:rsidRPr="004D5D1F">
        <w:rPr>
          <w:rFonts w:ascii="Arial" w:eastAsia="Calibri" w:hAnsi="Arial" w:cs="Arial"/>
          <w:lang w:val="en"/>
        </w:rPr>
        <w:fldChar w:fldCharType="end"/>
      </w:r>
      <w:r w:rsidR="00D64833" w:rsidRPr="004D5D1F">
        <w:rPr>
          <w:rFonts w:ascii="Arial" w:eastAsia="Calibri" w:hAnsi="Arial" w:cs="Arial"/>
          <w:lang w:val="en"/>
        </w:rPr>
        <w:t>.</w:t>
      </w:r>
      <w:r w:rsidR="00D64833">
        <w:rPr>
          <w:rFonts w:ascii="Arial" w:eastAsia="Calibri" w:hAnsi="Arial" w:cs="Arial"/>
          <w:lang w:val="en"/>
        </w:rPr>
        <w:t xml:space="preserve"> </w:t>
      </w:r>
      <w:r w:rsidRPr="00C236CF">
        <w:rPr>
          <w:rFonts w:ascii="Arial" w:eastAsia="Calibri" w:hAnsi="Arial" w:cs="Arial"/>
          <w:lang w:val="en"/>
        </w:rPr>
        <w:t>Therefore, this method sharpens the focus for thematic analysis and assists in meticulous multi-domain data evaluation.</w:t>
      </w:r>
    </w:p>
    <w:p w14:paraId="08705342" w14:textId="606C044A" w:rsidR="00022A8F" w:rsidRPr="00022A8F" w:rsidRDefault="00022A8F" w:rsidP="00022A8F">
      <w:pPr>
        <w:spacing w:after="0" w:line="276" w:lineRule="auto"/>
        <w:jc w:val="center"/>
        <w:rPr>
          <w:rFonts w:ascii="Arial" w:eastAsia="Calibri" w:hAnsi="Arial" w:cs="Arial"/>
          <w:b/>
          <w:szCs w:val="20"/>
          <w:lang w:val="id-ID"/>
        </w:rPr>
      </w:pPr>
      <w:proofErr w:type="spellStart"/>
      <w:r w:rsidRPr="00022A8F">
        <w:rPr>
          <w:rFonts w:ascii="Arial" w:eastAsia="Calibri" w:hAnsi="Arial" w:cs="Arial"/>
          <w:b/>
          <w:szCs w:val="20"/>
          <w:lang w:val="id-ID"/>
        </w:rPr>
        <w:t>Figure</w:t>
      </w:r>
      <w:proofErr w:type="spellEnd"/>
      <w:r w:rsidRPr="00022A8F">
        <w:rPr>
          <w:rFonts w:ascii="Arial" w:eastAsia="Calibri" w:hAnsi="Arial" w:cs="Arial"/>
          <w:b/>
          <w:szCs w:val="20"/>
          <w:lang w:val="id-ID"/>
        </w:rPr>
        <w:t xml:space="preserve"> 5. </w:t>
      </w:r>
      <w:proofErr w:type="spellStart"/>
      <w:r w:rsidRPr="00022A8F">
        <w:rPr>
          <w:rFonts w:ascii="Arial" w:eastAsia="Calibri" w:hAnsi="Arial" w:cs="Arial"/>
          <w:b/>
          <w:szCs w:val="20"/>
          <w:lang w:val="id-ID"/>
        </w:rPr>
        <w:t>Sankey</w:t>
      </w:r>
      <w:proofErr w:type="spellEnd"/>
      <w:r w:rsidRPr="00022A8F">
        <w:rPr>
          <w:rFonts w:ascii="Arial" w:eastAsia="Calibri" w:hAnsi="Arial" w:cs="Arial"/>
          <w:b/>
          <w:szCs w:val="20"/>
          <w:lang w:val="id-ID"/>
        </w:rPr>
        <w:t xml:space="preserve"> Diagram </w:t>
      </w:r>
      <w:proofErr w:type="spellStart"/>
      <w:r w:rsidRPr="00022A8F">
        <w:rPr>
          <w:rFonts w:ascii="Arial" w:eastAsia="Calibri" w:hAnsi="Arial" w:cs="Arial"/>
          <w:b/>
          <w:szCs w:val="20"/>
          <w:lang w:val="id-ID"/>
        </w:rPr>
        <w:t>of</w:t>
      </w:r>
      <w:proofErr w:type="spellEnd"/>
      <w:r w:rsidRPr="00022A8F">
        <w:rPr>
          <w:rFonts w:ascii="Arial" w:eastAsia="Calibri" w:hAnsi="Arial" w:cs="Arial"/>
          <w:b/>
          <w:szCs w:val="20"/>
          <w:lang w:val="id-ID"/>
        </w:rPr>
        <w:t xml:space="preserve"> </w:t>
      </w:r>
      <w:proofErr w:type="spellStart"/>
      <w:r w:rsidRPr="00022A8F">
        <w:rPr>
          <w:rFonts w:ascii="Arial" w:eastAsia="Calibri" w:hAnsi="Arial" w:cs="Arial"/>
          <w:b/>
          <w:szCs w:val="20"/>
          <w:lang w:val="id-ID"/>
        </w:rPr>
        <w:t>Thematic</w:t>
      </w:r>
      <w:proofErr w:type="spellEnd"/>
      <w:r w:rsidRPr="00022A8F">
        <w:rPr>
          <w:rFonts w:ascii="Arial" w:eastAsia="Calibri" w:hAnsi="Arial" w:cs="Arial"/>
          <w:b/>
          <w:szCs w:val="20"/>
          <w:lang w:val="id-ID"/>
        </w:rPr>
        <w:t xml:space="preserve"> </w:t>
      </w:r>
      <w:proofErr w:type="spellStart"/>
      <w:r w:rsidRPr="00022A8F">
        <w:rPr>
          <w:rFonts w:ascii="Arial" w:eastAsia="Calibri" w:hAnsi="Arial" w:cs="Arial"/>
          <w:b/>
          <w:szCs w:val="20"/>
          <w:lang w:val="id-ID"/>
        </w:rPr>
        <w:t>Evolutionary</w:t>
      </w:r>
      <w:proofErr w:type="spellEnd"/>
      <w:r w:rsidRPr="00022A8F">
        <w:rPr>
          <w:rFonts w:ascii="Arial" w:eastAsia="Calibri" w:hAnsi="Arial" w:cs="Arial"/>
          <w:b/>
          <w:szCs w:val="20"/>
          <w:lang w:val="id-ID"/>
        </w:rPr>
        <w:t xml:space="preserve"> </w:t>
      </w:r>
      <w:proofErr w:type="spellStart"/>
      <w:r w:rsidRPr="00022A8F">
        <w:rPr>
          <w:rFonts w:ascii="Arial" w:eastAsia="Calibri" w:hAnsi="Arial" w:cs="Arial"/>
          <w:b/>
          <w:szCs w:val="20"/>
          <w:lang w:val="id-ID"/>
        </w:rPr>
        <w:t>Sources</w:t>
      </w:r>
      <w:proofErr w:type="spellEnd"/>
    </w:p>
    <w:p w14:paraId="7E613AE4" w14:textId="77777777" w:rsidR="00081EDE" w:rsidRPr="002F2E68" w:rsidRDefault="00081EDE" w:rsidP="00081EDE">
      <w:pPr>
        <w:spacing w:after="0"/>
        <w:rPr>
          <w:rFonts w:ascii="Times New Roman" w:hAnsi="Times New Roman" w:cs="Times New Roman"/>
          <w:b/>
          <w:bCs/>
          <w:sz w:val="24"/>
          <w:szCs w:val="24"/>
        </w:rPr>
      </w:pPr>
      <w:r w:rsidRPr="002F2E68">
        <w:rPr>
          <w:rFonts w:ascii="Times New Roman" w:hAnsi="Times New Roman" w:cs="Times New Roman"/>
          <w:b/>
          <w:bCs/>
          <w:noProof/>
          <w:sz w:val="24"/>
          <w:szCs w:val="24"/>
        </w:rPr>
        <w:drawing>
          <wp:inline distT="0" distB="0" distL="0" distR="0" wp14:anchorId="2905A81D" wp14:editId="6752D6F9">
            <wp:extent cx="5040000" cy="1880090"/>
            <wp:effectExtent l="0" t="0" r="0" b="6350"/>
            <wp:docPr id="1154165276" name="Picture 3" descr="A diagram of a number of different colored circl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165276" name="Picture 3" descr="A diagram of a number of different colored circles&#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0000" cy="1880090"/>
                    </a:xfrm>
                    <a:prstGeom prst="rect">
                      <a:avLst/>
                    </a:prstGeom>
                  </pic:spPr>
                </pic:pic>
              </a:graphicData>
            </a:graphic>
          </wp:inline>
        </w:drawing>
      </w:r>
    </w:p>
    <w:p w14:paraId="45A3D7AB" w14:textId="2B3D09F6" w:rsidR="00081EDE" w:rsidRPr="00022A8F" w:rsidRDefault="00081EDE" w:rsidP="00022A8F">
      <w:pPr>
        <w:spacing w:after="0" w:line="276" w:lineRule="auto"/>
        <w:jc w:val="center"/>
        <w:rPr>
          <w:rFonts w:ascii="Arial" w:eastAsia="Calibri" w:hAnsi="Arial" w:cs="Arial"/>
          <w:b/>
          <w:szCs w:val="20"/>
          <w:lang w:val="id-ID"/>
        </w:rPr>
      </w:pPr>
      <w:proofErr w:type="spellStart"/>
      <w:r w:rsidRPr="00022A8F">
        <w:rPr>
          <w:rFonts w:ascii="Arial" w:eastAsia="Calibri" w:hAnsi="Arial" w:cs="Arial"/>
          <w:b/>
          <w:szCs w:val="20"/>
          <w:lang w:val="id-ID"/>
        </w:rPr>
        <w:t>Source</w:t>
      </w:r>
      <w:proofErr w:type="spellEnd"/>
      <w:r w:rsidRPr="00022A8F">
        <w:rPr>
          <w:rFonts w:ascii="Arial" w:eastAsia="Calibri" w:hAnsi="Arial" w:cs="Arial"/>
          <w:b/>
          <w:szCs w:val="20"/>
          <w:lang w:val="id-ID"/>
        </w:rPr>
        <w:t xml:space="preserve">. </w:t>
      </w:r>
      <w:proofErr w:type="spellStart"/>
      <w:r w:rsidR="009F728E" w:rsidRPr="00022A8F">
        <w:rPr>
          <w:rFonts w:ascii="Arial" w:eastAsia="Calibri" w:hAnsi="Arial" w:cs="Arial"/>
          <w:b/>
          <w:szCs w:val="20"/>
          <w:lang w:val="id-ID"/>
        </w:rPr>
        <w:t>Author</w:t>
      </w:r>
      <w:proofErr w:type="spellEnd"/>
      <w:r w:rsidR="009F728E" w:rsidRPr="00022A8F">
        <w:rPr>
          <w:rFonts w:ascii="Arial" w:eastAsia="Calibri" w:hAnsi="Arial" w:cs="Arial"/>
          <w:b/>
          <w:szCs w:val="20"/>
          <w:lang w:val="id-ID"/>
        </w:rPr>
        <w:t xml:space="preserve"> </w:t>
      </w:r>
      <w:proofErr w:type="spellStart"/>
      <w:r w:rsidR="009F728E" w:rsidRPr="00022A8F">
        <w:rPr>
          <w:rFonts w:ascii="Arial" w:eastAsia="Calibri" w:hAnsi="Arial" w:cs="Arial"/>
          <w:b/>
          <w:szCs w:val="20"/>
          <w:lang w:val="id-ID"/>
        </w:rPr>
        <w:t>generated</w:t>
      </w:r>
      <w:proofErr w:type="spellEnd"/>
      <w:r w:rsidR="009F728E" w:rsidRPr="00022A8F">
        <w:rPr>
          <w:rFonts w:ascii="Arial" w:eastAsia="Calibri" w:hAnsi="Arial" w:cs="Arial"/>
          <w:b/>
          <w:szCs w:val="20"/>
          <w:lang w:val="id-ID"/>
        </w:rPr>
        <w:t xml:space="preserve"> </w:t>
      </w:r>
      <w:proofErr w:type="spellStart"/>
      <w:r w:rsidR="009F728E" w:rsidRPr="00022A8F">
        <w:rPr>
          <w:rFonts w:ascii="Arial" w:eastAsia="Calibri" w:hAnsi="Arial" w:cs="Arial"/>
          <w:b/>
          <w:szCs w:val="20"/>
          <w:lang w:val="id-ID"/>
        </w:rPr>
        <w:t>through</w:t>
      </w:r>
      <w:proofErr w:type="spellEnd"/>
      <w:r w:rsidR="009F728E" w:rsidRPr="00022A8F">
        <w:rPr>
          <w:rFonts w:ascii="Arial" w:eastAsia="Calibri" w:hAnsi="Arial" w:cs="Arial"/>
          <w:b/>
          <w:szCs w:val="20"/>
          <w:lang w:val="id-ID"/>
        </w:rPr>
        <w:t xml:space="preserve"> </w:t>
      </w:r>
      <w:proofErr w:type="spellStart"/>
      <w:r w:rsidR="009F728E">
        <w:rPr>
          <w:rFonts w:ascii="Arial" w:eastAsia="Calibri" w:hAnsi="Arial" w:cs="Arial"/>
          <w:b/>
          <w:szCs w:val="20"/>
          <w:lang w:val="id-ID"/>
        </w:rPr>
        <w:t>RStudio-Biblioshiny</w:t>
      </w:r>
      <w:proofErr w:type="spellEnd"/>
    </w:p>
    <w:p w14:paraId="33AAF1E5" w14:textId="63E9506F" w:rsidR="003848FC" w:rsidRPr="004D5D1F" w:rsidRDefault="00C236CF" w:rsidP="003848FC">
      <w:pPr>
        <w:spacing w:after="0" w:line="276" w:lineRule="auto"/>
        <w:ind w:firstLine="567"/>
        <w:jc w:val="both"/>
        <w:rPr>
          <w:rFonts w:ascii="Arial" w:eastAsia="Calibri" w:hAnsi="Arial" w:cs="Arial"/>
          <w:lang w:val="en"/>
        </w:rPr>
      </w:pPr>
      <w:r w:rsidRPr="00C236CF">
        <w:rPr>
          <w:rFonts w:ascii="Arial" w:eastAsia="Calibri" w:hAnsi="Arial" w:cs="Arial"/>
          <w:lang w:val="en"/>
        </w:rPr>
        <w:t xml:space="preserve">Thematic evolution from 2014 to 2018 </w:t>
      </w:r>
      <w:proofErr w:type="gramStart"/>
      <w:r w:rsidRPr="00C236CF">
        <w:rPr>
          <w:rFonts w:ascii="Arial" w:eastAsia="Calibri" w:hAnsi="Arial" w:cs="Arial"/>
          <w:lang w:val="en"/>
        </w:rPr>
        <w:t>with regard to</w:t>
      </w:r>
      <w:proofErr w:type="gramEnd"/>
      <w:r w:rsidRPr="00C236CF">
        <w:rPr>
          <w:rFonts w:ascii="Arial" w:eastAsia="Calibri" w:hAnsi="Arial" w:cs="Arial"/>
          <w:lang w:val="en"/>
        </w:rPr>
        <w:t xml:space="preserve"> Southeast Asia’s local government digital innovation, emphasizing civic engagement and government transparency, is captured in Figure 5. During this period, governance digital transformation was associated with heightened civic engagement, improved collaboration, active empowerment, and a better quality of life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{"citationItems":[{"id":"ITEM-1","itemData":{"DOI":"10.4018/979-8-3693-5966-2.ch008","ISBN":"9798369359686","abstract":"Digital transformation in governance enhances public participation, collaboration, empowerment, and accountability, improving quality of life. This study explores strategies like innovation ecosystems, crowdsourcing, and open government data (OGD), including the role of Chief Innovation Officers (CInOs). Examples include the Ministry of Manpower's Open Data Innovation System for public engagement, Manor Labs' crowdsourcing in Texas, and Kenya's OGD portal for transparency. CInOs, pivotal since 2008, align government with societal needs, fostering digital innovation and engagement. This paper advocates for the integration of CInOs at the highest levels of governance to bridge the gap between government policies and societal aspirations, fostering a culture of continuous digital innovation and engagement. These digital transformation-driven strategies enable governments to establish an efficient 'innovation ecosystem,' improving public services and promoting a collaborative, digitally innovative society.","author":[{"dropping-particle":"Al","family":"Rashdi","given":"Safiya","non-dropping-particle":"","parse-names":false,"suffix":""}],"container-title":"Perspectives on Digital Transformation in Contemporary Business","id":"ITEM-1","issued":{"date-parts":[["2024"]]},"language":"English","page":"201-239","publisher":"IGI Global","publisher-place":"Innovation Oases Company, Oman","title":"Digital transformation for better innovation governance","type":"chapter"},"uris":["http://www.mendeley.com/documents/?uuid=a049f93c-7ffe-4dd0-bdd4-e5b27a559679","http://www.mendeley.com/documents/?uuid=2ac1e685-1ac6-458c-9bfa-e771596edce0"]}],"mendeley":{"formattedCitation":"(Rashdi, 2024)","plainTextFormattedCitation":"(Rashdi, 2024)","previouslyFormattedCitation":"(Rashdi, 2024)"},"properties":{"noteIndex":0},"schema":"https://github.com/citation-style-language/schema/raw/master/csl-citation.json"}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(Rashdi, 2024)</w:t>
      </w:r>
      <w:r w:rsidR="00D64833" w:rsidRPr="004D5D1F">
        <w:rPr>
          <w:rFonts w:ascii="Arial" w:eastAsia="Calibri" w:hAnsi="Arial" w:cs="Arial"/>
          <w:lang w:val="en"/>
        </w:rPr>
        <w:fldChar w:fldCharType="end"/>
      </w:r>
      <w:r w:rsidR="00D64833" w:rsidRPr="004D5D1F">
        <w:rPr>
          <w:rFonts w:ascii="Arial" w:eastAsia="Calibri" w:hAnsi="Arial" w:cs="Arial"/>
          <w:lang w:val="en"/>
        </w:rPr>
        <w:t>.</w:t>
      </w:r>
      <w:r w:rsidR="00D64833">
        <w:rPr>
          <w:rFonts w:ascii="Arial" w:eastAsia="Calibri" w:hAnsi="Arial" w:cs="Arial"/>
          <w:lang w:val="en"/>
        </w:rPr>
        <w:t xml:space="preserve"> </w:t>
      </w:r>
      <w:r w:rsidRPr="00C236CF">
        <w:rPr>
          <w:rFonts w:ascii="Arial" w:eastAsia="Calibri" w:hAnsi="Arial" w:cs="Arial"/>
          <w:lang w:val="en"/>
        </w:rPr>
        <w:t xml:space="preserve">Moreover, the research explores how the community in the Southeast Asia region can alter the social ecosystem digitally, reinvigorate social life, and enable better governance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{"citationItems":[{"id":"ITEM-1","itemData":{"DOI":"10.1007/978-3-031-78211-4","ISBN":"9783031782114","abstract":"This book provides a much-needed critical exploration of digital media interventions in Southeast Asia, while adopting a decolonial perspective to address issues such as digital inequality, mistrust, and the manipulation of digital spaces. By emphasizing State-society initiatives that foster connective responsibility and collective resilience, it engages with original concepts such as rhizomorphic publics, digital media ecovillages, and digital sociocracy to challenge conventional power structures, offering new models and frameworks for collaboration and participatory governance. Through case studies, the book introduces the Southeast Asia DE-FINED (De-colonial Framework for Inclusive Networking, Engagement and Dialogue) framework and demonstrates how societies in this region can reshape digital landscapes, regenerate communities, and foster equitable governance, making it an invaluable resource for scholars, policymakers, and activists engaged in Southeast Asia’s digital transformation.","author":[{"dropping-particle":"","family":"Lim","given":"Joanne B.Y.","non-dropping-particle":"","parse-names":false,"suffix":""}],"container-title":"Digital Media Interventions in Southeast Asia: A Decolonial Perspective","id":"ITEM-1","issued":{"date-parts":[["2025"]]},"language":"English","number-of-pages":"1-282","publisher":"Springer Nature","publisher-place":"University of Nottingham Malaysia, Semenyih, Malaysia","title":"Digital Media Interventions in Southeast Asia: A Decolonial Perspective","type":"book"},"uris":["http://www.mendeley.com/documents/?uuid=fc43c3b8-a609-444d-bc01-c676a3a71864","http://www.mendeley.com/documents/?uuid=b28d8057-417b-4aaf-9b0d-46ffd2a5e432"]}],"mendeley":{"formattedCitation":"(Lim, 2025)","plainTextFormattedCitation":"(Lim, 2025)","previouslyFormattedCitation":"(Lim, 2025)"},"properties":{"noteIndex":0},"schema":"https://github.com/citation-style-language/schema/raw/master/csl-citation.json"}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(Lim, 2025)</w:t>
      </w:r>
      <w:r w:rsidR="00D64833" w:rsidRPr="004D5D1F">
        <w:rPr>
          <w:rFonts w:ascii="Arial" w:eastAsia="Calibri" w:hAnsi="Arial" w:cs="Arial"/>
          <w:lang w:val="en"/>
        </w:rPr>
        <w:fldChar w:fldCharType="end"/>
      </w:r>
      <w:r w:rsidR="00D64833" w:rsidRPr="004D5D1F">
        <w:rPr>
          <w:rFonts w:ascii="Arial" w:eastAsia="Calibri" w:hAnsi="Arial" w:cs="Arial"/>
          <w:lang w:val="en"/>
        </w:rPr>
        <w:t>.</w:t>
      </w:r>
      <w:r w:rsidR="00D64833">
        <w:rPr>
          <w:rFonts w:ascii="Arial" w:eastAsia="Calibri" w:hAnsi="Arial" w:cs="Arial"/>
          <w:lang w:val="en"/>
        </w:rPr>
        <w:t xml:space="preserve"> </w:t>
      </w:r>
      <w:r w:rsidRPr="00C236CF">
        <w:rPr>
          <w:rFonts w:ascii="Arial" w:eastAsia="Calibri" w:hAnsi="Arial" w:cs="Arial"/>
          <w:lang w:val="en"/>
        </w:rPr>
        <w:t xml:space="preserve">During this timeframe, it was noted that the e-government systems had achieved major gains in transparency; 70% of respondents reported enhanced access to informational and governmental services </w:t>
      </w:r>
      <w:r w:rsidR="003848FC"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{"citationItems":[{"id":"ITEM-1","itemData":{"DOI":"10.55214/25768484.v9i2.4908","ISSN":"25768484","abstract":"This research aims to explore the role of e-government in increasing transparency and accountability in public administration in the digital era. As digital technology develops, governments around the world are increasingly adopting e-government solutions to improve public services, strengthen public trust, and simplify administrative processes. This study investigates how the integration of information and communication technology (ICT) in public administration can drive greater transparency and accountability, which are essential elements of good governance. A mixed-methods approach is used to provide a comprehensive understanding of the impact of e-government initiatives. The qualitative component involves in-depth interviews with government officials, policymakers, and e-government project leaders in various sectors to understand the challenges and successes in the implementation of digital government solutions. The quantitative aspect uses a survey of 500 public sector employees and citizens in countries with advanced e-government systems to assess perceptions regarding transparency and accountability in digital services. The study found that the implementation of e-government platforms has brought significant improvements in transparency, with 70% of respondents reporting better access to public information and government data. In addition, accountability has been strengthened as digital platforms facilitate more efficient monitoring and auditing of public sector activities. However, challenges such as the digital literacy gap, concerns about data security, and the digital divide are identified as barriers to maximizing the potential of e-government. The study concludes that e-government plays an important role in improving transparency and accountability in public administration by enabling better access to information and facilitating a more transparent decision-making process. The study recommends further investments in digital infrastructure, capacity building for government officials, and public education to address existing challenges. These findings emphasize the importance of digital inclusivity and the need for a comprehensive strategy to ensure equal access to e-government services across all segments of society.","author":[{"dropping-particle":"","family":"Setyarto","given":"Dwiatmodjo Budi","non-dropping-particle":"","parse-names":false,"suffix":""},{"dropping-particle":"","family":"Alimuddin","given":"","non-dropping-particle":"","parse-names":false,"suffix":""},{"dropping-particle":"","family":"Mulyaningsih","given":"","non-dropping-particle":"","parse-names":false,"suffix":""},{"dropping-particle":"","family":"Judijanto","given":"Loso","non-dropping-particle":"","parse-names":false,"suffix":""}],"container-title":"Edelweiss Applied Science and Technology","id":"ITEM-1","issue":"2","issued":{"date-parts":[["2025","2"]]},"language":"English","page":"1771-1783","publisher":"Learning Gate","publisher-place":"ASM Marsudirini Santa Maria Yogyakarta, Indonesia","title":"The role of e-government in increasing transparency and accountability of public administration in the digital era","type":"article-journal","volume":"9"},"uris":["http://www.mendeley.com/documents/?uuid=5aa81ebf-5e42-4281-894f-e6a498116b15"]}],"mendeley":{"formattedCitation":"(Setyarto et al., 2025)","plainTextFormattedCitation":"(Setyarto et al., 2025)","previouslyFormattedCitation":"(Setyarto et al., 2025)"},"properties":{"noteIndex":0},"schema":"https://github.com/citation-style-language/schema/raw/master/csl-citation.json"}</w:instrText>
      </w:r>
      <w:r w:rsidR="003848FC" w:rsidRPr="004D5D1F">
        <w:rPr>
          <w:rFonts w:ascii="Arial" w:eastAsia="Calibri" w:hAnsi="Arial" w:cs="Arial"/>
          <w:lang w:val="en"/>
        </w:rPr>
        <w:fldChar w:fldCharType="separate"/>
      </w:r>
      <w:r w:rsidR="003848FC" w:rsidRPr="004D5D1F">
        <w:rPr>
          <w:rFonts w:ascii="Arial" w:eastAsia="Calibri" w:hAnsi="Arial" w:cs="Arial"/>
          <w:noProof/>
          <w:lang w:val="en"/>
        </w:rPr>
        <w:t>(Setyarto et al., 2025)</w:t>
      </w:r>
      <w:r w:rsidR="003848FC" w:rsidRPr="004D5D1F">
        <w:rPr>
          <w:rFonts w:ascii="Arial" w:eastAsia="Calibri" w:hAnsi="Arial" w:cs="Arial"/>
          <w:lang w:val="en"/>
        </w:rPr>
        <w:fldChar w:fldCharType="end"/>
      </w:r>
      <w:r w:rsidR="003848FC" w:rsidRPr="004D5D1F">
        <w:rPr>
          <w:rFonts w:ascii="Arial" w:eastAsia="Calibri" w:hAnsi="Arial" w:cs="Arial"/>
          <w:lang w:val="en"/>
        </w:rPr>
        <w:t>.</w:t>
      </w:r>
    </w:p>
    <w:p w14:paraId="1DBA67BA" w14:textId="774CE8F3" w:rsidR="00C236CF" w:rsidRPr="00C236CF" w:rsidRDefault="00C236CF" w:rsidP="00C236CF">
      <w:pPr>
        <w:spacing w:after="0" w:line="276" w:lineRule="auto"/>
        <w:ind w:firstLine="567"/>
        <w:jc w:val="both"/>
        <w:rPr>
          <w:rFonts w:ascii="Arial" w:eastAsia="Calibri" w:hAnsi="Arial" w:cs="Arial"/>
          <w:lang w:val="en"/>
        </w:rPr>
      </w:pPr>
      <w:r w:rsidRPr="00C236CF">
        <w:rPr>
          <w:rFonts w:ascii="Arial" w:eastAsia="Calibri" w:hAnsi="Arial" w:cs="Arial"/>
          <w:lang w:val="en"/>
        </w:rPr>
        <w:t xml:space="preserve">In addition, the attention given to the capacity of technological changes to ensure the accountability of government and enable citizens’ participation through digital democracy was sustained from 2019 to 2021. Retrieval and dissemination of information related to politics by governments, their affiliated agencies, civil society organizations, and citizen groups has been made easier due to innovations in the practice of digital democracy technology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{"citationItems":[{"id":"ITEM-1","itemData":{"DOI":"10.1504/IJEG.2018.095937","ISSN":"17427517","abstract":"Studies on digital democracy and public administration have mainly focused on the importance of top management support for technology adoption and sustainability of e-government. The little research considers how digital democracy practices and their relations with public administration reform particularly in Asia Pacific and middle-income country. Thus, this research investigates the variety and stages of digital democracy practices and how government bodies implement practices of digital democracy in relation to public administration reform in Indonesia. This study applied qualitative methods and procedures including document analysis, fieldwork, and interview. This research found that digital democracy in the research areas has been applied in governance and public services sectors. The results provided support that the innovation supporting digital democracy practices improves political information retrieval and exchange between governments, public administrations, representatives, community organisations and individual citizens. These practices have led to significant achievement in relation to public administration reforms by building a new culture in digital innovation.","author":[{"dropping-particle":"","family":"Kusumasari","given":"Bevaola","non-dropping-particle":"","parse-names":false,"suffix":""}],"container-title":"International Journal of Electronic Governance","id":"ITEM-1","issue":"3","issued":{"date-parts":[["2018"]]},"page":"317-337","title":"Digital democracy and public administration reform in Indonesia","type":"article-journal","volume":"10"},"uris":["http://www.mendeley.com/documents/?uuid=f3fd5aad-633a-42f4-ac16-22992c2589ad"]}],"mendeley":{"formattedCitation":"(Kusumasari, 2018)","plainTextFormattedCitation":"(Kusumasari, 2018)","previouslyFormattedCitation":"(Kusumasari, 2018)"},"properties":{"noteIndex":0},"schema":"https://github.com/citation-style-language/schema/raw/master/csl-citation.json"}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(Kusumasari, 2018)</w:t>
      </w:r>
      <w:r w:rsidR="00D64833" w:rsidRPr="004D5D1F">
        <w:rPr>
          <w:rFonts w:ascii="Arial" w:eastAsia="Calibri" w:hAnsi="Arial" w:cs="Arial"/>
          <w:lang w:val="en"/>
        </w:rPr>
        <w:fldChar w:fldCharType="end"/>
      </w:r>
      <w:r w:rsidR="00D64833" w:rsidRPr="004D5D1F">
        <w:rPr>
          <w:rFonts w:ascii="Arial" w:eastAsia="Calibri" w:hAnsi="Arial" w:cs="Arial"/>
          <w:lang w:val="en"/>
        </w:rPr>
        <w:t xml:space="preserve">. </w:t>
      </w:r>
      <w:r w:rsidRPr="00C236CF">
        <w:rPr>
          <w:rFonts w:ascii="Arial" w:eastAsia="Calibri" w:hAnsi="Arial" w:cs="Arial"/>
          <w:lang w:val="en"/>
        </w:rPr>
        <w:t xml:space="preserve">Moreover, technology integration into governmental functions has proven to increase civic engagement as well as participatory citizenship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{"citationItems":[{"id":"ITEM-1","itemData":{"ISBN":"9798331307066","abstract":"The advancement of digital government has become increasingly critical in the global economic landscape. This evolution increases the concern for bringing citizens closer to government and creates an image of modernity and responsiveness. The objective of this paper is to investigate the transformative role of innovation and digital inclusion in enhancing e-government engagement. Using the Janowski digital government evolution model, the research applies the deeper integration of digital technologies into government operations. It underscores the importance of innovation in advancing to sophisticated and citizen-centric stages of digital governance. Digital inclusion is perceived as an essential mediator, ensuring that technological advances reach all community segments in an equitable way. The findings reveal that robust digital inclusion practices significantly amplify the effects of innovation, leading to enhanced citizen participation and broader engagement in e-governance. This paper provides vital insights into the relationship between technological advancements and their equitable distribution, advocating for strategies that foster inclusive growth in digital government services.","author":[{"dropping-particle":"","family":"Belkhamza","given":"Zakariya","non-dropping-particle":"","parse-names":false,"suffix":""}],"container-title":"30th Americas Conference on Information Systems, AMCIS 2024","id":"ITEM-1","issued":{"date-parts":[["2024"]]},"language":"English","publisher":"Association for Information Systems","publisher-place":"Ahmed Bin Mohammed Military College, Qatar","title":"The Innovation's Role in Boosting e-Government Engagement in Global Economies","type":"paper-conference"},"uris":["http://www.mendeley.com/documents/?uuid=22dda1c1-6241-4ff0-a812-09c8f6e7ced7","http://www.mendeley.com/documents/?uuid=5b798aed-89f8-4420-a114-0ee715f38624"]}],"mendeley":{"formattedCitation":"(Belkhamza, 2024)","plainTextFormattedCitation":"(Belkhamza, 2024)","previouslyFormattedCitation":"(Belkhamza, 2024)"},"properties":{"noteIndex":0},"schema":"https://github.com/citation-style-language/schema/raw/master/csl-citation.json"}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(Belkhamza, 2024)</w:t>
      </w:r>
      <w:r w:rsidR="00D64833" w:rsidRPr="004D5D1F">
        <w:rPr>
          <w:rFonts w:ascii="Arial" w:eastAsia="Calibri" w:hAnsi="Arial" w:cs="Arial"/>
          <w:lang w:val="en"/>
        </w:rPr>
        <w:fldChar w:fldCharType="end"/>
      </w:r>
      <w:r w:rsidR="00D64833" w:rsidRPr="004D5D1F">
        <w:rPr>
          <w:rFonts w:ascii="Arial" w:eastAsia="Calibri" w:hAnsi="Arial" w:cs="Arial"/>
          <w:lang w:val="en"/>
        </w:rPr>
        <w:t>.</w:t>
      </w:r>
      <w:r w:rsidR="00D64833">
        <w:rPr>
          <w:rFonts w:ascii="Arial" w:eastAsia="Calibri" w:hAnsi="Arial" w:cs="Arial"/>
          <w:lang w:val="en"/>
        </w:rPr>
        <w:t xml:space="preserve"> </w:t>
      </w:r>
      <w:r w:rsidRPr="00C236CF">
        <w:rPr>
          <w:rFonts w:ascii="Arial" w:eastAsia="Calibri" w:hAnsi="Arial" w:cs="Arial"/>
          <w:lang w:val="en"/>
        </w:rPr>
        <w:t xml:space="preserve">This </w:t>
      </w:r>
      <w:proofErr w:type="gramStart"/>
      <w:r w:rsidRPr="00C236CF">
        <w:rPr>
          <w:rFonts w:ascii="Arial" w:eastAsia="Calibri" w:hAnsi="Arial" w:cs="Arial"/>
          <w:lang w:val="en"/>
        </w:rPr>
        <w:t>particular shift</w:t>
      </w:r>
      <w:proofErr w:type="gramEnd"/>
      <w:r w:rsidRPr="00C236CF">
        <w:rPr>
          <w:rFonts w:ascii="Arial" w:eastAsia="Calibri" w:hAnsi="Arial" w:cs="Arial"/>
          <w:lang w:val="en"/>
        </w:rPr>
        <w:t xml:space="preserve"> shows that e-government initiatives have a strong and positive impact </w:t>
      </w:r>
      <w:proofErr w:type="gramStart"/>
      <w:r w:rsidRPr="00C236CF">
        <w:rPr>
          <w:rFonts w:ascii="Arial" w:eastAsia="Calibri" w:hAnsi="Arial" w:cs="Arial"/>
          <w:lang w:val="en"/>
        </w:rPr>
        <w:t>in regards to</w:t>
      </w:r>
      <w:proofErr w:type="gramEnd"/>
      <w:r w:rsidRPr="00C236CF">
        <w:rPr>
          <w:rFonts w:ascii="Arial" w:eastAsia="Calibri" w:hAnsi="Arial" w:cs="Arial"/>
          <w:lang w:val="en"/>
        </w:rPr>
        <w:t xml:space="preserve"> citizen engagement and trust, transparency, civic effectiveness and responsibility, public service accountability, and overall public service delivery.</w:t>
      </w:r>
    </w:p>
    <w:p w14:paraId="1C23190E" w14:textId="47A98C45" w:rsidR="00081EDE" w:rsidRPr="004D5D1F" w:rsidRDefault="00C236CF" w:rsidP="00C236CF">
      <w:pPr>
        <w:spacing w:after="0" w:line="276" w:lineRule="auto"/>
        <w:ind w:firstLine="567"/>
        <w:jc w:val="both"/>
        <w:rPr>
          <w:rFonts w:ascii="Arial" w:eastAsia="Calibri" w:hAnsi="Arial" w:cs="Arial"/>
          <w:lang w:val="en"/>
        </w:rPr>
      </w:pPr>
      <w:r w:rsidRPr="00C236CF">
        <w:rPr>
          <w:rFonts w:ascii="Arial" w:eastAsia="Calibri" w:hAnsi="Arial" w:cs="Arial"/>
          <w:lang w:val="en"/>
        </w:rPr>
        <w:t xml:space="preserve">It is observed that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{"citationItems":[{"id":"ITEM-1","itemData":{"DOI":"10.24857/RGSA.V18N2-092","ISBN":"0000000333399","ISSN":"1981982X","abstract":"Objective: This research aims to evaluate the effects of digital government initiatives on generating public value, with a specific focus on boosting citizen engagement in Ho Chi Minh City, Vietnam. Theoretical framework: The study is grounded in the theory of digital governance, which posits that digital technologies can transform public administration by improving transparency, efficiency, accountability, and service delivery. It explores how these technological interventions facilitate a participatory governance model by enabling better citizen-government interactions. Method: The study utilizes Structural Equation Modeling (SEM) to investigate key facets of digital governance, including transparency, cost-efficiency, data-driven policymaking, accountability, and service quality. Results and conclusion: The analysis reveals a strong positive link between the elements of digital governance and an increase in citizen engagement. These findings underscore the capacity of digitalization within public administration to enhance public participation and trust. Implications of the research: The study provides essential insights for policymakers regarding the impact of digital initiatives on urban governance. It underscores the importance of continued investment in technological advancements and data security to foster improved governance and citizen involvement. Originality/value: This research contributes uniquely to the understanding of how digital government initiatives can create public value by enhancing citizen engagement. It offers a critical examination of digital governance components and their effectiveness in fostering greater public participation and trust, providing valuable recommendations for policymakers focused on urban governance and digital transformation.","author":[{"dropping-particle":"","family":"Hien","given":"Bui Ngoc","non-dropping-particle":"","parse-names":false,"suffix":""},{"dropping-particle":"","family":"Tuyen","given":"Nguyen Thi Kim","non-dropping-particle":"","parse-names":false,"suffix":""},{"dropping-particle":"","family":"Lan","given":"Nguyen Thanh","non-dropping-particle":"","parse-names":false,"suffix":""},{"dropping-particle":"","family":"Ngan","given":"Ngo Thi Kim","non-dropping-particle":"","parse-names":false,"suffix":""},{"dropping-particle":"","family":"Thanh","given":"Nguyen Nghi","non-dropping-particle":"","parse-names":false,"suffix":""}],"container-title":"Revista de Gestao Social e Ambiental","id":"ITEM-1","issue":"2","issued":{"date-parts":[["2024"]]},"page":"1-23","title":"the Impact of Digital Government Initiatives on Public Value Creation: Evidence From Ho Chi Minh City - Vietnam","type":"article-journal","volume":"18"},"uris":["http://www.mendeley.com/documents/?uuid=a174b90c-ef0c-4e0a-8cbc-da058825990a","http://www.mendeley.com/documents/?uuid=42a3a0db-e6e0-4f6a-9481-6a40c51a72f4"]}],"mendeley":{"formattedCitation":"(Hien et al., 2024)","manualFormatting":"Hien et al., (2024)","plainTextFormattedCitation":"(Hien et al., 2024)","previouslyFormattedCitation":"(Hien et al., 2024)"},"properties":{"noteIndex":0},"schema":"https://github.com/citation-style-language/schema/raw/master/csl-citation.json"}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 xml:space="preserve">Hien et al., </w:t>
      </w:r>
      <w:r w:rsidR="00D64833">
        <w:rPr>
          <w:rFonts w:ascii="Arial" w:eastAsia="Calibri" w:hAnsi="Arial" w:cs="Arial"/>
          <w:noProof/>
          <w:lang w:val="en"/>
        </w:rPr>
        <w:t>(</w:t>
      </w:r>
      <w:r w:rsidR="00D64833" w:rsidRPr="004D5D1F">
        <w:rPr>
          <w:rFonts w:ascii="Arial" w:eastAsia="Calibri" w:hAnsi="Arial" w:cs="Arial"/>
          <w:noProof/>
          <w:lang w:val="en"/>
        </w:rPr>
        <w:t>2024)</w:t>
      </w:r>
      <w:r w:rsidR="00D64833" w:rsidRPr="004D5D1F">
        <w:rPr>
          <w:rFonts w:ascii="Arial" w:eastAsia="Calibri" w:hAnsi="Arial" w:cs="Arial"/>
          <w:lang w:val="en"/>
        </w:rPr>
        <w:fldChar w:fldCharType="end"/>
      </w:r>
      <w:r w:rsidR="00D64833" w:rsidRPr="004D5D1F">
        <w:rPr>
          <w:rFonts w:ascii="Arial" w:eastAsia="Calibri" w:hAnsi="Arial" w:cs="Arial"/>
          <w:lang w:val="en"/>
        </w:rPr>
        <w:t>.</w:t>
      </w:r>
      <w:r w:rsidR="00D64833">
        <w:rPr>
          <w:rFonts w:ascii="Arial" w:eastAsia="Calibri" w:hAnsi="Arial" w:cs="Arial"/>
          <w:lang w:val="en"/>
        </w:rPr>
        <w:t xml:space="preserve"> </w:t>
      </w:r>
      <w:r w:rsidRPr="00C236CF">
        <w:rPr>
          <w:rFonts w:ascii="Arial" w:eastAsia="Calibri" w:hAnsi="Arial" w:cs="Arial"/>
          <w:lang w:val="en"/>
        </w:rPr>
        <w:t xml:space="preserve">have reported these features as a composite of factors that </w:t>
      </w:r>
      <w:proofErr w:type="gramStart"/>
      <w:r w:rsidRPr="00C236CF">
        <w:rPr>
          <w:rFonts w:ascii="Arial" w:eastAsia="Calibri" w:hAnsi="Arial" w:cs="Arial"/>
          <w:lang w:val="en"/>
        </w:rPr>
        <w:t>facilitates</w:t>
      </w:r>
      <w:proofErr w:type="gramEnd"/>
      <w:r w:rsidRPr="00C236CF">
        <w:rPr>
          <w:rFonts w:ascii="Arial" w:eastAsia="Calibri" w:hAnsi="Arial" w:cs="Arial"/>
          <w:lang w:val="en"/>
        </w:rPr>
        <w:t xml:space="preserve"> systematic public engagement and trust in government institutions. A notable trend from 2022-2024 is the expansion in the scope of digital transformation that has a focus on empowerment and rights of the public. The efforts within this period of the research showcase how public services are increasingly transforming towards a citizen-centric approach with real-time engagement that is holistic and inclusive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{"citationItems":[{"id":"ITEM-1","itemData":{"DOI":"10.1007/978-3-319-38795-6_2","ISBN":"9783319387956","abstract":"Digitalisation is currently among the contenders for the top spot on any list of key drivers of societal, economic, and political change. For public services, the potential of digital is particularly promising: instant interaction with citizens is facilitated, new ways of inclusion and accountability can increase citizens’ trust and new technologies enable a transition from government-centric to citizen-centric services. However, the task of releasing this positive potential can only be accomplished once governments develop an understanding of what ‘digital’ means in a public sector context and have comparable information on their current states of digitalisation. This contribution outlines a new and innovative approach to assess and compare public sector digitalisation. The development of the Public Services Digitalisation Index helps public sector decision-makers in charting the course for their organisations to become truly digital.","author":[{"dropping-particle":"","family":"Frach","given":"Lotte","non-dropping-particle":"","parse-names":false,"suffix":""},{"dropping-particle":"","family":"Fehrmann","given":"Thomas","non-dropping-particle":"","parse-names":false,"suffix":""},{"dropping-particle":"","family":"Pfannes","given":"Peter","non-dropping-particle":"","parse-names":false,"suffix":""}],"container-title":"Digital Government: Leveraging Innovation to Improve Public Sector Performance and Outcomes for Citizens","id":"ITEM-1","issued":{"date-parts":[["2016"]]},"language":"English","page":"25-38","publisher":"Springer International Publishing","publisher-place":"Health and Public Service Research, Accenture, Berlin, Germany","title":"Measuring digital government: How to assess and compare digitalisation in public sector organisations","type":"chapter"},"uris":["http://www.mendeley.com/documents/?uuid=064ecb48-f2c6-48da-8555-4e7f8546f63a","http://www.mendeley.com/documents/?uuid=a237eefd-964f-46f9-8e7f-4784a532e55a"]}],"mendeley":{"formattedCitation":"(Frach et al., 2016)","plainTextFormattedCitation":"(Frach et al., 2016)","previouslyFormattedCitation":"(Frach et al., 2016)"},"properties":{"noteIndex":0},"schema":"https://github.com/citation-style-language/schema/raw/master/csl-citation.json"}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(Frach et al., 2016)</w:t>
      </w:r>
      <w:r w:rsidR="00D64833" w:rsidRPr="004D5D1F">
        <w:rPr>
          <w:rFonts w:ascii="Arial" w:eastAsia="Calibri" w:hAnsi="Arial" w:cs="Arial"/>
          <w:lang w:val="en"/>
        </w:rPr>
        <w:fldChar w:fldCharType="end"/>
      </w:r>
      <w:r w:rsidR="00D64833" w:rsidRPr="004D5D1F">
        <w:rPr>
          <w:rFonts w:ascii="Arial" w:eastAsia="Calibri" w:hAnsi="Arial" w:cs="Arial"/>
          <w:lang w:val="en"/>
        </w:rPr>
        <w:t>.</w:t>
      </w:r>
      <w:r w:rsidRPr="00C236CF">
        <w:rPr>
          <w:rFonts w:ascii="Arial" w:eastAsia="Calibri" w:hAnsi="Arial" w:cs="Arial"/>
          <w:lang w:val="en"/>
        </w:rPr>
        <w:t xml:space="preserve"> An Illustrative example undergoing this transformational shift is the Republic of the Philippines, which is being propelled by a perfect storm of government policy, technological advancement, and changing consumer behaviors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{"citationItems":[{"id":"ITEM-1","itemData":{"DOI":"10.1145/3647782.3647799","ISBN":"9798400716652","abstract":"Digital transformation significantly impacts the Philippines, transforming the economy, job market, and society. The key drivers of digital transformation include government policies, technological advancements, changing consumer behavior, and the role of businesses and industries. However, there are also several barriers to digital transformation, including infrastructure limitations, cybersecurity concerns, digital literacy issues, and economic challenges. The study concludes with recommendations for policymakers, businesses, and other stakeholders to foster digital transformation and overcome the identified barriers. Policymakers can invest in digital infrastructure and literacy programs, promote digital innovation, and create a favorable regulatory environment. Businesses can invest in digital technologies, train employees in digital skills, offer digital products and services, and partner with other stakeholders to promote digital transformation. Non-profit organizations, educational institutions, and individuals can also play a role in fostering digital transformation. By working together, policymakers, businesses, and other stakeholders can help the Philippines overcome the barriers to digital transformation and reap the benefits of the digital economy. In conclusion, the Philippines is undergoing a swift digital transformation, yet it confronts certain obstacles that require attention. Collaborative efforts from policymakers, enterprises, and various stakeholders have the potential to surmount these challenges and enable the Philippines to reap the rewards of digital transformation.","author":[{"dropping-particle":"","family":"Rey","given":"William P.","non-dropping-particle":"","parse-names":false,"suffix":""},{"dropping-particle":"","family":"Villaluz","given":"Albert C.","non-dropping-particle":"","parse-names":false,"suffix":""},{"dropping-particle":"","family":"Rey","given":"Keith Wilhelm Jan D.","non-dropping-particle":"","parse-names":false,"suffix":""}],"container-title":"ACM International Conference Proceeding Series","id":"ITEM-1","issued":{"date-parts":[["2024"]]},"language":"English","page":"107-113","publisher":"Association for Computing Machinery","publisher-place":"Mapua University, Philippines","title":"The Impact of Digital Transformation in the Philippines: A Study of the Key Drivers and Barriers","type":"paper-conference"},"uris":["http://www.mendeley.com/documents/?uuid=99dfe4ac-55ef-417e-a647-4ba827cc81c0","http://www.mendeley.com/documents/?uuid=3f0435da-cfc4-4a58-a8d7-c39b459d8b7f"]}],"mendeley":{"formattedCitation":"(Rey et al., 2024)","plainTextFormattedCitation":"(Rey et al., 2024)","previouslyFormattedCitation":"(Rey et al., 2024)"},"properties":{"noteIndex":0},"schema":"https://github.com/citation-style-language/schema/raw/master/csl-citation.json"}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(Rey et al., 2024)</w:t>
      </w:r>
      <w:r w:rsidR="00D64833" w:rsidRPr="004D5D1F">
        <w:rPr>
          <w:rFonts w:ascii="Arial" w:eastAsia="Calibri" w:hAnsi="Arial" w:cs="Arial"/>
          <w:lang w:val="en"/>
        </w:rPr>
        <w:fldChar w:fldCharType="end"/>
      </w:r>
      <w:r w:rsidR="00D64833" w:rsidRPr="004D5D1F">
        <w:rPr>
          <w:rFonts w:ascii="Arial" w:eastAsia="Calibri" w:hAnsi="Arial" w:cs="Arial"/>
          <w:lang w:val="en"/>
        </w:rPr>
        <w:t>.</w:t>
      </w:r>
      <w:r w:rsidR="00D64833">
        <w:rPr>
          <w:rFonts w:ascii="Arial" w:eastAsia="Calibri" w:hAnsi="Arial" w:cs="Arial"/>
          <w:lang w:val="en"/>
        </w:rPr>
        <w:t xml:space="preserve"> </w:t>
      </w:r>
      <w:r w:rsidRPr="00C236CF">
        <w:rPr>
          <w:rFonts w:ascii="Arial" w:eastAsia="Calibri" w:hAnsi="Arial" w:cs="Arial"/>
          <w:lang w:val="en"/>
        </w:rPr>
        <w:t xml:space="preserve">Consequently, from a strategic perspective relating to public administration, there is a need to undertake service delivery improvement concerning governance through the automation of interfaces with citizens and the business community via integrated systems, online portals, and interoperable data frameworks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{"citationItems":[{"id":"ITEM-1","itemData":{"DOI":"10.1007/978-3-031-08812-4_39","ISBN":"9783031088117","ISSN":"23673389","abstract":"The digital transformation plays a strategic role in simplifying relations with citizens and businesses and in the growth of the community and the economy. Through the strengthening of digital infrastructures, the creation of websites, online services and the use of interoperable data platforms, the Public Administration makes its information assets available to its users, innovative, simple and accessible digital services to reduce waiting times and counter work, costs and bureaucratic burdens, and guarantees private individuals services that can be used directly from their smartphones or PCs. From all this, it can be seen that there is a need for redesigning processes or creating new ones to ensure that a public service responds to the specific needs of different citizens. This paper proposes a semantic approach for BPMN annotation using domain ontologies. Such annotation aims to provide the BPMN with the expressiveness necessary to allow the discovery of specific process patterns. The case study analyzed is Generalized Civic Access - ACG. A BPMN is proposed that describes a process of request by a citizen for a document held in an office of the Italian public administration and an ontology that describes the Profile of the Italian application for access conditions.","author":[{"dropping-particle":"","family":"Martino","given":"Beniamino","non-dropping-particle":"Di","parse-names":false,"suffix":""},{"dropping-particle":"","family":"Graziano","given":"Mariangela","non-dropping-particle":"","parse-names":false,"suffix":""},{"dropping-particle":"","family":"Colucci Cante","given":"Luigi","non-dropping-particle":"","parse-names":false,"suffix":""},{"dropping-particle":"","family":"Esposito","given":"Antonio","non-dropping-particle":"","parse-names":false,"suffix":""},{"dropping-particle":"","family":"Epifania","given":"Maria","non-dropping-particle":"","parse-names":false,"suffix":""}],"container-title":"Lecture Notes in Networks and Systems","editor":[{"dropping-particle":"","family":"L.","given":"Barolli","non-dropping-particle":"","parse-names":false,"suffix":""}],"id":"ITEM-1","issued":{"date-parts":[["2022"]]},"language":"English","page":"404-413","publisher":"Springer Science and Business Media Deutschland GmbH","publisher-place":"Department of Engineering, University of Campania “L. Vanvitelli”, Caserta, Italy","title":"Application of Business Process Semantic Annotation Techniques to Perform Pattern Recognition Activities Applied to the Generalized Civic Access","type":"paper-conference","volume":"497 LNNS"},"uris":["http://www.mendeley.com/documents/?uuid=90c45fc5-9358-463c-bdd1-ae25e44939c0","http://www.mendeley.com/documents/?uuid=78d3cadd-ecf3-4246-af11-a93156f19de7"]}],"mendeley":{"formattedCitation":"(Di Martino et al., 2022)","plainTextFormattedCitation":"(Di Martino et al., 2022)","previouslyFormattedCitation":"(Di Martino et al., 2022)"},"properties":{"noteIndex":0},"schema":"https://github.com/citation-style-language/schema/raw/master/csl-citation.json"}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(Di Martino et al., 2022)</w:t>
      </w:r>
      <w:r w:rsidR="00D64833" w:rsidRPr="004D5D1F">
        <w:rPr>
          <w:rFonts w:ascii="Arial" w:eastAsia="Calibri" w:hAnsi="Arial" w:cs="Arial"/>
          <w:lang w:val="en"/>
        </w:rPr>
        <w:fldChar w:fldCharType="end"/>
      </w:r>
      <w:r w:rsidR="00D64833" w:rsidRPr="004D5D1F">
        <w:rPr>
          <w:rFonts w:ascii="Arial" w:eastAsia="Calibri" w:hAnsi="Arial" w:cs="Arial"/>
          <w:lang w:val="en"/>
        </w:rPr>
        <w:t>.</w:t>
      </w:r>
    </w:p>
    <w:p w14:paraId="0984EB15" w14:textId="77777777" w:rsidR="00081EDE" w:rsidRPr="004D5D1F" w:rsidRDefault="00081EDE" w:rsidP="00081EDE">
      <w:pPr>
        <w:spacing w:after="0" w:line="276" w:lineRule="auto"/>
        <w:jc w:val="center"/>
        <w:rPr>
          <w:rFonts w:ascii="Arial" w:eastAsia="Calibri" w:hAnsi="Arial" w:cs="Arial"/>
          <w:b/>
          <w:szCs w:val="20"/>
          <w:lang w:val="id-ID"/>
        </w:rPr>
      </w:pPr>
      <w:proofErr w:type="spellStart"/>
      <w:r w:rsidRPr="004D5D1F">
        <w:rPr>
          <w:rFonts w:ascii="Arial" w:eastAsia="Calibri" w:hAnsi="Arial" w:cs="Arial"/>
          <w:b/>
          <w:szCs w:val="20"/>
          <w:lang w:val="id-ID"/>
        </w:rPr>
        <w:t>Table</w:t>
      </w:r>
      <w:proofErr w:type="spellEnd"/>
      <w:r w:rsidRPr="004D5D1F">
        <w:rPr>
          <w:rFonts w:ascii="Arial" w:eastAsia="Calibri" w:hAnsi="Arial" w:cs="Arial"/>
          <w:b/>
          <w:szCs w:val="20"/>
          <w:lang w:val="id-ID"/>
        </w:rPr>
        <w:t xml:space="preserve"> 1. Top 10 </w:t>
      </w:r>
      <w:proofErr w:type="spellStart"/>
      <w:r w:rsidRPr="004D5D1F">
        <w:rPr>
          <w:rFonts w:ascii="Arial" w:eastAsia="Calibri" w:hAnsi="Arial" w:cs="Arial"/>
          <w:b/>
          <w:szCs w:val="20"/>
          <w:lang w:val="id-ID"/>
        </w:rPr>
        <w:t>Keywords</w:t>
      </w:r>
      <w:proofErr w:type="spellEnd"/>
      <w:r w:rsidRPr="004D5D1F">
        <w:rPr>
          <w:rFonts w:ascii="Arial" w:eastAsia="Calibri" w:hAnsi="Arial" w:cs="Arial"/>
          <w:b/>
          <w:szCs w:val="20"/>
          <w:lang w:val="id-ID"/>
        </w:rPr>
        <w:t xml:space="preserve"> </w:t>
      </w:r>
      <w:proofErr w:type="spellStart"/>
      <w:r w:rsidRPr="004D5D1F">
        <w:rPr>
          <w:rFonts w:ascii="Arial" w:eastAsia="Calibri" w:hAnsi="Arial" w:cs="Arial"/>
          <w:b/>
          <w:szCs w:val="20"/>
          <w:lang w:val="id-ID"/>
        </w:rPr>
        <w:t>with</w:t>
      </w:r>
      <w:proofErr w:type="spellEnd"/>
      <w:r w:rsidRPr="004D5D1F">
        <w:rPr>
          <w:rFonts w:ascii="Arial" w:eastAsia="Calibri" w:hAnsi="Arial" w:cs="Arial"/>
          <w:b/>
          <w:szCs w:val="20"/>
          <w:lang w:val="id-ID"/>
        </w:rPr>
        <w:t xml:space="preserve"> </w:t>
      </w:r>
      <w:proofErr w:type="spellStart"/>
      <w:r w:rsidRPr="004D5D1F">
        <w:rPr>
          <w:rFonts w:ascii="Arial" w:eastAsia="Calibri" w:hAnsi="Arial" w:cs="Arial"/>
          <w:b/>
          <w:szCs w:val="20"/>
          <w:lang w:val="id-ID"/>
        </w:rPr>
        <w:t>the</w:t>
      </w:r>
      <w:proofErr w:type="spellEnd"/>
      <w:r w:rsidRPr="004D5D1F">
        <w:rPr>
          <w:rFonts w:ascii="Arial" w:eastAsia="Calibri" w:hAnsi="Arial" w:cs="Arial"/>
          <w:b/>
          <w:szCs w:val="20"/>
          <w:lang w:val="id-ID"/>
        </w:rPr>
        <w:t xml:space="preserve"> </w:t>
      </w:r>
      <w:proofErr w:type="spellStart"/>
      <w:r w:rsidRPr="004D5D1F">
        <w:rPr>
          <w:rFonts w:ascii="Arial" w:eastAsia="Calibri" w:hAnsi="Arial" w:cs="Arial"/>
          <w:b/>
          <w:szCs w:val="20"/>
          <w:lang w:val="id-ID"/>
        </w:rPr>
        <w:t>Strongest</w:t>
      </w:r>
      <w:proofErr w:type="spellEnd"/>
      <w:r w:rsidRPr="004D5D1F">
        <w:rPr>
          <w:rFonts w:ascii="Arial" w:eastAsia="Calibri" w:hAnsi="Arial" w:cs="Arial"/>
          <w:b/>
          <w:szCs w:val="20"/>
          <w:lang w:val="id-ID"/>
        </w:rPr>
        <w:t xml:space="preserve"> </w:t>
      </w:r>
      <w:proofErr w:type="spellStart"/>
      <w:r w:rsidRPr="004D5D1F">
        <w:rPr>
          <w:rFonts w:ascii="Arial" w:eastAsia="Calibri" w:hAnsi="Arial" w:cs="Arial"/>
          <w:b/>
          <w:szCs w:val="20"/>
          <w:lang w:val="id-ID"/>
        </w:rPr>
        <w:t>Citation</w:t>
      </w:r>
      <w:proofErr w:type="spellEnd"/>
      <w:r w:rsidRPr="004D5D1F">
        <w:rPr>
          <w:rFonts w:ascii="Arial" w:eastAsia="Calibri" w:hAnsi="Arial" w:cs="Arial"/>
          <w:b/>
          <w:szCs w:val="20"/>
          <w:lang w:val="id-ID"/>
        </w:rPr>
        <w:t xml:space="preserve"> </w:t>
      </w:r>
      <w:proofErr w:type="spellStart"/>
      <w:r w:rsidRPr="004D5D1F">
        <w:rPr>
          <w:rFonts w:ascii="Arial" w:eastAsia="Calibri" w:hAnsi="Arial" w:cs="Arial"/>
          <w:b/>
          <w:szCs w:val="20"/>
          <w:lang w:val="id-ID"/>
        </w:rPr>
        <w:t>Bursts</w:t>
      </w:r>
      <w:proofErr w:type="spellEnd"/>
    </w:p>
    <w:tbl>
      <w:tblPr>
        <w:tblStyle w:val="TableGrid"/>
        <w:tblW w:w="5000" w:type="pct"/>
        <w:tblBorders>
          <w:left w:val="none" w:sz="0" w:space="0" w:color="auto"/>
          <w:right w:val="none" w:sz="0" w:space="0" w:color="auto"/>
          <w:insideV w:val="none" w:sz="0" w:space="0" w:color="auto"/>
        </w:tblBorders>
        <w:tblLook w:val="04A0" w:firstRow="1" w:lastRow="0" w:firstColumn="1" w:lastColumn="0" w:noHBand="0" w:noVBand="1"/>
      </w:tblPr>
      <w:tblGrid>
        <w:gridCol w:w="2368"/>
        <w:gridCol w:w="1031"/>
        <w:gridCol w:w="755"/>
        <w:gridCol w:w="678"/>
        <w:gridCol w:w="3106"/>
      </w:tblGrid>
      <w:tr w:rsidR="00022A8F" w:rsidRPr="00022A8F" w14:paraId="407589D5" w14:textId="77777777" w:rsidTr="00022A8F">
        <w:trPr>
          <w:tblHeader/>
        </w:trPr>
        <w:tc>
          <w:tcPr>
            <w:tcW w:w="1537" w:type="pct"/>
            <w:vAlign w:val="center"/>
          </w:tcPr>
          <w:p w14:paraId="213CB282"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Keywords</w:t>
            </w:r>
          </w:p>
        </w:tc>
        <w:tc>
          <w:tcPr>
            <w:tcW w:w="695" w:type="pct"/>
            <w:vAlign w:val="center"/>
          </w:tcPr>
          <w:p w14:paraId="3098DC00"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Strength</w:t>
            </w:r>
          </w:p>
        </w:tc>
        <w:tc>
          <w:tcPr>
            <w:tcW w:w="520" w:type="pct"/>
            <w:vAlign w:val="center"/>
          </w:tcPr>
          <w:p w14:paraId="733CBD5F"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Begin</w:t>
            </w:r>
          </w:p>
        </w:tc>
        <w:tc>
          <w:tcPr>
            <w:tcW w:w="472" w:type="pct"/>
            <w:vAlign w:val="center"/>
          </w:tcPr>
          <w:p w14:paraId="7C39C963"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End</w:t>
            </w:r>
          </w:p>
        </w:tc>
        <w:tc>
          <w:tcPr>
            <w:tcW w:w="1776" w:type="pct"/>
            <w:vAlign w:val="center"/>
          </w:tcPr>
          <w:p w14:paraId="4FEFE01D"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2014 - 2024</w:t>
            </w:r>
          </w:p>
        </w:tc>
      </w:tr>
      <w:tr w:rsidR="00022A8F" w:rsidRPr="00CC2B2F" w14:paraId="3E2B1237" w14:textId="77777777" w:rsidTr="00E2513C">
        <w:tc>
          <w:tcPr>
            <w:tcW w:w="1537" w:type="pct"/>
            <w:vAlign w:val="center"/>
          </w:tcPr>
          <w:p w14:paraId="78358D49"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 xml:space="preserve">developing country </w:t>
            </w:r>
          </w:p>
        </w:tc>
        <w:tc>
          <w:tcPr>
            <w:tcW w:w="695" w:type="pct"/>
            <w:vAlign w:val="center"/>
          </w:tcPr>
          <w:p w14:paraId="397A32B7"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3.21</w:t>
            </w:r>
          </w:p>
        </w:tc>
        <w:tc>
          <w:tcPr>
            <w:tcW w:w="520" w:type="pct"/>
            <w:vAlign w:val="center"/>
          </w:tcPr>
          <w:p w14:paraId="1FF86070"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2014</w:t>
            </w:r>
          </w:p>
        </w:tc>
        <w:tc>
          <w:tcPr>
            <w:tcW w:w="472" w:type="pct"/>
            <w:vAlign w:val="center"/>
          </w:tcPr>
          <w:p w14:paraId="169866E1"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2018</w:t>
            </w:r>
          </w:p>
        </w:tc>
        <w:tc>
          <w:tcPr>
            <w:tcW w:w="1776" w:type="pct"/>
          </w:tcPr>
          <w:p w14:paraId="6FAF966F" w14:textId="77777777" w:rsidR="00022A8F" w:rsidRPr="00CC2B2F" w:rsidRDefault="00022A8F" w:rsidP="00E2513C">
            <w:pPr>
              <w:jc w:val="center"/>
              <w:rPr>
                <w:rFonts w:ascii="Arial" w:hAnsi="Arial" w:cs="Arial"/>
                <w:sz w:val="28"/>
                <w:szCs w:val="28"/>
              </w:rPr>
            </w:pPr>
            <w:r w:rsidRPr="00CC2B2F">
              <w:rPr>
                <w:rFonts w:ascii="Segoe UI Symbol" w:eastAsia="Times New Roman" w:hAnsi="Segoe UI Symbol" w:cs="Segoe UI Symbol"/>
                <w:color w:val="FF0000"/>
                <w:sz w:val="28"/>
                <w:szCs w:val="28"/>
                <w:lang w:val="en-ID"/>
              </w:rPr>
              <w:t>▃▃▃▃▃</w:t>
            </w:r>
            <w:r w:rsidRPr="00CC2B2F">
              <w:rPr>
                <w:rFonts w:ascii="Segoe UI Symbol" w:eastAsia="Times New Roman" w:hAnsi="Segoe UI Symbol" w:cs="Segoe UI Symbol"/>
                <w:color w:val="46C7C7"/>
                <w:sz w:val="28"/>
                <w:szCs w:val="28"/>
                <w:lang w:val="en-ID"/>
              </w:rPr>
              <w:t>▂▂▂▂▂▂</w:t>
            </w:r>
          </w:p>
        </w:tc>
      </w:tr>
      <w:tr w:rsidR="00022A8F" w:rsidRPr="00CC2B2F" w14:paraId="6E1E87ED" w14:textId="77777777" w:rsidTr="00E2513C">
        <w:tc>
          <w:tcPr>
            <w:tcW w:w="1537" w:type="pct"/>
            <w:vAlign w:val="center"/>
          </w:tcPr>
          <w:p w14:paraId="1566A56B"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 xml:space="preserve">e-government </w:t>
            </w:r>
          </w:p>
        </w:tc>
        <w:tc>
          <w:tcPr>
            <w:tcW w:w="695" w:type="pct"/>
            <w:vAlign w:val="center"/>
          </w:tcPr>
          <w:p w14:paraId="1DE4C0C1"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2.49</w:t>
            </w:r>
          </w:p>
        </w:tc>
        <w:tc>
          <w:tcPr>
            <w:tcW w:w="520" w:type="pct"/>
            <w:vAlign w:val="center"/>
          </w:tcPr>
          <w:p w14:paraId="6BC37F82"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2014</w:t>
            </w:r>
          </w:p>
        </w:tc>
        <w:tc>
          <w:tcPr>
            <w:tcW w:w="472" w:type="pct"/>
            <w:vAlign w:val="center"/>
          </w:tcPr>
          <w:p w14:paraId="45FF7E6F"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2021</w:t>
            </w:r>
          </w:p>
        </w:tc>
        <w:tc>
          <w:tcPr>
            <w:tcW w:w="1776" w:type="pct"/>
          </w:tcPr>
          <w:p w14:paraId="75A24ADA" w14:textId="77777777" w:rsidR="00022A8F" w:rsidRPr="00CC2B2F" w:rsidRDefault="00022A8F" w:rsidP="00E2513C">
            <w:pPr>
              <w:jc w:val="center"/>
              <w:rPr>
                <w:rFonts w:ascii="Arial" w:hAnsi="Arial" w:cs="Arial"/>
                <w:sz w:val="28"/>
                <w:szCs w:val="28"/>
              </w:rPr>
            </w:pPr>
            <w:r w:rsidRPr="00CC2B2F">
              <w:rPr>
                <w:rFonts w:ascii="Segoe UI Symbol" w:eastAsia="Times New Roman" w:hAnsi="Segoe UI Symbol" w:cs="Segoe UI Symbol"/>
                <w:color w:val="FF0000"/>
                <w:sz w:val="28"/>
                <w:szCs w:val="28"/>
                <w:lang w:val="en-ID"/>
              </w:rPr>
              <w:t>▃▃▃▃▃▃▃▃</w:t>
            </w:r>
            <w:r w:rsidRPr="00CC2B2F">
              <w:rPr>
                <w:rFonts w:ascii="Segoe UI Symbol" w:eastAsia="Times New Roman" w:hAnsi="Segoe UI Symbol" w:cs="Segoe UI Symbol"/>
                <w:color w:val="46C7C7"/>
                <w:sz w:val="28"/>
                <w:szCs w:val="28"/>
                <w:lang w:val="en-ID"/>
              </w:rPr>
              <w:t>▂▂▂</w:t>
            </w:r>
          </w:p>
        </w:tc>
      </w:tr>
      <w:tr w:rsidR="00022A8F" w:rsidRPr="00CC2B2F" w14:paraId="7C32491C" w14:textId="77777777" w:rsidTr="00E2513C">
        <w:tc>
          <w:tcPr>
            <w:tcW w:w="1537" w:type="pct"/>
            <w:vAlign w:val="center"/>
          </w:tcPr>
          <w:p w14:paraId="24517D52"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 xml:space="preserve">public participation </w:t>
            </w:r>
          </w:p>
        </w:tc>
        <w:tc>
          <w:tcPr>
            <w:tcW w:w="695" w:type="pct"/>
            <w:vAlign w:val="center"/>
          </w:tcPr>
          <w:p w14:paraId="65416DC1"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4.08</w:t>
            </w:r>
          </w:p>
        </w:tc>
        <w:tc>
          <w:tcPr>
            <w:tcW w:w="520" w:type="pct"/>
            <w:vAlign w:val="center"/>
          </w:tcPr>
          <w:p w14:paraId="1A1C8372"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2015</w:t>
            </w:r>
          </w:p>
        </w:tc>
        <w:tc>
          <w:tcPr>
            <w:tcW w:w="472" w:type="pct"/>
            <w:vAlign w:val="center"/>
          </w:tcPr>
          <w:p w14:paraId="52EB6954"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2017</w:t>
            </w:r>
          </w:p>
        </w:tc>
        <w:tc>
          <w:tcPr>
            <w:tcW w:w="1776" w:type="pct"/>
          </w:tcPr>
          <w:p w14:paraId="2C34AF35" w14:textId="77777777" w:rsidR="00022A8F" w:rsidRPr="00CC2B2F" w:rsidRDefault="00022A8F" w:rsidP="00E2513C">
            <w:pPr>
              <w:jc w:val="center"/>
              <w:rPr>
                <w:rFonts w:ascii="Arial" w:hAnsi="Arial" w:cs="Arial"/>
                <w:sz w:val="28"/>
                <w:szCs w:val="28"/>
              </w:rPr>
            </w:pPr>
            <w:r w:rsidRPr="00CC2B2F">
              <w:rPr>
                <w:rFonts w:ascii="Segoe UI Symbol" w:eastAsia="Times New Roman" w:hAnsi="Segoe UI Symbol" w:cs="Segoe UI Symbol"/>
                <w:color w:val="CFECEC"/>
                <w:sz w:val="28"/>
                <w:szCs w:val="28"/>
                <w:lang w:val="en-ID"/>
              </w:rPr>
              <w:t>▂</w:t>
            </w:r>
            <w:r w:rsidRPr="00CC2B2F">
              <w:rPr>
                <w:rFonts w:ascii="Segoe UI Symbol" w:eastAsia="Times New Roman" w:hAnsi="Segoe UI Symbol" w:cs="Segoe UI Symbol"/>
                <w:color w:val="FF0000"/>
                <w:sz w:val="28"/>
                <w:szCs w:val="28"/>
                <w:lang w:val="en-ID"/>
              </w:rPr>
              <w:t>▃▃▃</w:t>
            </w:r>
            <w:r w:rsidRPr="00CC2B2F">
              <w:rPr>
                <w:rFonts w:ascii="Segoe UI Symbol" w:eastAsia="Times New Roman" w:hAnsi="Segoe UI Symbol" w:cs="Segoe UI Symbol"/>
                <w:color w:val="46C7C7"/>
                <w:sz w:val="28"/>
                <w:szCs w:val="28"/>
                <w:lang w:val="en-ID"/>
              </w:rPr>
              <w:t>▂▂▂▂▂▂▂</w:t>
            </w:r>
          </w:p>
        </w:tc>
      </w:tr>
      <w:tr w:rsidR="00022A8F" w:rsidRPr="00CC2B2F" w14:paraId="2A393C15" w14:textId="77777777" w:rsidTr="00E2513C">
        <w:tc>
          <w:tcPr>
            <w:tcW w:w="1537" w:type="pct"/>
            <w:vAlign w:val="center"/>
          </w:tcPr>
          <w:p w14:paraId="302BB49A"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 xml:space="preserve">civic engagement </w:t>
            </w:r>
          </w:p>
        </w:tc>
        <w:tc>
          <w:tcPr>
            <w:tcW w:w="695" w:type="pct"/>
            <w:vAlign w:val="center"/>
          </w:tcPr>
          <w:p w14:paraId="17BC547C"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3.27</w:t>
            </w:r>
          </w:p>
        </w:tc>
        <w:tc>
          <w:tcPr>
            <w:tcW w:w="520" w:type="pct"/>
            <w:vAlign w:val="center"/>
          </w:tcPr>
          <w:p w14:paraId="2F01D909"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2015</w:t>
            </w:r>
          </w:p>
        </w:tc>
        <w:tc>
          <w:tcPr>
            <w:tcW w:w="472" w:type="pct"/>
            <w:vAlign w:val="center"/>
          </w:tcPr>
          <w:p w14:paraId="74F00CC0"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2017</w:t>
            </w:r>
          </w:p>
        </w:tc>
        <w:tc>
          <w:tcPr>
            <w:tcW w:w="1776" w:type="pct"/>
          </w:tcPr>
          <w:p w14:paraId="382623D4" w14:textId="77777777" w:rsidR="00022A8F" w:rsidRPr="00CC2B2F" w:rsidRDefault="00022A8F" w:rsidP="00E2513C">
            <w:pPr>
              <w:jc w:val="center"/>
              <w:rPr>
                <w:rFonts w:ascii="Arial" w:hAnsi="Arial" w:cs="Arial"/>
                <w:sz w:val="28"/>
                <w:szCs w:val="28"/>
              </w:rPr>
            </w:pPr>
            <w:r w:rsidRPr="00CC2B2F">
              <w:rPr>
                <w:rFonts w:ascii="Segoe UI Symbol" w:eastAsia="Times New Roman" w:hAnsi="Segoe UI Symbol" w:cs="Segoe UI Symbol"/>
                <w:color w:val="CFECEC"/>
                <w:sz w:val="28"/>
                <w:szCs w:val="28"/>
                <w:lang w:val="en-ID"/>
              </w:rPr>
              <w:t>▂</w:t>
            </w:r>
            <w:r w:rsidRPr="00CC2B2F">
              <w:rPr>
                <w:rFonts w:ascii="Segoe UI Symbol" w:eastAsia="Times New Roman" w:hAnsi="Segoe UI Symbol" w:cs="Segoe UI Symbol"/>
                <w:color w:val="FF0000"/>
                <w:sz w:val="28"/>
                <w:szCs w:val="28"/>
                <w:lang w:val="en-ID"/>
              </w:rPr>
              <w:t>▃▃▃</w:t>
            </w:r>
            <w:r w:rsidRPr="00CC2B2F">
              <w:rPr>
                <w:rFonts w:ascii="Segoe UI Symbol" w:eastAsia="Times New Roman" w:hAnsi="Segoe UI Symbol" w:cs="Segoe UI Symbol"/>
                <w:color w:val="46C7C7"/>
                <w:sz w:val="28"/>
                <w:szCs w:val="28"/>
                <w:lang w:val="en-ID"/>
              </w:rPr>
              <w:t>▂▂▂▂▂▂▂</w:t>
            </w:r>
          </w:p>
        </w:tc>
      </w:tr>
      <w:tr w:rsidR="00022A8F" w:rsidRPr="00CC2B2F" w14:paraId="0DA5DF99" w14:textId="77777777" w:rsidTr="00E2513C">
        <w:tc>
          <w:tcPr>
            <w:tcW w:w="1537" w:type="pct"/>
            <w:vAlign w:val="center"/>
          </w:tcPr>
          <w:p w14:paraId="70C2B0B7"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 xml:space="preserve">local participation </w:t>
            </w:r>
          </w:p>
        </w:tc>
        <w:tc>
          <w:tcPr>
            <w:tcW w:w="695" w:type="pct"/>
            <w:vAlign w:val="center"/>
          </w:tcPr>
          <w:p w14:paraId="78025A6F"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4.19</w:t>
            </w:r>
          </w:p>
        </w:tc>
        <w:tc>
          <w:tcPr>
            <w:tcW w:w="520" w:type="pct"/>
            <w:vAlign w:val="center"/>
          </w:tcPr>
          <w:p w14:paraId="0D543B34"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2016</w:t>
            </w:r>
          </w:p>
        </w:tc>
        <w:tc>
          <w:tcPr>
            <w:tcW w:w="472" w:type="pct"/>
            <w:vAlign w:val="center"/>
          </w:tcPr>
          <w:p w14:paraId="736FFC80"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2020</w:t>
            </w:r>
          </w:p>
        </w:tc>
        <w:tc>
          <w:tcPr>
            <w:tcW w:w="1776" w:type="pct"/>
          </w:tcPr>
          <w:p w14:paraId="2A36A6B3" w14:textId="77777777" w:rsidR="00022A8F" w:rsidRPr="00CC2B2F" w:rsidRDefault="00022A8F" w:rsidP="00E2513C">
            <w:pPr>
              <w:jc w:val="center"/>
              <w:rPr>
                <w:rFonts w:ascii="Arial" w:hAnsi="Arial" w:cs="Arial"/>
                <w:sz w:val="28"/>
                <w:szCs w:val="28"/>
              </w:rPr>
            </w:pPr>
            <w:r w:rsidRPr="00CC2B2F">
              <w:rPr>
                <w:rFonts w:ascii="Segoe UI Symbol" w:eastAsia="Times New Roman" w:hAnsi="Segoe UI Symbol" w:cs="Segoe UI Symbol"/>
                <w:color w:val="CFECEC"/>
                <w:sz w:val="28"/>
                <w:szCs w:val="28"/>
                <w:lang w:val="en-ID"/>
              </w:rPr>
              <w:t>▂▂</w:t>
            </w:r>
            <w:r w:rsidRPr="00CC2B2F">
              <w:rPr>
                <w:rFonts w:ascii="Segoe UI Symbol" w:eastAsia="Times New Roman" w:hAnsi="Segoe UI Symbol" w:cs="Segoe UI Symbol"/>
                <w:color w:val="FF0000"/>
                <w:sz w:val="28"/>
                <w:szCs w:val="28"/>
                <w:lang w:val="en-ID"/>
              </w:rPr>
              <w:t>▃▃▃▃▃</w:t>
            </w:r>
            <w:r w:rsidRPr="00CC2B2F">
              <w:rPr>
                <w:rFonts w:ascii="Segoe UI Symbol" w:eastAsia="Times New Roman" w:hAnsi="Segoe UI Symbol" w:cs="Segoe UI Symbol"/>
                <w:color w:val="46C7C7"/>
                <w:sz w:val="28"/>
                <w:szCs w:val="28"/>
                <w:lang w:val="en-ID"/>
              </w:rPr>
              <w:t>▂▂▂▂</w:t>
            </w:r>
          </w:p>
        </w:tc>
      </w:tr>
      <w:tr w:rsidR="00022A8F" w:rsidRPr="00CC2B2F" w14:paraId="18B1AFB5" w14:textId="77777777" w:rsidTr="00E2513C">
        <w:tc>
          <w:tcPr>
            <w:tcW w:w="1537" w:type="pct"/>
            <w:vAlign w:val="center"/>
          </w:tcPr>
          <w:p w14:paraId="2F7F9765"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 xml:space="preserve">public policy </w:t>
            </w:r>
          </w:p>
        </w:tc>
        <w:tc>
          <w:tcPr>
            <w:tcW w:w="695" w:type="pct"/>
            <w:vAlign w:val="center"/>
          </w:tcPr>
          <w:p w14:paraId="4CDFDAFA"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2.76</w:t>
            </w:r>
          </w:p>
        </w:tc>
        <w:tc>
          <w:tcPr>
            <w:tcW w:w="520" w:type="pct"/>
            <w:vAlign w:val="center"/>
          </w:tcPr>
          <w:p w14:paraId="42E08821"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2017</w:t>
            </w:r>
          </w:p>
        </w:tc>
        <w:tc>
          <w:tcPr>
            <w:tcW w:w="472" w:type="pct"/>
            <w:vAlign w:val="center"/>
          </w:tcPr>
          <w:p w14:paraId="3AD335A0"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2019</w:t>
            </w:r>
          </w:p>
        </w:tc>
        <w:tc>
          <w:tcPr>
            <w:tcW w:w="1776" w:type="pct"/>
          </w:tcPr>
          <w:p w14:paraId="53BD1A95" w14:textId="77777777" w:rsidR="00022A8F" w:rsidRPr="00CC2B2F" w:rsidRDefault="00022A8F" w:rsidP="00E2513C">
            <w:pPr>
              <w:jc w:val="center"/>
              <w:rPr>
                <w:rFonts w:ascii="Arial" w:hAnsi="Arial" w:cs="Arial"/>
                <w:sz w:val="28"/>
                <w:szCs w:val="28"/>
              </w:rPr>
            </w:pPr>
            <w:r w:rsidRPr="00CC2B2F">
              <w:rPr>
                <w:rFonts w:ascii="Segoe UI Symbol" w:eastAsia="Times New Roman" w:hAnsi="Segoe UI Symbol" w:cs="Segoe UI Symbol"/>
                <w:color w:val="CFECEC"/>
                <w:sz w:val="28"/>
                <w:szCs w:val="28"/>
                <w:lang w:val="en-ID"/>
              </w:rPr>
              <w:t>▂▂▂</w:t>
            </w:r>
            <w:r w:rsidRPr="00CC2B2F">
              <w:rPr>
                <w:rFonts w:ascii="Segoe UI Symbol" w:eastAsia="Times New Roman" w:hAnsi="Segoe UI Symbol" w:cs="Segoe UI Symbol"/>
                <w:color w:val="FF0000"/>
                <w:sz w:val="28"/>
                <w:szCs w:val="28"/>
                <w:lang w:val="en-ID"/>
              </w:rPr>
              <w:t>▃▃▃</w:t>
            </w:r>
            <w:r w:rsidRPr="00CC2B2F">
              <w:rPr>
                <w:rFonts w:ascii="Segoe UI Symbol" w:eastAsia="Times New Roman" w:hAnsi="Segoe UI Symbol" w:cs="Segoe UI Symbol"/>
                <w:color w:val="46C7C7"/>
                <w:sz w:val="28"/>
                <w:szCs w:val="28"/>
                <w:lang w:val="en-ID"/>
              </w:rPr>
              <w:t>▂▂▂▂▂</w:t>
            </w:r>
          </w:p>
        </w:tc>
      </w:tr>
      <w:tr w:rsidR="00022A8F" w:rsidRPr="00CC2B2F" w14:paraId="1D4F182E" w14:textId="77777777" w:rsidTr="00E2513C">
        <w:tc>
          <w:tcPr>
            <w:tcW w:w="1537" w:type="pct"/>
            <w:vAlign w:val="center"/>
          </w:tcPr>
          <w:p w14:paraId="73AE639B"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 xml:space="preserve">smart cities </w:t>
            </w:r>
          </w:p>
        </w:tc>
        <w:tc>
          <w:tcPr>
            <w:tcW w:w="695" w:type="pct"/>
            <w:vAlign w:val="center"/>
          </w:tcPr>
          <w:p w14:paraId="04301BA3"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2.74</w:t>
            </w:r>
          </w:p>
        </w:tc>
        <w:tc>
          <w:tcPr>
            <w:tcW w:w="520" w:type="pct"/>
            <w:vAlign w:val="center"/>
          </w:tcPr>
          <w:p w14:paraId="44A0E61A"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2019</w:t>
            </w:r>
          </w:p>
        </w:tc>
        <w:tc>
          <w:tcPr>
            <w:tcW w:w="472" w:type="pct"/>
            <w:vAlign w:val="center"/>
          </w:tcPr>
          <w:p w14:paraId="6BA83B86"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2020</w:t>
            </w:r>
          </w:p>
        </w:tc>
        <w:tc>
          <w:tcPr>
            <w:tcW w:w="1776" w:type="pct"/>
          </w:tcPr>
          <w:p w14:paraId="300079D8" w14:textId="77777777" w:rsidR="00022A8F" w:rsidRPr="00CC2B2F" w:rsidRDefault="00022A8F" w:rsidP="00E2513C">
            <w:pPr>
              <w:jc w:val="center"/>
              <w:rPr>
                <w:rFonts w:ascii="Arial" w:hAnsi="Arial" w:cs="Arial"/>
                <w:sz w:val="28"/>
                <w:szCs w:val="28"/>
              </w:rPr>
            </w:pPr>
            <w:r w:rsidRPr="00CC2B2F">
              <w:rPr>
                <w:rFonts w:ascii="Segoe UI Symbol" w:eastAsia="Times New Roman" w:hAnsi="Segoe UI Symbol" w:cs="Segoe UI Symbol"/>
                <w:color w:val="CFECEC"/>
                <w:sz w:val="28"/>
                <w:szCs w:val="28"/>
                <w:lang w:val="en-ID"/>
              </w:rPr>
              <w:t>▂▂▂</w:t>
            </w:r>
            <w:r w:rsidRPr="00CC2B2F">
              <w:rPr>
                <w:rFonts w:ascii="Segoe UI Symbol" w:eastAsia="Times New Roman" w:hAnsi="Segoe UI Symbol" w:cs="Segoe UI Symbol"/>
                <w:color w:val="46C7C7"/>
                <w:sz w:val="28"/>
                <w:szCs w:val="28"/>
                <w:lang w:val="en-ID"/>
              </w:rPr>
              <w:t>▂▂</w:t>
            </w:r>
            <w:r w:rsidRPr="00CC2B2F">
              <w:rPr>
                <w:rFonts w:ascii="Segoe UI Symbol" w:eastAsia="Times New Roman" w:hAnsi="Segoe UI Symbol" w:cs="Segoe UI Symbol"/>
                <w:color w:val="FF0000"/>
                <w:sz w:val="28"/>
                <w:szCs w:val="28"/>
                <w:lang w:val="en-ID"/>
              </w:rPr>
              <w:t>▃▃</w:t>
            </w:r>
            <w:r w:rsidRPr="00CC2B2F">
              <w:rPr>
                <w:rFonts w:ascii="Segoe UI Symbol" w:eastAsia="Times New Roman" w:hAnsi="Segoe UI Symbol" w:cs="Segoe UI Symbol"/>
                <w:color w:val="46C7C7"/>
                <w:sz w:val="28"/>
                <w:szCs w:val="28"/>
                <w:lang w:val="en-ID"/>
              </w:rPr>
              <w:t>▂▂▂▂</w:t>
            </w:r>
          </w:p>
        </w:tc>
      </w:tr>
      <w:tr w:rsidR="00022A8F" w:rsidRPr="00CC2B2F" w14:paraId="49DA499B" w14:textId="77777777" w:rsidTr="00E2513C">
        <w:tc>
          <w:tcPr>
            <w:tcW w:w="1537" w:type="pct"/>
            <w:vAlign w:val="center"/>
          </w:tcPr>
          <w:p w14:paraId="7E5F65D6"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 xml:space="preserve">social media </w:t>
            </w:r>
          </w:p>
        </w:tc>
        <w:tc>
          <w:tcPr>
            <w:tcW w:w="695" w:type="pct"/>
            <w:vAlign w:val="center"/>
          </w:tcPr>
          <w:p w14:paraId="2CD2CDBC"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2.74</w:t>
            </w:r>
          </w:p>
        </w:tc>
        <w:tc>
          <w:tcPr>
            <w:tcW w:w="520" w:type="pct"/>
            <w:vAlign w:val="center"/>
          </w:tcPr>
          <w:p w14:paraId="2E2B7D0A"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2020</w:t>
            </w:r>
          </w:p>
        </w:tc>
        <w:tc>
          <w:tcPr>
            <w:tcW w:w="472" w:type="pct"/>
            <w:vAlign w:val="center"/>
          </w:tcPr>
          <w:p w14:paraId="5568B702"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2021</w:t>
            </w:r>
          </w:p>
        </w:tc>
        <w:tc>
          <w:tcPr>
            <w:tcW w:w="1776" w:type="pct"/>
          </w:tcPr>
          <w:p w14:paraId="2D41A16B" w14:textId="77777777" w:rsidR="00022A8F" w:rsidRPr="00CC2B2F" w:rsidRDefault="00022A8F" w:rsidP="00E2513C">
            <w:pPr>
              <w:jc w:val="center"/>
              <w:rPr>
                <w:rFonts w:ascii="Arial" w:hAnsi="Arial" w:cs="Arial"/>
                <w:sz w:val="28"/>
                <w:szCs w:val="28"/>
              </w:rPr>
            </w:pPr>
            <w:r w:rsidRPr="00CC2B2F">
              <w:rPr>
                <w:rFonts w:ascii="Segoe UI Symbol" w:eastAsia="Times New Roman" w:hAnsi="Segoe UI Symbol" w:cs="Segoe UI Symbol"/>
                <w:color w:val="CFECEC"/>
                <w:sz w:val="28"/>
                <w:szCs w:val="28"/>
                <w:lang w:val="en-ID"/>
              </w:rPr>
              <w:t>▂▂</w:t>
            </w:r>
            <w:r w:rsidRPr="00CC2B2F">
              <w:rPr>
                <w:rFonts w:ascii="Segoe UI Symbol" w:eastAsia="Times New Roman" w:hAnsi="Segoe UI Symbol" w:cs="Segoe UI Symbol"/>
                <w:color w:val="46C7C7"/>
                <w:sz w:val="28"/>
                <w:szCs w:val="28"/>
                <w:lang w:val="en-ID"/>
              </w:rPr>
              <w:t>▂▂▂▂</w:t>
            </w:r>
            <w:r w:rsidRPr="00CC2B2F">
              <w:rPr>
                <w:rFonts w:ascii="Segoe UI Symbol" w:eastAsia="Times New Roman" w:hAnsi="Segoe UI Symbol" w:cs="Segoe UI Symbol"/>
                <w:color w:val="FF0000"/>
                <w:sz w:val="28"/>
                <w:szCs w:val="28"/>
                <w:lang w:val="en-ID"/>
              </w:rPr>
              <w:t>▃▃</w:t>
            </w:r>
            <w:r w:rsidRPr="00CC2B2F">
              <w:rPr>
                <w:rFonts w:ascii="Segoe UI Symbol" w:eastAsia="Times New Roman" w:hAnsi="Segoe UI Symbol" w:cs="Segoe UI Symbol"/>
                <w:color w:val="46C7C7"/>
                <w:sz w:val="28"/>
                <w:szCs w:val="28"/>
                <w:lang w:val="en-ID"/>
              </w:rPr>
              <w:t>▂▂▂</w:t>
            </w:r>
          </w:p>
        </w:tc>
      </w:tr>
      <w:tr w:rsidR="00022A8F" w:rsidRPr="00CC2B2F" w14:paraId="2AD54BB8" w14:textId="77777777" w:rsidTr="00E2513C">
        <w:tc>
          <w:tcPr>
            <w:tcW w:w="1537" w:type="pct"/>
            <w:vAlign w:val="center"/>
          </w:tcPr>
          <w:p w14:paraId="5646A0F0"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 xml:space="preserve">governance approach </w:t>
            </w:r>
          </w:p>
        </w:tc>
        <w:tc>
          <w:tcPr>
            <w:tcW w:w="695" w:type="pct"/>
            <w:vAlign w:val="center"/>
          </w:tcPr>
          <w:p w14:paraId="6E990B06"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2.16</w:t>
            </w:r>
          </w:p>
        </w:tc>
        <w:tc>
          <w:tcPr>
            <w:tcW w:w="520" w:type="pct"/>
            <w:vAlign w:val="center"/>
          </w:tcPr>
          <w:p w14:paraId="0048DE58"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2021</w:t>
            </w:r>
          </w:p>
        </w:tc>
        <w:tc>
          <w:tcPr>
            <w:tcW w:w="472" w:type="pct"/>
            <w:vAlign w:val="center"/>
          </w:tcPr>
          <w:p w14:paraId="06867E82"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2022</w:t>
            </w:r>
          </w:p>
        </w:tc>
        <w:tc>
          <w:tcPr>
            <w:tcW w:w="1776" w:type="pct"/>
          </w:tcPr>
          <w:p w14:paraId="70AFFEF7" w14:textId="77777777" w:rsidR="00022A8F" w:rsidRPr="00CC2B2F" w:rsidRDefault="00022A8F" w:rsidP="00E2513C">
            <w:pPr>
              <w:jc w:val="center"/>
              <w:rPr>
                <w:rFonts w:ascii="Arial" w:hAnsi="Arial" w:cs="Arial"/>
                <w:sz w:val="28"/>
                <w:szCs w:val="28"/>
              </w:rPr>
            </w:pPr>
            <w:r w:rsidRPr="00CC2B2F">
              <w:rPr>
                <w:rFonts w:ascii="Segoe UI Symbol" w:eastAsia="Times New Roman" w:hAnsi="Segoe UI Symbol" w:cs="Segoe UI Symbol"/>
                <w:color w:val="CFECEC"/>
                <w:sz w:val="28"/>
                <w:szCs w:val="28"/>
                <w:lang w:val="en-ID"/>
              </w:rPr>
              <w:t>▂</w:t>
            </w:r>
            <w:r w:rsidRPr="00CC2B2F">
              <w:rPr>
                <w:rFonts w:ascii="Segoe UI Symbol" w:eastAsia="Times New Roman" w:hAnsi="Segoe UI Symbol" w:cs="Segoe UI Symbol"/>
                <w:color w:val="46C7C7"/>
                <w:sz w:val="28"/>
                <w:szCs w:val="28"/>
                <w:lang w:val="en-ID"/>
              </w:rPr>
              <w:t>▂▂▂▂▂▂</w:t>
            </w:r>
            <w:r w:rsidRPr="00CC2B2F">
              <w:rPr>
                <w:rFonts w:ascii="Segoe UI Symbol" w:eastAsia="Times New Roman" w:hAnsi="Segoe UI Symbol" w:cs="Segoe UI Symbol"/>
                <w:color w:val="FF0000"/>
                <w:sz w:val="28"/>
                <w:szCs w:val="28"/>
                <w:lang w:val="en-ID"/>
              </w:rPr>
              <w:t>▃▃</w:t>
            </w:r>
            <w:r w:rsidRPr="00CC2B2F">
              <w:rPr>
                <w:rFonts w:ascii="Segoe UI Symbol" w:eastAsia="Times New Roman" w:hAnsi="Segoe UI Symbol" w:cs="Segoe UI Symbol"/>
                <w:color w:val="46C7C7"/>
                <w:sz w:val="28"/>
                <w:szCs w:val="28"/>
                <w:lang w:val="en-ID"/>
              </w:rPr>
              <w:t>▂▂</w:t>
            </w:r>
          </w:p>
        </w:tc>
      </w:tr>
      <w:tr w:rsidR="00022A8F" w:rsidRPr="00CC2B2F" w14:paraId="666F4D9C" w14:textId="77777777" w:rsidTr="00E2513C">
        <w:tc>
          <w:tcPr>
            <w:tcW w:w="1537" w:type="pct"/>
            <w:vAlign w:val="center"/>
          </w:tcPr>
          <w:p w14:paraId="53C69A73"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 xml:space="preserve">service quality </w:t>
            </w:r>
          </w:p>
        </w:tc>
        <w:tc>
          <w:tcPr>
            <w:tcW w:w="695" w:type="pct"/>
            <w:vAlign w:val="center"/>
          </w:tcPr>
          <w:p w14:paraId="052007FF"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2.28</w:t>
            </w:r>
          </w:p>
        </w:tc>
        <w:tc>
          <w:tcPr>
            <w:tcW w:w="520" w:type="pct"/>
            <w:vAlign w:val="center"/>
          </w:tcPr>
          <w:p w14:paraId="38DF696D"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2022</w:t>
            </w:r>
          </w:p>
        </w:tc>
        <w:tc>
          <w:tcPr>
            <w:tcW w:w="472" w:type="pct"/>
            <w:vAlign w:val="center"/>
          </w:tcPr>
          <w:p w14:paraId="6DDC3F61" w14:textId="77777777" w:rsidR="00022A8F" w:rsidRPr="00022A8F" w:rsidRDefault="00022A8F" w:rsidP="00E2513C">
            <w:pPr>
              <w:spacing w:line="276" w:lineRule="auto"/>
              <w:jc w:val="center"/>
              <w:rPr>
                <w:rFonts w:ascii="Arial" w:eastAsia="Calibri" w:hAnsi="Arial" w:cs="Arial"/>
                <w:sz w:val="20"/>
                <w:szCs w:val="20"/>
              </w:rPr>
            </w:pPr>
            <w:r w:rsidRPr="00022A8F">
              <w:rPr>
                <w:rFonts w:ascii="Arial" w:eastAsia="Calibri" w:hAnsi="Arial" w:cs="Arial"/>
                <w:sz w:val="20"/>
                <w:szCs w:val="20"/>
              </w:rPr>
              <w:t>2024</w:t>
            </w:r>
          </w:p>
        </w:tc>
        <w:tc>
          <w:tcPr>
            <w:tcW w:w="1776" w:type="pct"/>
          </w:tcPr>
          <w:p w14:paraId="357862B3" w14:textId="77777777" w:rsidR="00022A8F" w:rsidRPr="00CC2B2F" w:rsidRDefault="00022A8F" w:rsidP="00E2513C">
            <w:pPr>
              <w:jc w:val="center"/>
              <w:rPr>
                <w:rFonts w:ascii="Arial" w:hAnsi="Arial" w:cs="Arial"/>
                <w:sz w:val="28"/>
                <w:szCs w:val="28"/>
              </w:rPr>
            </w:pPr>
            <w:r w:rsidRPr="00CC2B2F">
              <w:rPr>
                <w:rFonts w:ascii="Segoe UI Symbol" w:eastAsia="Times New Roman" w:hAnsi="Segoe UI Symbol" w:cs="Segoe UI Symbol"/>
                <w:color w:val="CFECEC"/>
                <w:sz w:val="28"/>
                <w:szCs w:val="28"/>
                <w:lang w:val="en-ID"/>
              </w:rPr>
              <w:t>▂▂▂▂▂▂▂▂</w:t>
            </w:r>
            <w:r w:rsidRPr="00CC2B2F">
              <w:rPr>
                <w:rFonts w:ascii="Segoe UI Symbol" w:eastAsia="Times New Roman" w:hAnsi="Segoe UI Symbol" w:cs="Segoe UI Symbol"/>
                <w:color w:val="FF0000"/>
                <w:sz w:val="28"/>
                <w:szCs w:val="28"/>
                <w:lang w:val="en-ID"/>
              </w:rPr>
              <w:t>▃▃▃</w:t>
            </w:r>
          </w:p>
        </w:tc>
      </w:tr>
    </w:tbl>
    <w:p w14:paraId="3B6C241D" w14:textId="5403CF7B" w:rsidR="00081EDE" w:rsidRPr="004D5D1F" w:rsidRDefault="00081EDE" w:rsidP="00081EDE">
      <w:pPr>
        <w:spacing w:after="0" w:line="276" w:lineRule="auto"/>
        <w:jc w:val="center"/>
        <w:rPr>
          <w:rFonts w:ascii="Arial" w:eastAsia="Calibri" w:hAnsi="Arial" w:cs="Arial"/>
          <w:b/>
          <w:szCs w:val="20"/>
          <w:lang w:val="id-ID"/>
        </w:rPr>
      </w:pPr>
      <w:proofErr w:type="spellStart"/>
      <w:r w:rsidRPr="004D5D1F">
        <w:rPr>
          <w:rFonts w:ascii="Arial" w:eastAsia="Calibri" w:hAnsi="Arial" w:cs="Arial"/>
          <w:b/>
          <w:szCs w:val="20"/>
          <w:lang w:val="id-ID"/>
        </w:rPr>
        <w:t>Source</w:t>
      </w:r>
      <w:proofErr w:type="spellEnd"/>
      <w:r w:rsidRPr="004D5D1F">
        <w:rPr>
          <w:rFonts w:ascii="Arial" w:eastAsia="Calibri" w:hAnsi="Arial" w:cs="Arial"/>
          <w:b/>
          <w:szCs w:val="20"/>
          <w:lang w:val="id-ID"/>
        </w:rPr>
        <w:t xml:space="preserve">: </w:t>
      </w:r>
      <w:proofErr w:type="spellStart"/>
      <w:r w:rsidRPr="004D5D1F">
        <w:rPr>
          <w:rFonts w:ascii="Arial" w:eastAsia="Calibri" w:hAnsi="Arial" w:cs="Arial"/>
          <w:b/>
          <w:szCs w:val="20"/>
          <w:lang w:val="id-ID"/>
        </w:rPr>
        <w:t>Author</w:t>
      </w:r>
      <w:proofErr w:type="spellEnd"/>
      <w:r w:rsidRPr="004D5D1F">
        <w:rPr>
          <w:rFonts w:ascii="Arial" w:eastAsia="Calibri" w:hAnsi="Arial" w:cs="Arial"/>
          <w:b/>
          <w:szCs w:val="20"/>
          <w:lang w:val="id-ID"/>
        </w:rPr>
        <w:t xml:space="preserve"> </w:t>
      </w:r>
      <w:proofErr w:type="spellStart"/>
      <w:r w:rsidRPr="004D5D1F">
        <w:rPr>
          <w:rFonts w:ascii="Arial" w:eastAsia="Calibri" w:hAnsi="Arial" w:cs="Arial"/>
          <w:b/>
          <w:szCs w:val="20"/>
          <w:lang w:val="id-ID"/>
        </w:rPr>
        <w:t>generated</w:t>
      </w:r>
      <w:proofErr w:type="spellEnd"/>
      <w:r w:rsidRPr="004D5D1F">
        <w:rPr>
          <w:rFonts w:ascii="Arial" w:eastAsia="Calibri" w:hAnsi="Arial" w:cs="Arial"/>
          <w:b/>
          <w:szCs w:val="20"/>
          <w:lang w:val="id-ID"/>
        </w:rPr>
        <w:t xml:space="preserve"> </w:t>
      </w:r>
      <w:proofErr w:type="spellStart"/>
      <w:r w:rsidRPr="004D5D1F">
        <w:rPr>
          <w:rFonts w:ascii="Arial" w:eastAsia="Calibri" w:hAnsi="Arial" w:cs="Arial"/>
          <w:b/>
          <w:szCs w:val="20"/>
          <w:lang w:val="id-ID"/>
        </w:rPr>
        <w:t>through</w:t>
      </w:r>
      <w:proofErr w:type="spellEnd"/>
      <w:r w:rsidRPr="004D5D1F">
        <w:rPr>
          <w:rFonts w:ascii="Arial" w:eastAsia="Calibri" w:hAnsi="Arial" w:cs="Arial"/>
          <w:b/>
          <w:szCs w:val="20"/>
          <w:lang w:val="id-ID"/>
        </w:rPr>
        <w:t xml:space="preserve"> </w:t>
      </w:r>
      <w:proofErr w:type="spellStart"/>
      <w:r w:rsidRPr="004D5D1F">
        <w:rPr>
          <w:rFonts w:ascii="Arial" w:eastAsia="Calibri" w:hAnsi="Arial" w:cs="Arial"/>
          <w:b/>
          <w:szCs w:val="20"/>
          <w:lang w:val="id-ID"/>
        </w:rPr>
        <w:t>CiteSpace</w:t>
      </w:r>
      <w:proofErr w:type="spellEnd"/>
    </w:p>
    <w:p w14:paraId="08FF63E2" w14:textId="18823AD6" w:rsidR="00DC4D13" w:rsidRPr="00DC4D13" w:rsidRDefault="00DC4D13" w:rsidP="00DC4D13">
      <w:pPr>
        <w:spacing w:after="0" w:line="276" w:lineRule="auto"/>
        <w:ind w:firstLine="567"/>
        <w:jc w:val="both"/>
        <w:rPr>
          <w:rFonts w:ascii="Arial" w:eastAsia="Calibri" w:hAnsi="Arial" w:cs="Arial"/>
          <w:lang w:val="en"/>
        </w:rPr>
      </w:pPr>
      <w:r w:rsidRPr="00DC4D13">
        <w:rPr>
          <w:rFonts w:ascii="Arial" w:eastAsia="Calibri" w:hAnsi="Arial" w:cs="Arial"/>
          <w:lang w:val="en"/>
        </w:rPr>
        <w:t xml:space="preserve">Table 1 shows that the literature includes topics like local and public participation, showcasing the significance of community engagement within the digital governance framework. Reaching out to communities is a crucial step towards closing the digital divide. Moving forward, the development of policies must focus on creating manageable and user-friendly systems. Such systems should be centered on community participation, where system design considers the needs of various stakeholders and their suggestions are continuously integrated into the governance cycle. A community-centric model requires the inclusion of participatory policymaking, innovative technology, and continuous feedback systems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{"citationItems":[{"id":"ITEM-1","itemData":{"DOI":"10.1016/j.ocecoaman.2021.105629","ISSN":"09645691","abstract":"Recent decades have witnessed a steady increase in efforts from a range of actors to facilitate and support meaningful and effective engagement with coastal communities and stakeholders. Indeed, this move towards improved participatory approaches are increasingly framed as being integral to successful and sustainable management of coastal resources and spaces, including in the context of climate adaptation The effectiveness of the processes, structures and frameworks underpinning coastal community engagement has always been subject to external and internal drivers; however, the global threat posed by COVID-19 presented, and continues to present, an unexpected shift in approach, and the need for rapid adaptation by those of us working within these spheres. Using the Coastal Communities Adapting Together (CCAT) project as a case study, we explore how engagement with coastal communities and stakeholders in the project areas of Fingal, Ireland, and Pembrokeshire, Wales, has been impacted and forced to adapt as a result of COVID-19. Through a qualitative data collection process, we explore how project teams across different scales have rapidly adapted their models of community and stakeholder engagement, identify successes and failures, and explore challenges that have been faced. Finally, we consider if the legacy of COVID-19 has provided an opportunity for coastal community engagement approaches being used across the globe to become more diverse, adapting to new technologies and increasing accessibility and effectiveness. Insights identified as fundamental to successful adaptation and enhancing resilience include: a rapid response to change, adoption of a diversity of techniques, broadened participation and supported social learning and knowledge exchange.","author":[{"dropping-particle":"","family":"McKinley","given":"E.","non-dropping-particle":"","parse-names":false,"suffix":""},{"dropping-particle":"","family":"Crowe","given":"P. R.","non-dropping-particle":"","parse-names":false,"suffix":""},{"dropping-particle":"","family":"Stori","given":"F.","non-dropping-particle":"","parse-names":false,"suffix":""},{"dropping-particle":"","family":"Ballinger","given":"R.","non-dropping-particle":"","parse-names":false,"suffix":""},{"dropping-particle":"","family":"Brew","given":"T. C.","non-dropping-particle":"","parse-names":false,"suffix":""},{"dropping-particle":"","family":"Blacklaw-Jones","given":"L.","non-dropping-particle":"","parse-names":false,"suffix":""},{"dropping-particle":"","family":"Cameron-Smith","given":"A.","non-dropping-particle":"","parse-names":false,"suffix":""},{"dropping-particle":"","family":"Crowley","given":"S.","non-dropping-particle":"","parse-names":false,"suffix":""},{"dropping-particle":"","family":"Cocco","given":"C.","non-dropping-particle":"","parse-names":false,"suffix":""},{"dropping-particle":"","family":"O'Mahony","given":"C.","non-dropping-particle":"","parse-names":false,"suffix":""},{"dropping-particle":"","family":"McNally","given":"B.","non-dropping-particle":"","parse-names":false,"suffix":""},{"dropping-particle":"","family":"Power","given":"P.","non-dropping-particle":"","parse-names":false,"suffix":""},{"dropping-particle":"","family":"Foley","given":"K.","non-dropping-particle":"","parse-names":false,"suffix":""}],"container-title":"Ocean and Coastal Management","id":"ITEM-1","issued":{"date-parts":[["2021"]]},"language":"English","publisher":"Elsevier Ltd","publisher-place":"School of Earth and Environment, Cardiff University, Park Place, Cardiff, CF10 3AT, United Kingdom","title":"‘Going digital’ - Lessons for future coastal community engagement and climate change adaptation","type":"article-journal","volume":"208"},"uris":["http://www.mendeley.com/documents/?uuid=c7fd548d-cf6f-4a23-8950-ad36bee56638","http://www.mendeley.com/documents/?uuid=a377ce0a-1e1e-4650-b7ad-ecdf0813c270"]}],"mendeley":{"formattedCitation":"(McKinley et al., 2021)","plainTextFormattedCitation":"(McKinley et al., 2021)","previouslyFormattedCitation":"(McKinley et al., 2021)"},"properties":{"noteIndex":0},"schema":"https://github.com/citation-style-language/schema/raw/master/csl-citation.json"}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(McKinley et al., 2021)</w:t>
      </w:r>
      <w:r w:rsidR="00D64833" w:rsidRPr="004D5D1F">
        <w:rPr>
          <w:rFonts w:ascii="Arial" w:eastAsia="Calibri" w:hAnsi="Arial" w:cs="Arial"/>
          <w:lang w:val="en"/>
        </w:rPr>
        <w:fldChar w:fldCharType="end"/>
      </w:r>
      <w:r w:rsidR="00D64833" w:rsidRPr="004D5D1F">
        <w:rPr>
          <w:rFonts w:ascii="Arial" w:eastAsia="Calibri" w:hAnsi="Arial" w:cs="Arial"/>
          <w:lang w:val="en"/>
        </w:rPr>
        <w:t>.</w:t>
      </w:r>
      <w:r w:rsidR="00D64833">
        <w:rPr>
          <w:rFonts w:ascii="Arial" w:eastAsia="Calibri" w:hAnsi="Arial" w:cs="Arial"/>
          <w:lang w:val="en"/>
        </w:rPr>
        <w:t xml:space="preserve"> </w:t>
      </w:r>
      <w:r w:rsidRPr="00DC4D13">
        <w:rPr>
          <w:rFonts w:ascii="Arial" w:eastAsia="Calibri" w:hAnsi="Arial" w:cs="Arial"/>
          <w:lang w:val="en"/>
        </w:rPr>
        <w:t xml:space="preserve">Therefore, to mitigate the digital divide while fostering community engagement, local governments must establish frameworks that position citizens as key contributors in the governance process, transcending the role of mere service consumers to active participants in policymaking and evaluation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{"citationItems":[{"id":"ITEM-1","itemData":{"DOI":"10.1007/978-3-319-17722-9_11","ISBN":"9783319177229","ISSN":"25121839","abstract":"Digital technologies and social media platforms are changing civic expectations surrounding interaction with government. Local governments hold key positions in the development of digital spaces for civic participation in the issues that directly impact citizens’ everyday lives. However, local practices largely prioritise information and services over reciprocal dialogue with citizens. This chapter explores digital civic engagement in Australian local governments. It draws from a nation-wide survey of councils’ digital practices to highlight that opportunities for civic participation are increasing, particularly through social media. However, substantial discrepancies exist between the digital practices of rural and urban local governments. This discrepancy is further examined through comments from seven rural councils that participated in a workshop on digital engagement, and the views of urban citizens (through focus groups) whose local government offers advanced digital practices. For the rural authorities, key challenges to digital development include limited connectivity, capacity, and financial resources, as well as the different expectations that citizens have in relation to social media use. For the (urban) citizens, participation in online spaces has gone unanswered by their government, which is creating a sense of disenfranchisement. While there is evidence of innovation in Australian digital local government, civic demand and government use largely fail to align. Councils need to reconceptualise current approaches to digital engagement by considering the purpose of participatory spaces and integrating their use into everyday operations. Moreover, greater government receptivity and responsiveness is required to enable civic participation to inform local decision-making. Such involvement allows citizens to develop a sense of connection with local government and facilitates increased civic engagement.","author":[{"dropping-particle":"","family":"Freeman","given":"Julie","non-dropping-particle":"","parse-names":false,"suffix":""}],"container-title":"Public Administration and Information Technology","id":"ITEM-1","issued":{"date-parts":[["2016"]]},"language":"English","page":"195-218","publisher":"Springer","publisher-place":"News &amp; Media Research Centre, University of Canberra, Canberra, ACT, Australia","title":"Digital civic participation in Australian local governments: Everyday practices and opportunities for engagement","type":"chapter","volume":"15"},"uris":["http://www.mendeley.com/documents/?uuid=96d61a33-6042-40e6-b9d2-20b384dcd5cb","http://www.mendeley.com/documents/?uuid=01a4f9c0-4709-415e-aa48-854036a66e0d"]}],"mendeley":{"formattedCitation":"(Freeman, 2016)","plainTextFormattedCitation":"(Freeman, 2016)","previouslyFormattedCitation":"(Freeman, 2016)"},"properties":{"noteIndex":0},"schema":"https://github.com/citation-style-language/schema/raw/master/csl-citation.json"}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(Freeman, 2016)</w:t>
      </w:r>
      <w:r w:rsidR="00D64833" w:rsidRPr="004D5D1F">
        <w:rPr>
          <w:rFonts w:ascii="Arial" w:eastAsia="Calibri" w:hAnsi="Arial" w:cs="Arial"/>
          <w:lang w:val="en"/>
        </w:rPr>
        <w:fldChar w:fldCharType="end"/>
      </w:r>
      <w:r w:rsidR="00D64833" w:rsidRPr="004D5D1F">
        <w:rPr>
          <w:rFonts w:ascii="Arial" w:eastAsia="Calibri" w:hAnsi="Arial" w:cs="Arial"/>
          <w:lang w:val="en"/>
        </w:rPr>
        <w:t>.</w:t>
      </w:r>
    </w:p>
    <w:p w14:paraId="278B9F31" w14:textId="0F426678" w:rsidR="00081EDE" w:rsidRPr="004D5D1F" w:rsidRDefault="00DC4D13" w:rsidP="00DC4D13">
      <w:pPr>
        <w:spacing w:after="0" w:line="276" w:lineRule="auto"/>
        <w:ind w:firstLine="567"/>
        <w:jc w:val="both"/>
        <w:rPr>
          <w:rFonts w:ascii="Arial" w:eastAsia="Calibri" w:hAnsi="Arial" w:cs="Arial"/>
          <w:lang w:val="en"/>
        </w:rPr>
      </w:pPr>
      <w:r w:rsidRPr="00DC4D13">
        <w:rPr>
          <w:rFonts w:ascii="Arial" w:eastAsia="Calibri" w:hAnsi="Arial" w:cs="Arial"/>
          <w:lang w:val="en"/>
        </w:rPr>
        <w:t xml:space="preserve">In the interim, these keywords, citizen engagement and developing countries, are informative regarding the issues and possibilities of digital transformation in the Southeast Asian region. The first one, </w:t>
      </w:r>
      <w:r>
        <w:rPr>
          <w:rFonts w:ascii="Arial" w:eastAsia="Calibri" w:hAnsi="Arial" w:cs="Arial"/>
          <w:lang w:val="en"/>
        </w:rPr>
        <w:t>“</w:t>
      </w:r>
      <w:r w:rsidRPr="00DC4D13">
        <w:rPr>
          <w:rFonts w:ascii="Arial" w:eastAsia="Calibri" w:hAnsi="Arial" w:cs="Arial"/>
          <w:lang w:val="en"/>
        </w:rPr>
        <w:t>citizen engagement</w:t>
      </w:r>
      <w:r>
        <w:rPr>
          <w:rFonts w:ascii="Arial" w:eastAsia="Calibri" w:hAnsi="Arial" w:cs="Arial"/>
          <w:lang w:val="en"/>
        </w:rPr>
        <w:t>”</w:t>
      </w:r>
      <w:r w:rsidRPr="00DC4D13">
        <w:rPr>
          <w:rFonts w:ascii="Arial" w:eastAsia="Calibri" w:hAnsi="Arial" w:cs="Arial"/>
          <w:lang w:val="en"/>
        </w:rPr>
        <w:t xml:space="preserve">, focuses on mobilizing the public in communal activity facilitated through technology, for example, online consultations, digital forums, and citizen reporting applications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{"citationItems":[{"id":"ITEM-1","itemData":{"DOI":"10.1145/3524491.3527307","ISBN":"9781450392921","abstract":"Massive online participatory platforms are an essential tool for involving citizens in public decision-making on a large scale, both in terms of the number of participating citizens and their geographical distribution. However, engaging a sufficiently large number of citizens, as well as collecting adequate contributions, require special attention in the functionalities implemented by the platform. This paper empirically analyzes the existing flaws in participatory platforms and their impact on citizen participation. We focus specifically on the citizen consultation 'République Numérique' (Digital Republic) to identify issues arising from the interactions between users on the supporting platform. We chose this consultation because of the high number of contributors and contributions, and the various means of interaction it proposes. Through an analysis of the available data, we highlight that contributions tend to be concentrated around a small set of proposals and contributors. This leads us to formulate a number of recommendations for the design of participatory platforms regarding the management of contributions, from their organization to their presentation to users.","author":[{"dropping-particle":"","family":"Aboucaya","given":"William","non-dropping-particle":"","parse-names":false,"suffix":""},{"dropping-particle":"","family":"Angarita","given":"Rafael","non-dropping-particle":"","parse-names":false,"suffix":""},{"dropping-particle":"","family":"Issarny","given":"Valerie","non-dropping-particle":"","parse-names":false,"suffix":""}],"container-title":"Proceedings - International Workshop on Equitable Data and Technology, FairWare 2022","id":"ITEM-1","issued":{"date-parts":[["2022"]]},"language":"English","page":"25-33","publisher":"Institute of Electrical and Electronics Engineers Inc.","publisher-place":"Inria Paris, Sorbonne Université, Paris, France","title":"Detecting Obstacles to Collaboration in an Online Participatory Democracy Platform: A Use-case Driven Analysis","type":"paper-conference"},"uris":["http://www.mendeley.com/documents/?uuid=c14ebdec-bdcf-4cde-a088-7b51c9edaf94","http://www.mendeley.com/documents/?uuid=828d8a10-a3cf-425a-b24b-c005fab6794b"]}],"mendeley":{"formattedCitation":"(Aboucaya et al., 2022)","plainTextFormattedCitation":"(Aboucaya et al., 2022)","previouslyFormattedCitation":"(Aboucaya et al., 2022)"},"properties":{"noteIndex":0},"schema":"https://github.com/citation-style-language/schema/raw/master/csl-citation.json"}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(Aboucaya et al., 2022)</w:t>
      </w:r>
      <w:r w:rsidR="00D64833" w:rsidRPr="004D5D1F">
        <w:rPr>
          <w:rFonts w:ascii="Arial" w:eastAsia="Calibri" w:hAnsi="Arial" w:cs="Arial"/>
          <w:lang w:val="en"/>
        </w:rPr>
        <w:fldChar w:fldCharType="end"/>
      </w:r>
      <w:r w:rsidRPr="00DC4D13">
        <w:rPr>
          <w:rFonts w:ascii="Arial" w:eastAsia="Calibri" w:hAnsi="Arial" w:cs="Arial"/>
          <w:lang w:val="en"/>
        </w:rPr>
        <w:t xml:space="preserve">. The other one, </w:t>
      </w:r>
      <w:r>
        <w:rPr>
          <w:rFonts w:ascii="Arial" w:eastAsia="Calibri" w:hAnsi="Arial" w:cs="Arial"/>
          <w:lang w:val="en"/>
        </w:rPr>
        <w:t>“</w:t>
      </w:r>
      <w:r w:rsidRPr="00DC4D13">
        <w:rPr>
          <w:rFonts w:ascii="Arial" w:eastAsia="Calibri" w:hAnsi="Arial" w:cs="Arial"/>
          <w:lang w:val="en"/>
        </w:rPr>
        <w:t>developing countries</w:t>
      </w:r>
      <w:r>
        <w:rPr>
          <w:rFonts w:ascii="Arial" w:eastAsia="Calibri" w:hAnsi="Arial" w:cs="Arial"/>
          <w:lang w:val="en"/>
        </w:rPr>
        <w:t>”</w:t>
      </w:r>
      <w:r w:rsidRPr="00DC4D13">
        <w:rPr>
          <w:rFonts w:ascii="Arial" w:eastAsia="Calibri" w:hAnsi="Arial" w:cs="Arial"/>
          <w:lang w:val="en"/>
        </w:rPr>
        <w:t>, describes the region</w:t>
      </w:r>
      <w:r w:rsidR="008E19FA">
        <w:rPr>
          <w:rFonts w:ascii="Arial" w:eastAsia="Calibri" w:hAnsi="Arial" w:cs="Arial"/>
          <w:lang w:val="en"/>
        </w:rPr>
        <w:t>’s</w:t>
      </w:r>
      <w:r w:rsidRPr="00DC4D13">
        <w:rPr>
          <w:rFonts w:ascii="Arial" w:eastAsia="Calibri" w:hAnsi="Arial" w:cs="Arial"/>
          <w:lang w:val="en"/>
        </w:rPr>
        <w:t xml:space="preserve"> unique underlying socioeconomic characteristics, such as the digital divide, which has a gap in technological infrastructure, sparse technology education, and limited accessibility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{"citationItems":[{"id":"ITEM-1","itemData":{"DOI":"10.1007/978-981-10-2815-1_6","ISSN":"23664673","abstract":"One of the main challenges facing the Association of Southeast Asian Nations (ASEAN) is to achieve sustainable development by bridging the digital divide throughout the region. During the past ten years, the member states of ASEAN have made significant investments in ICT infrastructure in order to increase ICT accessibility and adoption rates among the people residing in the ASEAN region. ASEAN, through the establishment of the ASEAN Economic Community (AEC), launched the ASEAN ICT Master Plan 2015 in 2011. The sixth strategy of this plan is \"bridging the digital divide\"in order to eliminate the ICT development gap across the ASEAN region and to increase ICT in education through various initiatives. This chapter synthesizes the qualitative and quantitative research articles published between 2005 and 2015 that focused on the implementation of ICT in the education programs in ASEAN. In light of Van Dijk's (The deepening divide: Inequality in the information society. Sage Publications, Thousand Oaks, Van Dijk 2005) causal and sequential model of digital technology, the objectives of this chapter are to provide a comprehensive overview of the current situation regarding ICT for education programs in ASEAN countries, and to identify the barriers to ICT adoption and use in education. The results indicate that some ASEAN member states such as Cambodia, Lao PDR, Myanmar, and Vietnam began investing in ICT infrastructures and Internet connection only in the last few years. On the other hand, other member states such as Thailand, the Philippines, Malaysia, Indonesia, and Singapore have further developed ICT projects in their schools. The teacher's technical mastery of ICT skills in integrating ICT into student learning in Thailand is insufficient. Teachers have suggested that the ICT training courses should include creating educational media lessons in order to enhance teachers' operational ICT skills. Accessing ICT in the Bruneian, Singaporean, and Malaysian schools is limited, despite much investment in ICT infrastructure, computers, and professional training. Barriers to such access still exist, and especially after receiving ICT training, teachers report lack of time to integrate ICT into their classes due to heavy workloads. The findings offer policy makers ideas concerning guidance in terms of strengthening the efficacy of ICT for education programs and achieving the ASEAN ICT master plan 2015 in closing the digital divide and reaching sustainable developm…","author":[{"dropping-particle":"","family":"Prajaknate","given":"Pornpun","non-dropping-particle":"","parse-names":false,"suffix":""}],"container-title":"Communication, Culture and Change in Asia","id":"ITEM-1","issued":{"date-parts":[["2017"]]},"language":"English","page":"107-133","publisher":"Springer Science and Business Media B.V.","publisher-place":"National Institute of Development Administration, Bangkok, 10240, Thailand","title":"Information Communication Technologies (ICT) for education projects in ASEAN: Can we close the digital divide?","type":"article-journal","volume":"2"},"uris":["http://www.mendeley.com/documents/?uuid=05ed6d93-f86a-4038-ae30-ee52a3e1de58","http://www.mendeley.com/documents/?uuid=b37617a0-102c-4266-8259-d8f8238b0530"]}],"mendeley":{"formattedCitation":"(Prajaknate, 2017)","plainTextFormattedCitation":"(Prajaknate, 2017)","previouslyFormattedCitation":"(Prajaknate, 2017)"},"properties":{"noteIndex":0},"schema":"https://github.com/citation-style-language/schema/raw/master/csl-citation.json"}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(Prajaknate, 2017)</w:t>
      </w:r>
      <w:r w:rsidR="00D64833" w:rsidRPr="004D5D1F">
        <w:rPr>
          <w:rFonts w:ascii="Arial" w:eastAsia="Calibri" w:hAnsi="Arial" w:cs="Arial"/>
          <w:lang w:val="en"/>
        </w:rPr>
        <w:fldChar w:fldCharType="end"/>
      </w:r>
      <w:r w:rsidR="00D64833" w:rsidRPr="004D5D1F">
        <w:rPr>
          <w:rFonts w:ascii="Arial" w:eastAsia="Calibri" w:hAnsi="Arial" w:cs="Arial"/>
          <w:lang w:val="en"/>
        </w:rPr>
        <w:t>.</w:t>
      </w:r>
    </w:p>
    <w:p w14:paraId="3266F218" w14:textId="347F85CB" w:rsidR="00081EDE" w:rsidRPr="00022A8F" w:rsidRDefault="00081EDE" w:rsidP="00022A8F">
      <w:pPr>
        <w:spacing w:after="0" w:line="276" w:lineRule="auto"/>
        <w:jc w:val="both"/>
        <w:rPr>
          <w:rFonts w:ascii="Arial" w:hAnsi="Arial" w:cs="Arial"/>
          <w:b/>
          <w:i/>
          <w:szCs w:val="20"/>
        </w:rPr>
      </w:pPr>
      <w:r w:rsidRPr="00022A8F">
        <w:rPr>
          <w:rFonts w:ascii="Arial" w:hAnsi="Arial" w:cs="Arial"/>
          <w:b/>
          <w:i/>
          <w:szCs w:val="20"/>
        </w:rPr>
        <w:t>Timeline trends of keywords</w:t>
      </w:r>
    </w:p>
    <w:p w14:paraId="32624DA6" w14:textId="2465D82B" w:rsidR="00081EDE" w:rsidRPr="004D5D1F" w:rsidRDefault="00DC4D13" w:rsidP="00025CB0">
      <w:pPr>
        <w:spacing w:after="0" w:line="276" w:lineRule="auto"/>
        <w:ind w:firstLine="851"/>
        <w:jc w:val="both"/>
        <w:rPr>
          <w:rFonts w:ascii="Arial" w:eastAsia="Calibri" w:hAnsi="Arial" w:cs="Arial"/>
          <w:lang w:val="en"/>
        </w:rPr>
      </w:pPr>
      <w:r w:rsidRPr="00DC4D13">
        <w:rPr>
          <w:rFonts w:ascii="Arial" w:eastAsia="Calibri" w:hAnsi="Arial" w:cs="Arial"/>
          <w:lang w:val="en"/>
        </w:rPr>
        <w:t xml:space="preserve">The keyword network diagram produced by </w:t>
      </w:r>
      <w:proofErr w:type="spellStart"/>
      <w:r w:rsidRPr="00DC4D13">
        <w:rPr>
          <w:rFonts w:ascii="Arial" w:eastAsia="Calibri" w:hAnsi="Arial" w:cs="Arial"/>
          <w:lang w:val="en"/>
        </w:rPr>
        <w:t>CiteSpace</w:t>
      </w:r>
      <w:proofErr w:type="spellEnd"/>
      <w:r w:rsidRPr="00DC4D13">
        <w:rPr>
          <w:rFonts w:ascii="Arial" w:eastAsia="Calibri" w:hAnsi="Arial" w:cs="Arial"/>
          <w:lang w:val="en"/>
        </w:rPr>
        <w:t xml:space="preserve"> encapsulates the overview of the entire research topic. It reveals the relationships among </w:t>
      </w:r>
      <w:r w:rsidR="00454A75">
        <w:rPr>
          <w:rFonts w:ascii="Arial" w:eastAsia="Calibri" w:hAnsi="Arial" w:cs="Arial"/>
          <w:lang w:val="en"/>
        </w:rPr>
        <w:t>“</w:t>
      </w:r>
      <w:r w:rsidR="008E19FA">
        <w:rPr>
          <w:rFonts w:ascii="Arial" w:eastAsia="Calibri" w:hAnsi="Arial" w:cs="Arial"/>
          <w:lang w:val="en"/>
        </w:rPr>
        <w:t>s</w:t>
      </w:r>
      <w:r w:rsidRPr="00DC4D13">
        <w:rPr>
          <w:rFonts w:ascii="Arial" w:eastAsia="Calibri" w:hAnsi="Arial" w:cs="Arial"/>
          <w:lang w:val="en"/>
        </w:rPr>
        <w:t>mart cities</w:t>
      </w:r>
      <w:r w:rsidR="00454A75" w:rsidRPr="00DC4D13">
        <w:rPr>
          <w:rFonts w:ascii="Arial" w:eastAsia="Calibri" w:hAnsi="Arial" w:cs="Arial"/>
          <w:lang w:val="en"/>
        </w:rPr>
        <w:t xml:space="preserve">,” </w:t>
      </w:r>
      <w:r w:rsidR="008E19FA">
        <w:rPr>
          <w:rFonts w:ascii="Arial" w:eastAsia="Calibri" w:hAnsi="Arial" w:cs="Arial"/>
          <w:lang w:val="en"/>
        </w:rPr>
        <w:t>s</w:t>
      </w:r>
      <w:r w:rsidRPr="00DC4D13">
        <w:rPr>
          <w:rFonts w:ascii="Arial" w:eastAsia="Calibri" w:hAnsi="Arial" w:cs="Arial"/>
          <w:lang w:val="en"/>
        </w:rPr>
        <w:t>ustainability, and "digital transformation" over the period 2014-2024, enabling advanced thematic inquiry and interdisciplinary analysis.</w:t>
      </w:r>
    </w:p>
    <w:p w14:paraId="4C8A11A0" w14:textId="21667DB6" w:rsidR="00022A8F" w:rsidRPr="00022A8F" w:rsidRDefault="00022A8F" w:rsidP="00022A8F">
      <w:pPr>
        <w:spacing w:after="0" w:line="276" w:lineRule="auto"/>
        <w:jc w:val="center"/>
        <w:rPr>
          <w:rFonts w:ascii="Arial" w:eastAsia="Calibri" w:hAnsi="Arial" w:cs="Arial"/>
          <w:b/>
          <w:szCs w:val="20"/>
          <w:lang w:val="id-ID"/>
        </w:rPr>
      </w:pPr>
      <w:proofErr w:type="spellStart"/>
      <w:r w:rsidRPr="00022A8F">
        <w:rPr>
          <w:rFonts w:ascii="Arial" w:eastAsia="Calibri" w:hAnsi="Arial" w:cs="Arial"/>
          <w:b/>
          <w:szCs w:val="20"/>
          <w:lang w:val="id-ID"/>
        </w:rPr>
        <w:t>Figure</w:t>
      </w:r>
      <w:proofErr w:type="spellEnd"/>
      <w:r w:rsidRPr="00022A8F">
        <w:rPr>
          <w:rFonts w:ascii="Arial" w:eastAsia="Calibri" w:hAnsi="Arial" w:cs="Arial"/>
          <w:b/>
          <w:szCs w:val="20"/>
          <w:lang w:val="id-ID"/>
        </w:rPr>
        <w:t xml:space="preserve"> </w:t>
      </w:r>
      <w:r>
        <w:rPr>
          <w:rFonts w:ascii="Arial" w:eastAsia="Calibri" w:hAnsi="Arial" w:cs="Arial"/>
          <w:b/>
          <w:szCs w:val="20"/>
          <w:lang w:val="id-ID"/>
        </w:rPr>
        <w:t>6</w:t>
      </w:r>
      <w:r w:rsidRPr="00022A8F">
        <w:rPr>
          <w:rFonts w:ascii="Arial" w:eastAsia="Calibri" w:hAnsi="Arial" w:cs="Arial"/>
          <w:b/>
          <w:szCs w:val="20"/>
          <w:lang w:val="id-ID"/>
        </w:rPr>
        <w:t xml:space="preserve"> </w:t>
      </w:r>
      <w:proofErr w:type="spellStart"/>
      <w:r w:rsidRPr="00022A8F">
        <w:rPr>
          <w:rFonts w:ascii="Arial" w:eastAsia="Calibri" w:hAnsi="Arial" w:cs="Arial"/>
          <w:b/>
          <w:szCs w:val="20"/>
          <w:lang w:val="id-ID"/>
        </w:rPr>
        <w:t>Timeline</w:t>
      </w:r>
      <w:proofErr w:type="spellEnd"/>
      <w:r w:rsidRPr="00022A8F">
        <w:rPr>
          <w:rFonts w:ascii="Arial" w:eastAsia="Calibri" w:hAnsi="Arial" w:cs="Arial"/>
          <w:b/>
          <w:szCs w:val="20"/>
          <w:lang w:val="id-ID"/>
        </w:rPr>
        <w:t xml:space="preserve"> View </w:t>
      </w:r>
      <w:proofErr w:type="spellStart"/>
      <w:r w:rsidRPr="00022A8F">
        <w:rPr>
          <w:rFonts w:ascii="Arial" w:eastAsia="Calibri" w:hAnsi="Arial" w:cs="Arial"/>
          <w:b/>
          <w:szCs w:val="20"/>
          <w:lang w:val="id-ID"/>
        </w:rPr>
        <w:t>of</w:t>
      </w:r>
      <w:proofErr w:type="spellEnd"/>
      <w:r w:rsidRPr="00022A8F">
        <w:rPr>
          <w:rFonts w:ascii="Arial" w:eastAsia="Calibri" w:hAnsi="Arial" w:cs="Arial"/>
          <w:b/>
          <w:szCs w:val="20"/>
          <w:lang w:val="id-ID"/>
        </w:rPr>
        <w:t xml:space="preserve"> </w:t>
      </w:r>
      <w:proofErr w:type="spellStart"/>
      <w:r w:rsidRPr="00022A8F">
        <w:rPr>
          <w:rFonts w:ascii="Arial" w:eastAsia="Calibri" w:hAnsi="Arial" w:cs="Arial"/>
          <w:b/>
          <w:szCs w:val="20"/>
          <w:lang w:val="id-ID"/>
        </w:rPr>
        <w:t>Topics</w:t>
      </w:r>
      <w:proofErr w:type="spellEnd"/>
    </w:p>
    <w:p w14:paraId="0049A55C" w14:textId="77777777" w:rsidR="00081EDE" w:rsidRPr="002F2E68" w:rsidRDefault="00081EDE" w:rsidP="00081EDE">
      <w:pPr>
        <w:spacing w:after="0" w:line="276" w:lineRule="auto"/>
        <w:jc w:val="both"/>
        <w:rPr>
          <w:rFonts w:ascii="Times New Roman" w:hAnsi="Times New Roman" w:cs="Times New Roman"/>
          <w:sz w:val="24"/>
          <w:szCs w:val="24"/>
        </w:rPr>
      </w:pPr>
    </w:p>
    <w:p w14:paraId="24597BE9" w14:textId="77777777" w:rsidR="00081EDE" w:rsidRPr="002F2E68" w:rsidRDefault="00081EDE" w:rsidP="00081EDE">
      <w:pPr>
        <w:spacing w:after="0"/>
        <w:jc w:val="center"/>
        <w:rPr>
          <w:rFonts w:ascii="Times New Roman" w:hAnsi="Times New Roman" w:cs="Times New Roman"/>
          <w:sz w:val="24"/>
          <w:szCs w:val="24"/>
        </w:rPr>
      </w:pPr>
      <w:r w:rsidRPr="002F2E68">
        <w:rPr>
          <w:rFonts w:ascii="Times New Roman" w:hAnsi="Times New Roman" w:cs="Times New Roman"/>
          <w:noProof/>
          <w:sz w:val="24"/>
          <w:szCs w:val="24"/>
        </w:rPr>
        <w:drawing>
          <wp:inline distT="0" distB="0" distL="0" distR="0" wp14:anchorId="35D5425A" wp14:editId="6B5E06E1">
            <wp:extent cx="5040000" cy="2586162"/>
            <wp:effectExtent l="0" t="0" r="8255" b="5080"/>
            <wp:docPr id="892819569" name="Picture 1" descr="Sebuah gambar berisi teks, cuplikan layar, Font,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819569" name="Picture 1" descr="Sebuah gambar berisi teks, cuplikan layar, Font, diagram&#10;&#10;AI-generated content may be incorrec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9263" r="2416"/>
                    <a:stretch>
                      <a:fillRect/>
                    </a:stretch>
                  </pic:blipFill>
                  <pic:spPr bwMode="auto">
                    <a:xfrm>
                      <a:off x="0" y="0"/>
                      <a:ext cx="5040000" cy="2586162"/>
                    </a:xfrm>
                    <a:prstGeom prst="rect">
                      <a:avLst/>
                    </a:prstGeom>
                    <a:noFill/>
                    <a:ln>
                      <a:noFill/>
                    </a:ln>
                    <a:extLst>
                      <a:ext uri="{53640926-AAD7-44D8-BBD7-CCE9431645EC}">
                        <a14:shadowObscured xmlns:a14="http://schemas.microsoft.com/office/drawing/2010/main"/>
                      </a:ext>
                    </a:extLst>
                  </pic:spPr>
                </pic:pic>
              </a:graphicData>
            </a:graphic>
          </wp:inline>
        </w:drawing>
      </w:r>
    </w:p>
    <w:p w14:paraId="17F36A0C" w14:textId="16038C8F" w:rsidR="00081EDE" w:rsidRPr="004D5D1F" w:rsidRDefault="00081EDE" w:rsidP="00081EDE">
      <w:pPr>
        <w:spacing w:after="0" w:line="276" w:lineRule="auto"/>
        <w:jc w:val="center"/>
        <w:rPr>
          <w:rFonts w:ascii="Arial" w:eastAsia="Calibri" w:hAnsi="Arial" w:cs="Arial"/>
          <w:b/>
          <w:szCs w:val="20"/>
          <w:lang w:val="id-ID"/>
        </w:rPr>
      </w:pPr>
      <w:proofErr w:type="spellStart"/>
      <w:r w:rsidRPr="004D5D1F">
        <w:rPr>
          <w:rFonts w:ascii="Arial" w:eastAsia="Calibri" w:hAnsi="Arial" w:cs="Arial"/>
          <w:b/>
          <w:szCs w:val="20"/>
          <w:lang w:val="id-ID"/>
        </w:rPr>
        <w:t>Source</w:t>
      </w:r>
      <w:proofErr w:type="spellEnd"/>
      <w:r w:rsidRPr="004D5D1F">
        <w:rPr>
          <w:rFonts w:ascii="Arial" w:eastAsia="Calibri" w:hAnsi="Arial" w:cs="Arial"/>
          <w:b/>
          <w:szCs w:val="20"/>
          <w:lang w:val="id-ID"/>
        </w:rPr>
        <w:t xml:space="preserve">: </w:t>
      </w:r>
      <w:proofErr w:type="spellStart"/>
      <w:r w:rsidRPr="004D5D1F">
        <w:rPr>
          <w:rFonts w:ascii="Arial" w:eastAsia="Calibri" w:hAnsi="Arial" w:cs="Arial"/>
          <w:b/>
          <w:szCs w:val="20"/>
          <w:lang w:val="id-ID"/>
        </w:rPr>
        <w:t>Author</w:t>
      </w:r>
      <w:proofErr w:type="spellEnd"/>
      <w:r w:rsidRPr="004D5D1F">
        <w:rPr>
          <w:rFonts w:ascii="Arial" w:eastAsia="Calibri" w:hAnsi="Arial" w:cs="Arial"/>
          <w:b/>
          <w:szCs w:val="20"/>
          <w:lang w:val="id-ID"/>
        </w:rPr>
        <w:t xml:space="preserve"> </w:t>
      </w:r>
      <w:proofErr w:type="spellStart"/>
      <w:r w:rsidRPr="004D5D1F">
        <w:rPr>
          <w:rFonts w:ascii="Arial" w:eastAsia="Calibri" w:hAnsi="Arial" w:cs="Arial"/>
          <w:b/>
          <w:szCs w:val="20"/>
          <w:lang w:val="id-ID"/>
        </w:rPr>
        <w:t>generated</w:t>
      </w:r>
      <w:proofErr w:type="spellEnd"/>
      <w:r w:rsidRPr="004D5D1F">
        <w:rPr>
          <w:rFonts w:ascii="Arial" w:eastAsia="Calibri" w:hAnsi="Arial" w:cs="Arial"/>
          <w:b/>
          <w:szCs w:val="20"/>
          <w:lang w:val="id-ID"/>
        </w:rPr>
        <w:t xml:space="preserve"> </w:t>
      </w:r>
      <w:proofErr w:type="spellStart"/>
      <w:r w:rsidRPr="004D5D1F">
        <w:rPr>
          <w:rFonts w:ascii="Arial" w:eastAsia="Calibri" w:hAnsi="Arial" w:cs="Arial"/>
          <w:b/>
          <w:szCs w:val="20"/>
          <w:lang w:val="id-ID"/>
        </w:rPr>
        <w:t>through</w:t>
      </w:r>
      <w:proofErr w:type="spellEnd"/>
      <w:r w:rsidRPr="004D5D1F">
        <w:rPr>
          <w:rFonts w:ascii="Arial" w:eastAsia="Calibri" w:hAnsi="Arial" w:cs="Arial"/>
          <w:b/>
          <w:szCs w:val="20"/>
          <w:lang w:val="id-ID"/>
        </w:rPr>
        <w:t xml:space="preserve"> </w:t>
      </w:r>
      <w:proofErr w:type="spellStart"/>
      <w:r w:rsidRPr="004D5D1F">
        <w:rPr>
          <w:rFonts w:ascii="Arial" w:eastAsia="Calibri" w:hAnsi="Arial" w:cs="Arial"/>
          <w:b/>
          <w:szCs w:val="20"/>
          <w:lang w:val="id-ID"/>
        </w:rPr>
        <w:t>CiteSpace</w:t>
      </w:r>
      <w:proofErr w:type="spellEnd"/>
    </w:p>
    <w:p w14:paraId="3BC5B9AB" w14:textId="3EA52D5A" w:rsidR="00DC4D13" w:rsidRPr="00DC4D13" w:rsidRDefault="00DC4D13" w:rsidP="00DC4D13">
      <w:pPr>
        <w:spacing w:after="0" w:line="276" w:lineRule="auto"/>
        <w:ind w:firstLine="567"/>
        <w:jc w:val="both"/>
        <w:rPr>
          <w:rFonts w:ascii="Arial" w:eastAsia="Calibri" w:hAnsi="Arial" w:cs="Arial"/>
          <w:lang w:val="en"/>
        </w:rPr>
      </w:pPr>
      <w:r w:rsidRPr="00DC4D13">
        <w:rPr>
          <w:rFonts w:ascii="Arial" w:eastAsia="Calibri" w:hAnsi="Arial" w:cs="Arial"/>
          <w:lang w:val="en"/>
        </w:rPr>
        <w:t xml:space="preserve">Figure 5 shows that the digital transformation landscape in local governance for Southeast Asia has been organized into three primary clusters that share thematic overlap. The smart city innovation focus, represented as the first cluster with (Cluster #0) label, has a silhouette value of 0.766 and the highest number of documents within the dataset. This cluster is defined by the emphasis on participatory and sustainability strategies in innovative city development, which has been benchmarked against case studies from Helsinki, Singapore, and London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{"citationItems":[{"id":"ITEM-1","itemData":{"DOI":"10.1016/j.cities.2021.103194","ISSN":"02642751","abstract":"The objective of this study is to critically review the smart city research paradigm and to find possible pitfalls, conflicting results and topics for further study and improvement. A qualitative comparison of the smart city initiatives in selected target countries and cities were done. The research strategy in this study approximates the grounded theory, utilising inductive reasoning to generate arguments and conclusions about the form, validity and future of the smart city. Various actors responsible to convert a traditional city to a smart city are defined and analysed within the context of this study. The main conclusion of this study was that the current research on smart city does not fully address the complex nature, conflicts and interdependencies of the smart city objectives. Moreover, the study found that the smart city initiatives form complex and multidisciplinary platforms that require holistic evaluation as the current evaluation methods and rankings of the smart cities vary considerably, making the evaluation of the success of the smart cities difficult.","author":[{"dropping-particle":"","family":"Shamsuzzoha","given":"Ahm","non-dropping-particle":"","parse-names":false,"suffix":""},{"dropping-particle":"","family":"Nieminen","given":"Juha","non-dropping-particle":"","parse-names":false,"suffix":""},{"dropping-particle":"","family":"Piya","given":"Sujan","non-dropping-particle":"","parse-names":false,"suffix":""},{"dropping-particle":"","family":"Rutledge","given":"Kendall","non-dropping-particle":"","parse-names":false,"suffix":""}],"container-title":"Cities","id":"ITEM-1","issued":{"date-parts":[["2021","7"]]},"language":"English","note":"Cited By :50\n\nExport Date: 8 July 2023\n\nCorrespondence Address: Shamsuzzoha, A.; School of Technology and Innovations, PO BOX 700, Finland; email: ahsh@uva.fi\n\nReferences: Abu-Rayash, A., Dincer, I., Development of integrated sustainability performance indicators for better management of smart cities (2021) Sustainable Cities and Society, 67; \nAbu-Shanab, E., The relationship between transparency and e-government: An empirical support. Lecture notes in informatic (LNI) (2013) Proceedings – Series of the Gesellschaft für Informatik (GI), Joint 12th International Conference on Electronic Government, P-221, pp. 84-91;\nAddie, J.-P.D., Acuto, M., Ho, K., Cairns, S., Tan, H.P., Perspectives on the 21st Century Urban University from Singapore – A viewpoint forum (2019) Cities, 88, pp. 252-260;\nAhad, M.A., Paiva, S., Tripathi, G., Feroz, N., Enabling technologies and sustainable smart cities (2020) Sustainable Cities and Society, , 102301;\nAiraksinen, M., Porkka, J., Vainio, T., Huovila, A., Hukkalainen, M., Ahvenniemi, H., Pinto-Seppä, I., Research roadmap report smart city vision (2016) CIB Publication 407, , CIB General Secretariat Delft (60 p.);\nAnand, S., Sen, A., Human development and economic sustainability (2000) World Development, 28 (12), pp. 2029-2049;\nArgento, D., Grossi, G., Jääskeläinen, A., Servalli, S., Suomala, P., Governmentality and performance for the smart city (2016) Proceedings of 39th Eu-ropean Accounting Association Conference, pp. 1-29;\nBhushan, B., Khamparia, A., Sagayam, K.M., Sharma, S.K., Ahad, M.A., Debnath, N.C., Blockchain for smart cities: A review of architectures, integration trends and future research directions (2020) Sustainable Cities and Society, 61, p. 102360;\nBouzguenda, I., Alalouch, C., Fava, N., Towards smart sustainable cities: A review of the role digital citizen participation could play in advancing social sustainability (2019) Sustainable Cities and Society, 50 (2019), p. 101627;\n(2015), Brauer, Benjamin; Eisel, Matthias; and Kolbe, Lutz M., &amp;quot;The state of the art in smart city research – A literature analysis on green IS solutions to foster environmental sustainability&amp;quot;. PACIS 2015 Proceedings. 74; Camboim, G.F., Zawislak, P.A., Pufal, N.A., Driving elements to make cities smarter: Evidences from European projects (2019) Technological Forecasting and Social Change, 142, pp. 154-167;\nCaragliu, A., Del Bo, C.F., Smart innovative cities: The impact of Smart City policies on urban innovation (2019) Technological Forecasting and Social Change, 142, pp. 373-383;\nChatfield, A.T., Reddick, C.G., Smart city implementation through shared vision of social innovation for environmental sustainability: A case study of Kitakyushu, Japan (2016) Social Science Computer Review., 34 (6), pp. 757-773;\nCity of Helsinki, Helsingin ilmastovahti (2019), ilmastovahti.hel.fi, Retrieved November 28, 2019, from; Csukás, M.S., Szabó, R.Z., The many faces of the smart city: Differing value propositions in the activity portfolios of nine cities (2021) Cities, 112, p. 103116;\nDeakin, M., Reid, A., The embedded intelligence of smart cities: Urban life, citizenship, and community (2017) International Journal of Public Administration in the Digital Age (IJPADA), 4 (4), pp. 62-74;\nDesdemoustier, J., Crutzen, N., Giffinger, R., Municipalities' understanding of the Smart City concept: An exploratory analysis in Belgium (2019) Technological Forecasting and Social Change, 142, pp. 129-141;\nDrubin, C., Singapore tops in smart city rankings (2018) Microwave Journal, 61 (6), pp. 61-62;\nESA, Guidance from above for saving energy on earth (2020), http://www.esa.int/Our_Activities/Preparing_for_the_Future/Space_for_Earth/Energy/Guidance_from_above_for_saving_energy_on_Earth, Available at: (Accessed 2 December 2020); European Commission, Smart cities - Smart living (2019), ec.europa.eu/digital-single-market/en/smart-cities, European Commission Retrieved November 27, 2019, from Digital Single Market Policy; Giffinger, R., Kramar, H., Haindlmaier, G., Strohmayer, F., European Smart Cities 4.0 (2015), www.smart-cities.eu/, Retrieved December 31, 2019, from European Smart Cities:; Guelzim, T., Obaidat, M.S., Sadoun, B., Introduction and overview of key enabling technologies for smart cities and homes (2016) Smart cities and homes, pp. 1-16. , Morgan Kaufmann;\nHajduk, S., Assessment of urban transport - A comparative analysis of selected cities by taxonomic methods (2016) Economics and Management, 8 (4), pp. 67-74;\nHajduk, S., The concept of smart city in urban management (2016) Business, Management and Education, 14 (1), pp. 34-39;\nHatuka, T., Zur, H., From smart cities to smart social urbanism: A framework for shaping the socio-technological ecosystems in cities (2020) Telematics and Informatics, 55, p. 101430;\nHaughton, G., Counsell, D., Vigar, G., Sustainable development in post-devolution UK and Ireland (2008) Regional Studies, 42 (9), pp. 1223-1236;\nHautala, R., Karvonen, V., Laitinen, J., Laurikko, J., Nylund, N.-O., Pihlatie, M., Tuominen, A., Smart sustainable mobility. VTT visions 5, 72 p (2014), VTT Technical Research Centre of Finland Espoo; Hayat, P., Smart Cities: A Global Perspective (2016) India Quarterly, 72 (2), pp. 177-191;\nHeaton, J., Parlikad, A.K., A conceptual framework for the alignment of infrastructure assets to citizen requirements within a Smart Cities framework (2019) Cities, 90, pp. 32-41;\nHelsingin seudun ympäristöpalvelut, Greenhouse gas emissions (2019), www.hsy.fi/en/experts/climatechange/mitigation/Pages/Greenhouse-Gas-Emissions.aspx, Retrieved November 28, 2019, from Helsinki Region Environmental Services Authority (HSY):; Hollands, R.G., Will the real smart city please stand up? Intelligent, progressive or entrepreneural? (2008) City, 12 (3), pp. 303-320;\nIllana, C.R., Measuring the smart city (2021), https://www.thesmartcityjournal.com/en/articles/142-measuring-the-smart-city, available at:; Infocomm Media Development Authority, Open innovation platform (2014), www.imda.gov.sg/programme-listing/open-innovation-platform, Retrieved February 3, 2020, from Infocomm Media Development Authority: Infocomm Media Development Authority; International Institute for Management Development, Singapore tops new ‘citizen-centric’ global smart city index (2019), www.imd.org/news/updates/singapore-tops-new-citizen-centric-global-smart-city-index/, Retrieved February 3, 2020, from IMD: International Institute for Management Development; International Organization for Standardization, ISO 37120:2018(en) sustainable cities and communities — Indicators for city services and quality of life (2018), www.iso.org/obp/ui#iso:std:iso:37120:ed-2:v1:en, Retrieved March 6, 2020, from ISO Online Browsing Platform (OBP): ISO; Ismagilova, E., Hughes, L., Dwivedi, Y.K., Raman, K.R., Smart cities: Advances in research—An information systems perspective (2019) International Journal of Information Management, 47, pp. 88-100;\nJi, T., Chen, J.H., Wei, H.H., Su, Y.C., Towards people-centric smart city development: Investigating the citizens’ preferences and perceptions about smart-city services in Taiwan (2021) Sustainable Cities and Society, , 102691;\nJing, C., Wang, S., Wang, M., Du, M., Zhou, L., Sun, T., Wang, J., (2018), A low-cost collaborative location scheme with GNSS and RFID for the internet of things. ISPRS International Journal of Geo-Information. 7, p.180; Kumar, H., Singh, M.K., Gupta, M.P., Madaan, J., Moving towards smart cities: Solutions that lead to the Smart City Transformation Framework (2020) Technological Forecasting and Social Change, 153, p. 119281;\nKutty, A.A., Abdella, G.M., Murat Kucukvar, M., Onat, N.C., N.C. and Melih Bulu, M., A system thinking approach for harmonizing smart and sustainable city initiatives with United Nations sustainable development goals (2020) Sustainable Development, 28 (5), pp. 1347-1365;\nLempinen, T., Upouudet kuvat purettavista moottoriteistä julki – autojen tilalle suunnitellaan melko erikoisiakin rakennelmia (2019), www.is.fi/autot/art-2000005960085.html, Retrieved February 18, 2020, from Ilta-Sanomat: Sanoma Media Finland; London Datastore, London Datastore (2020), data.london.gov.uk, Retrieved February 6, 2020, from Mayor of London: Greater London Authority; London Living Labs, London Living Labs (L3) (2020), wp.doc.ic.ac.uk/aese/project/london-living-labs-l3/, Retrieved February 6, 2020, from Imperial College London: Imperial College London; Lu, H.P., Chen, C.S., Yu, H., Technology roadmap for building a smart city: An exploring study on methodology (2019) Future Generation Computer Systems, 97, pp. 727-742;\nMacke, J., Casagrande, R.M., Sarate, J.A., Silva, K.A., Smart city and quality of life: Citizens’ perception in a Brazilian case study (2018) Journal of Cleaner Production, 182, pp. 717-726;\nMayor of London, Smarter London together: The Mayor's roadmap to transform London into the smartest city in the world (2018), Greater London Authority London; Mayor of London, Mayor's transport strategy (2018), Greater London Authority London; Mayor of London, Mayor's transport strategy 2018 (2018), www.london.gov.uk/what-we-do/transport/our-vision-transport/mayors-transport-strategy-2018, Retrieved February 10, 2020, from Mayor of London:; Ministry of Transport, Singapore to Start Truck Platooning Trials (2017), www.mot.gov.sg/news-centre/news/Detail/Singapore%20to%20start%20truck%20platooning%20trials/, Retrieved February 18 2020, from Ministry of Transport: Government of Singapore; Mohanty, S.P., Choppali, U., Kougianos, E., Everything you wanted to know about smart cities: The internet of things is the backbone (2016) IEEE Consumer Electronics Magazine, 5 (3), pp. 60-70;\nMonfaredzadeh, T., Krueger, R., Investigating social factors of sustainability in a smart city (2015) Procedia Engineering, 118, pp. 1112-1118;\nMurray, M.J., Cities on a grand scale: instant urbanism at the start of the twenty-first century (2018), K. Ward A.E.G. Jonas B. Miller D. Wilson The Routledge Handbook on Spaces of Urban Politics, Routledge New York, USA; Nam, T., Pardo, T.A., Conceptualizing smart city with dimensions of technology, people, and institutions (2011) The Proceedings of the 12th Annual International Conference on Digital Government Research, pp. 282-291;\nOdendaal, N., Information and communication technology and local governance: Understanding the difference between cities in developed and emerging economies (2003) Computers, Environment and Urban Systems, 27 (6), pp. 585-607;\nOščádal, P., Huczala, D., Bém, J., Krys, V., Bobovský, Z., Smart building surveillance system as shared sensory system for localization of AGVs (2020) Applied Sciences, 10, p. 8452;\nPark, E., del Pobil, A.P., Kwon, S.J., The role of internet of things (IoT) in smart cities: Technology roadmap-oriented approaches (2018) Sustainability, 10 (5). , (13 p);\nPichler, M., Smart City Vienna: System Dynamics Modelling as a Tool for Understanding Feedbacks and Supporting Smart City Strategies (2017), Masters Thesis, Nova University of Lisbon Portugal; Prasad, D., Alizadeh, T., What makes Indian cities smart?-A policy analysis of smart cities mission (2020) Telematics and Informatics, 55;\nRodrigues, M., Franco, M., Measuring the urban sustainable development in cities through a composite index: The case of Portugal (2019) Sustainable Development, pp. 1-14;\nShaw, J., Graham, M., Our digital rights to the city (2017), Meatspace Press; Silva, B.N., Khan, M., Han, K., Towards sustainable smart cities: A review of trends, architectures, components, and open challenges in smart cities (2018) Sustainable Cities and Society, 38, pp. 697-713;\nSmart City Expo World Congress, World Smart City Awards: 2018. Fira Barcelona (2018), http://www.smartcityexpo.com/en/awards, Retrieved from; Smart London, Smart London (2020), www.london.gov.uk/what-we-do/business-and-economy/supporting-londons-sectors/smart-london, Retrieved February 6, 2020, from Mayor of London: Greater London Authority; Smarter London Together, Smarter London together (2020), www.london.gov.uk/what-we-do/business-and-economy/supporting-londons-sectors/smart-london/smarter-london-together, Retrieved February 6, 2020, from Mayor of London: Greater London Authority; Sokolov, A., Veselitskaya, N., Carabias, V., Yildirim, O., Scenario-based identification of key factors for smart cities development policies (2019) Technological Forecasting and Social Change, 148, p. 119729;\nTransport, Transport (2020), www.smartnation.sg/what-is-smart-nation/initiatives/Transport, Retrieved February 4, 2020, from Smart Nation Singapore: Smart Nation and Digital Government Office; United Nations, Sustainable development goals (2019), sustainabledevelopment.un.org, United Nations Retrieved November 26, 2019, from United Nations Department of Economic and Social Affairs; Vasko, C.A., Adriaensen, M., Bretel, A., Duvaux-Bechon, I., Giannopapa, C.G., Space assets, technology and services in support of energy policy (2017) Acta Astronautica, 138 (September 2017), pp. 295-300;\nVirium, F., Forum Virium Helsinki (2020), forumvirium.fi/en/, Retrieved February 13, 2020, from Forum Virium Helsinki: Forum Virium Helsinki Oy; Wang, M., Zhou, T., Wang, D., Tracking the evolution processes of smart cities in China by assessing performance and efficiency (2020) Technology in Society, 63, p. 101353;\nWorld Council on City Data, Created by cities, for cities (2020), www.dataforcities.org/wccd, Retrieved March 12, 2020, from World Council on City Data: WCCD; Yigitcanlar, T., Han, H., Kamruzzaman, M., Ioppolo, G., Sabatini-Marques, J., The making of smart cities: Are Songdo, Masdar, Amsterdam, San Francisco and Brisbane the best we could build? (2019) Land Use Policy, 88, p. 104187;\nYigitcanlar, T., Kamruzzaman, M., Buys, L., Ioppolo, G., Sabatini-Marques, J., da Costa, E.M., Yun, J.J., Understanding “smart cities”: Intertwining development drivers with desired outcomes in a multidimensional framework (2018) Cities, 81, pp. 145-160;\nYigitcanlar, T., Kamruzzaman, T., Foth, M., Sabatini, J., Costa, E., Loppolo, G., Can cities become smart without being sustainable? A systematic review of the literature (2019) Sustainable Cities and Society, 45 (2019), pp. 348-365;\nYlipulli, J., Luusua, A., Smart cities with a Nordic twist? Public sector digitalization in Finnish data-rich cities (2020) Telematics and Informatics, 55, p. 101457","page":"103194","publisher":"Elsevier Ltd","publisher-place":"School of Technology and Innovations, University of Vaasa, PO BOX 700, Vaasa, FI-65101, Finland","title":"Smart city for sustainable environment: A comparison of participatory strategies from Helsinki, Singapore and London","type":"article-journal","volume":"114"},"uris":["http://www.mendeley.com/documents/?uuid=f2eea3f5-1a94-4aaf-a61a-7aab067b47c2"]}],"mendeley":{"formattedCitation":"(Shamsuzzoha et al., 2021)","plainTextFormattedCitation":"(Shamsuzzoha et al., 2021)","previouslyFormattedCitation":"(Shamsuzzoha et al., 2021)"},"properties":{"noteIndex":0},"schema":"https://github.com/citation-style-language/schema/raw/master/csl-citation.json"}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(Shamsuzzoha et al., 2021)</w:t>
      </w:r>
      <w:r w:rsidR="00D64833" w:rsidRPr="004D5D1F">
        <w:rPr>
          <w:rFonts w:ascii="Arial" w:eastAsia="Calibri" w:hAnsi="Arial" w:cs="Arial"/>
          <w:lang w:val="en"/>
        </w:rPr>
        <w:fldChar w:fldCharType="end"/>
      </w:r>
      <w:r w:rsidR="00D64833" w:rsidRPr="004D5D1F">
        <w:rPr>
          <w:rFonts w:ascii="Arial" w:eastAsia="Calibri" w:hAnsi="Arial" w:cs="Arial"/>
          <w:lang w:val="en"/>
        </w:rPr>
        <w:t xml:space="preserve">. </w:t>
      </w:r>
      <w:r w:rsidRPr="00DC4D13">
        <w:rPr>
          <w:rFonts w:ascii="Arial" w:eastAsia="Calibri" w:hAnsi="Arial" w:cs="Arial"/>
          <w:lang w:val="en"/>
        </w:rPr>
        <w:t>The terms smart city, sustainability, and sustainable development characterize the focus on managing the city</w:t>
      </w:r>
      <w:r w:rsidR="008E19FA">
        <w:rPr>
          <w:rFonts w:ascii="Arial" w:eastAsia="Calibri" w:hAnsi="Arial" w:cs="Arial"/>
          <w:lang w:val="en"/>
        </w:rPr>
        <w:t>’s</w:t>
      </w:r>
      <w:r w:rsidRPr="00DC4D13">
        <w:rPr>
          <w:rFonts w:ascii="Arial" w:eastAsia="Calibri" w:hAnsi="Arial" w:cs="Arial"/>
          <w:lang w:val="en"/>
        </w:rPr>
        <w:t xml:space="preserve"> environmentally oriented technologies. Singapore and Indonesia serve as the focal points in this body of literature.</w:t>
      </w:r>
    </w:p>
    <w:p w14:paraId="2B70AFDC" w14:textId="1CE540C7" w:rsidR="00DC4D13" w:rsidRPr="00DC4D13" w:rsidRDefault="00DC4D13" w:rsidP="00DC4D13">
      <w:pPr>
        <w:spacing w:after="0" w:line="276" w:lineRule="auto"/>
        <w:ind w:firstLine="567"/>
        <w:jc w:val="both"/>
        <w:rPr>
          <w:rFonts w:ascii="Arial" w:eastAsia="Calibri" w:hAnsi="Arial" w:cs="Arial"/>
          <w:lang w:val="en"/>
        </w:rPr>
      </w:pPr>
      <w:r w:rsidRPr="00DC4D13">
        <w:rPr>
          <w:rFonts w:ascii="Arial" w:eastAsia="Calibri" w:hAnsi="Arial" w:cs="Arial"/>
          <w:lang w:val="en"/>
        </w:rPr>
        <w:t xml:space="preserve">The second cluster, which is labeled as (Cluster #1), focuses on the issues of digital transformation concerning the boost in productivity of small and medium enterprises in Southeast Asia, most notably in Malaysia and Indonesia. At a silhouette value of 0.73, this cluster displays a firm relation between the use of digital technology and innovation in business models. Businesses are digitally transforming, as illustrated in the study of digital business model innovation by </w:t>
      </w:r>
      <w:bookmarkStart w:id="5" w:name="_Hlk203503627"/>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{"citationItems":[{"id":"ITEM-1","itemData":{"DOI":"10.1016/j.techsoc.2024.102728","ISSN":"0160791X","abstract":"Digital transformation has irrevocably redefined the landscape of contemporary business operations, heralding a new era in which DBMI has emerged as a critical strategic lever for competitive survival. Anchored on the dynamic capabilities theory, present study aims to meticulously investigates the influence of digital capability (antecedent) on DBMI and a keen focus on how DBMI, in turn, influences SME competitiveness (outcome). By adopting purposive sampling approach, data were collected from 132 SMEs representatives holding management positions in Malaysia using Google Form. The PLS-SEM analysis was rigorously carried out to verify the proposed hypotheses. The empirical findings illustrate that digital capability positively affects all components of DBMI. Of these, value creation, value proposition, and value capture innovation significantly bolster SME competitiveness, whereas value delivery innovation does not exhibit a similar effect. Considering the scarcity of empirical research on the antecedents and outcomes of DBMI, this study contributes to the theory of dynamic capabilities and improves the current literature on DBMI by providing empirical insights from Malaysian SMEs context. By affirming the role of digital capability and elucidating how DBMI can enhance competitiveness, the findings offer actionable guidance for SMEs navigating the complexities of a volatile business environment. Since this study focuses specifically on Malaysian SMEs within emerging economies, it paves the way for future investigations in developed economies and diverse regional contexts to further validate and expand upon the relationships identified between DBMI antecedents and outcomes.","author":[{"dropping-particle":"","family":"Fang","given":"Teoh Ming","non-dropping-particle":"","parse-names":false,"suffix":""},{"dropping-particle":"","family":"Ahmad","given":"Noor Hazlina","non-dropping-particle":"","parse-names":false,"suffix":""},{"dropping-particle":"","family":"Halim","given":"Hasliza Abdul","non-dropping-particle":"","parse-names":false,"suffix":""},{"dropping-particle":"","family":"Iqbal","given":"Qaisar","non-dropping-particle":"","parse-names":false,"suffix":""},{"dropping-particle":"","family":"Ramayah","given":"T.","non-dropping-particle":"","parse-names":false,"suffix":""}],"container-title":"Technology in Society","id":"ITEM-1","issued":{"date-parts":[["2024","12"]]},"language":"English","page":"102728","publisher":"Elsevier Ltd","publisher-place":"School of Management, Universiti Sains Malaysia, Malaysia","title":"Pathway towards SME competitiveness: Digital capability and digital business model innovation","type":"article-journal","volume":"79"},"uris":["http://www.mendeley.com/documents/?uuid=defcbb10-1154-4240-82b4-38059a1a9a3b","http://www.mendeley.com/documents/?uuid=7fefa8e0-14df-4536-bf5f-d2bd78a0eaed"]}],"mendeley":{"formattedCitation":"(Fang et al., 2024)","manualFormatting":"Fang et al. (2024)","plainTextFormattedCitation":"(Fang et al., 2024)","previouslyFormattedCitation":"(Fang et al., 2024)"},"properties":{"noteIndex":0},"schema":"https://github.com/citation-style-language/schema/raw/master/csl-citation.json"}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Fang et al.</w:t>
      </w:r>
      <w:r w:rsidR="009717CF">
        <w:rPr>
          <w:rFonts w:ascii="Arial" w:eastAsia="Calibri" w:hAnsi="Arial" w:cs="Arial"/>
          <w:noProof/>
          <w:lang w:val="en"/>
        </w:rPr>
        <w:t xml:space="preserve"> </w:t>
      </w:r>
      <w:r w:rsidR="00F31101">
        <w:rPr>
          <w:rFonts w:ascii="Arial" w:eastAsia="Calibri" w:hAnsi="Arial" w:cs="Arial"/>
          <w:noProof/>
          <w:lang w:val="en"/>
        </w:rPr>
        <w:t>(</w:t>
      </w:r>
      <w:r w:rsidR="00D64833" w:rsidRPr="004D5D1F">
        <w:rPr>
          <w:rFonts w:ascii="Arial" w:eastAsia="Calibri" w:hAnsi="Arial" w:cs="Arial"/>
          <w:noProof/>
          <w:lang w:val="en"/>
        </w:rPr>
        <w:t>2024)</w:t>
      </w:r>
      <w:r w:rsidR="00D64833" w:rsidRPr="004D5D1F">
        <w:rPr>
          <w:rFonts w:ascii="Arial" w:eastAsia="Calibri" w:hAnsi="Arial" w:cs="Arial"/>
          <w:lang w:val="en"/>
        </w:rPr>
        <w:fldChar w:fldCharType="end"/>
      </w:r>
      <w:bookmarkEnd w:id="5"/>
      <w:r w:rsidR="00D64833">
        <w:rPr>
          <w:rFonts w:ascii="Arial" w:eastAsia="Calibri" w:hAnsi="Arial" w:cs="Arial"/>
          <w:lang w:val="en"/>
        </w:rPr>
        <w:t xml:space="preserve"> </w:t>
      </w:r>
      <w:r w:rsidRPr="00DC4D13">
        <w:rPr>
          <w:rFonts w:ascii="Arial" w:eastAsia="Calibri" w:hAnsi="Arial" w:cs="Arial"/>
          <w:lang w:val="en"/>
        </w:rPr>
        <w:t xml:space="preserve">and supplier loyalty in the digital transformation era by </w:t>
      </w:r>
      <w:r w:rsidR="00D64833"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{"citationItems":[{"id":"ITEM-1","itemData":{"DOI":"10.3390/su15032827","ISSN":"20711050","abstract":"The development of fast-moving consumer goods (FMCGs) retail has demonstrated an evolution of buyer–seller interactions. In the era of digital transformation, FMCGs and micro, small, and medium enterprises (MSMEs) can easily use website applications to shop for various products from suppliers, make payments, and access a wider variety of products with more efficient delivery. However, empirical studies on loyalty drivers on B2B relationships for business sustainability in the retail industry have not received much attention. This research aimed to examine the factors that influence loyalty and analyze the mediating role of MSME loyalty by discussing a new conceptual framework designed based on the buyer–seller relationship theory and relational marketing. Data were collected from 500 owners or managers of FMCG retail stalls in various provinces in Indonesia and analyzed using structural equation modeling (SEM). The results showed that merchandising, website quality, commitment, and satisfaction have a positive effect on loyalty, as opposed to service quality and trust. There are also different roles in the mediating variables of trust, commitment, and satisfaction on retail store loyalty. These findings were useful for policymakers, managers, and practitioners to clarify the influence of service quality, merchandising website quality, and the role of relationship quality on loyalty in the era of digital transformation.","author":[{"dropping-particle":"","family":"Mujianto","given":"Mujianto","non-dropping-particle":"","parse-names":false,"suffix":""},{"dropping-particle":"","family":"Hartoyo","given":"Hartoyo","non-dropping-particle":"","parse-names":false,"suffix":""},{"dropping-particle":"","family":"Nurmalina","given":"Rita","non-dropping-particle":"","parse-names":false,"suffix":""},{"dropping-particle":"","family":"Yusuf","given":"Eva Z.","non-dropping-particle":"","parse-names":false,"suffix":""}],"container-title":"Sustainability (Switzerland)","id":"ITEM-1","issue":"3","issued":{"date-parts":[["2023","2"]]},"language":"English","page":"2827","publisher":"MDPI","publisher-place":"School of Business, IPB University, Jl. Raya Pajajaran, Bogor, 16151, Indonesia","title":"The Unraveling Loyalty Model of Traditional Retail to Suppliers for Business Sustainability in the Digital Transformation Era: Insight from MSMEs in Indonesia","type":"article-journal","volume":"15"},"uris":["http://www.mendeley.com/documents/?uuid=6ca1ccc9-85bb-4e8d-bf46-fc167d6b2955","http://www.mendeley.com/documents/?uuid=33976f14-31bd-4c5b-a414-1cbfefd58090"]}],"mendeley":{"formattedCitation":"(Mujianto et al., 2023)","manualFormatting":"Mujianto et al. (2023)","plainTextFormattedCitation":"(Mujianto et al., 2023)","previouslyFormattedCitation":"(Mujianto et al., 2023)"},"properties":{"noteIndex":0},"schema":"https://github.com/citation-style-language/schema/raw/master/csl-citation.json"}</w:instrText>
      </w:r>
      <w:r w:rsidR="00D64833" w:rsidRPr="004D5D1F">
        <w:rPr>
          <w:rFonts w:ascii="Arial" w:eastAsia="Calibri" w:hAnsi="Arial" w:cs="Arial"/>
          <w:lang w:val="en"/>
        </w:rPr>
        <w:fldChar w:fldCharType="separate"/>
      </w:r>
      <w:r w:rsidR="00D64833" w:rsidRPr="004D5D1F">
        <w:rPr>
          <w:rFonts w:ascii="Arial" w:eastAsia="Calibri" w:hAnsi="Arial" w:cs="Arial"/>
          <w:noProof/>
          <w:lang w:val="en"/>
        </w:rPr>
        <w:t>Mujianto et al.</w:t>
      </w:r>
      <w:r w:rsidR="009717CF">
        <w:rPr>
          <w:rFonts w:ascii="Arial" w:eastAsia="Calibri" w:hAnsi="Arial" w:cs="Arial"/>
          <w:noProof/>
          <w:lang w:val="en"/>
        </w:rPr>
        <w:t xml:space="preserve"> (</w:t>
      </w:r>
      <w:r w:rsidR="00D64833" w:rsidRPr="004D5D1F">
        <w:rPr>
          <w:rFonts w:ascii="Arial" w:eastAsia="Calibri" w:hAnsi="Arial" w:cs="Arial"/>
          <w:noProof/>
          <w:lang w:val="en"/>
        </w:rPr>
        <w:t>2023)</w:t>
      </w:r>
      <w:r w:rsidR="00D64833" w:rsidRPr="004D5D1F">
        <w:rPr>
          <w:rFonts w:ascii="Arial" w:eastAsia="Calibri" w:hAnsi="Arial" w:cs="Arial"/>
          <w:lang w:val="en"/>
        </w:rPr>
        <w:fldChar w:fldCharType="end"/>
      </w:r>
      <w:r w:rsidR="00D64833">
        <w:rPr>
          <w:rFonts w:ascii="Arial" w:eastAsia="Calibri" w:hAnsi="Arial" w:cs="Arial"/>
          <w:lang w:val="en"/>
        </w:rPr>
        <w:t xml:space="preserve">. </w:t>
      </w:r>
      <w:r w:rsidRPr="00DC4D13">
        <w:rPr>
          <w:rFonts w:ascii="Arial" w:eastAsia="Calibri" w:hAnsi="Arial" w:cs="Arial"/>
          <w:lang w:val="en"/>
        </w:rPr>
        <w:t>The keywords previously mentioned, like innovation in technology, digitization, and civic engagement, reveal that the effect of digital innovation transcends economic productivity to social relations and corporate governance changes.</w:t>
      </w:r>
    </w:p>
    <w:p w14:paraId="5BA1FA22" w14:textId="77F8C406" w:rsidR="00081EDE" w:rsidRDefault="00DC4D13" w:rsidP="00DC4D13">
      <w:pPr>
        <w:spacing w:after="0" w:line="276" w:lineRule="auto"/>
        <w:ind w:firstLine="567"/>
        <w:jc w:val="both"/>
        <w:rPr>
          <w:rFonts w:ascii="Arial" w:eastAsia="Calibri" w:hAnsi="Arial" w:cs="Arial"/>
          <w:lang w:val="en"/>
        </w:rPr>
      </w:pPr>
      <w:r w:rsidRPr="00DC4D13">
        <w:rPr>
          <w:rFonts w:ascii="Arial" w:eastAsia="Calibri" w:hAnsi="Arial" w:cs="Arial"/>
          <w:lang w:val="en"/>
        </w:rPr>
        <w:t xml:space="preserve">Third Cluster (Cluster #2) Concentrates on Public Participation and Citizen Engagement in Public Policy and Resource Management. With Silhouette value the highest among the other three clusters (0.777), this theme illustrates the coherence of issues in the study of community participation. Concerning groundwater resources management in Thailand </w:t>
      </w:r>
      <w:r w:rsidR="00F31101"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{"citationItems":[{"id":"ITEM-1","itemData":{"DOI":"10.1016/j.gsd.2019.100252","ISSN":"2352801X","abstract":"Researching citizens' sense of personal responsibility to engage in groundwater resource management, their perception of risks associated with potential threats to groundwater, their degrees of dependence on groundwater resources, and their socioeconomic characteristics, this study aimed to investigate how these variables predict citizens' engagement in groundwater resource management. Participation was divided into three categories: participation in obtaining groundwater information, in developing groundwater policies and strategies, and in implementing those policies. Thailand's Rayong Groundwater Basin—which currently faces various threats, such as seawater intrusion, erratic rainfall, and intensive use of groundwater for industrialization—was chosen as a case study. Questionnaire surveys were conducted with the participants who were selected based on a purposive method focusing on groundwater users in five sectors: the business and industrial, agricultural, household, environmental, and public organization sectors. The results of multiple regression analyses revealed that the sense of personal responsibility alone could not highly motivate groundwater users to engage in groundwater policy development and implementation. Perceived risks associated with potential threats to groundwater resources significantly influenced participation in developing and implementing groundwater policies. Users' degree of groundwater dependence also influenced their participation in obtaining information relevant to groundwater and in implementing policies. Males were determined to be more engaged in managing groundwater resources, particularly in obtaining information and implementing policies. This study suggests that a sense of personal responsibility and risk perceptions should be promoted together to enhance people's motivation and enthusiasm for cooperating with organizations responsible for sustainable groundwater management (GM).","author":[{"dropping-particle":"","family":"Piyapong","given":"Janmaimool","non-dropping-particle":"","parse-names":false,"suffix":""},{"dropping-particle":"","family":"Thidarat","given":"Bunsri","non-dropping-particle":"","parse-names":false,"suffix":""},{"dropping-particle":"","family":"Jaruwan","given":"Chontanawat","non-dropping-particle":"","parse-names":false,"suffix":""},{"dropping-particle":"","family":"Siriphan","given":"Nunsunanon","non-dropping-particle":"","parse-names":false,"suffix":""},{"dropping-particle":"","family":"Passanan","given":"Assavarak","non-dropping-particle":"","parse-names":false,"suffix":""}],"container-title":"Groundwater for Sustainable Development","id":"ITEM-1","issued":{"date-parts":[["2019","10"]]},"language":"English","page":"100252","publisher":"Elsevier B.V.","publisher-place":"Department of Social Sciences and Humanities, School of Liberal Arts, King Mongkut's University of Technology Thonburi, Bangkok, Thailand","title":"Enhancing citizens' sense of personal responsibility and risk perception for promoting public participation in sustainable groundwater resource management in Rayong Groundwater Basin, Thailand","type":"article-journal","volume":"9"},"uris":["http://www.mendeley.com/documents/?uuid=572282f1-abfd-4000-9d7a-d26172a275d6","http://www.mendeley.com/documents/?uuid=9b0937e7-45ce-4865-965f-3043ea900abe"]}],"mendeley":{"formattedCitation":"(Piyapong et al., 2019)","plainTextFormattedCitation":"(Piyapong et al., 2019)","previouslyFormattedCitation":"(Piyapong et al., 2019)"},"properties":{"noteIndex":0},"schema":"https://github.com/citation-style-language/schema/raw/master/csl-citation.json"}</w:instrText>
      </w:r>
      <w:r w:rsidR="00F31101" w:rsidRPr="004D5D1F">
        <w:rPr>
          <w:rFonts w:ascii="Arial" w:eastAsia="Calibri" w:hAnsi="Arial" w:cs="Arial"/>
          <w:lang w:val="en"/>
        </w:rPr>
        <w:fldChar w:fldCharType="separate"/>
      </w:r>
      <w:r w:rsidR="00F31101" w:rsidRPr="004D5D1F">
        <w:rPr>
          <w:rFonts w:ascii="Arial" w:eastAsia="Calibri" w:hAnsi="Arial" w:cs="Arial"/>
          <w:noProof/>
          <w:lang w:val="en"/>
        </w:rPr>
        <w:t>(Piyapong et al., 2019)</w:t>
      </w:r>
      <w:r w:rsidR="00F31101" w:rsidRPr="004D5D1F">
        <w:rPr>
          <w:rFonts w:ascii="Arial" w:eastAsia="Calibri" w:hAnsi="Arial" w:cs="Arial"/>
          <w:lang w:val="en"/>
        </w:rPr>
        <w:fldChar w:fldCharType="end"/>
      </w:r>
      <w:r w:rsidR="00F31101" w:rsidRPr="004D5D1F">
        <w:rPr>
          <w:rFonts w:ascii="Arial" w:eastAsia="Calibri" w:hAnsi="Arial" w:cs="Arial"/>
          <w:lang w:val="en"/>
        </w:rPr>
        <w:t xml:space="preserve">. </w:t>
      </w:r>
      <w:r w:rsidRPr="00DC4D13">
        <w:rPr>
          <w:rFonts w:ascii="Arial" w:eastAsia="Calibri" w:hAnsi="Arial" w:cs="Arial"/>
          <w:lang w:val="en"/>
        </w:rPr>
        <w:t xml:space="preserve">and “The Failure of E-Government in Developing Countries” </w:t>
      </w:r>
      <w:r w:rsidR="00F31101"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{"citationItems":[{"id":"ITEM-1","itemData":{"DOI":"10.1080/02681102.2016.1269713","ISSN":"15540170","abstract":"This research aims to investigate the underlying process-based causes of e-government failure. Through the lens of actor-network theory, this paper presents a process-oriented study of the failure of Thailand’s Smart ID Card project. Adding to the extant knowledge on e-government failures that attributes this phenomenon to internal and external factors, this paper argues that the reason the project failed was a cumulative process of failure to create and maintain the actor-network. Policy implications for developing countries to efficiently manage their e-government initiatives are given, such as adopting an open principle in setting e-government project objectives and initiating the actor-network; implementing the e-government target in stages based on prepared environment; allowing an e-government system to evolve according to the degree of readiness in the information and communications technology (ICT) system design, implementation and local adoption; and including large, nationwide projects as part of a national informatization strategy.","author":[{"dropping-particle":"","family":"Gunawong","given":"Panom","non-dropping-particle":"","parse-names":false,"suffix":""},{"dropping-particle":"","family":"Gao","given":"Ping","non-dropping-particle":"","parse-names":false,"suffix":""}],"container-title":"Information Technology for Development","id":"ITEM-1","issue":"1","issued":{"date-parts":[["2017","1"]]},"language":"English","page":"153-178","publisher":"Routledge","publisher-place":"School of Public Administration, Faculty of Political Science and Public Administration, Chiang Mai University, Chiang Mai, Thailand","title":"Understanding e-government failure in the developing country context: a process-oriented study","type":"article-journal","volume":"23"},"uris":["http://www.mendeley.com/documents/?uuid=782b8e34-f4ce-4370-950a-f5b5b972ff4b","http://www.mendeley.com/documents/?uuid=fd6cbc18-3083-4bfa-ac90-50398f3614b6"]}],"mendeley":{"formattedCitation":"(Gunawong &amp; Gao, 2017)","manualFormatting":"Gunawong &amp; Gao (2017)","plainTextFormattedCitation":"(Gunawong &amp; Gao, 2017)","previouslyFormattedCitation":"(Gunawong &amp; Gao, 2017)"},"properties":{"noteIndex":0},"schema":"https://github.com/citation-style-language/schema/raw/master/csl-citation.json"}</w:instrText>
      </w:r>
      <w:r w:rsidR="00F31101" w:rsidRPr="004D5D1F">
        <w:rPr>
          <w:rFonts w:ascii="Arial" w:eastAsia="Calibri" w:hAnsi="Arial" w:cs="Arial"/>
          <w:lang w:val="en"/>
        </w:rPr>
        <w:fldChar w:fldCharType="separate"/>
      </w:r>
      <w:r w:rsidR="00F31101" w:rsidRPr="004D5D1F">
        <w:rPr>
          <w:rFonts w:ascii="Arial" w:eastAsia="Calibri" w:hAnsi="Arial" w:cs="Arial"/>
          <w:noProof/>
          <w:lang w:val="en"/>
        </w:rPr>
        <w:t xml:space="preserve">Gunawong &amp; Gao </w:t>
      </w:r>
      <w:r w:rsidR="00E56E3C">
        <w:rPr>
          <w:rFonts w:ascii="Arial" w:eastAsia="Calibri" w:hAnsi="Arial" w:cs="Arial"/>
          <w:noProof/>
          <w:lang w:val="en"/>
        </w:rPr>
        <w:t>(</w:t>
      </w:r>
      <w:r w:rsidR="00F31101" w:rsidRPr="004D5D1F">
        <w:rPr>
          <w:rFonts w:ascii="Arial" w:eastAsia="Calibri" w:hAnsi="Arial" w:cs="Arial"/>
          <w:noProof/>
          <w:lang w:val="en"/>
        </w:rPr>
        <w:t>2017)</w:t>
      </w:r>
      <w:r w:rsidR="00F31101" w:rsidRPr="004D5D1F">
        <w:rPr>
          <w:rFonts w:ascii="Arial" w:eastAsia="Calibri" w:hAnsi="Arial" w:cs="Arial"/>
          <w:lang w:val="en"/>
        </w:rPr>
        <w:fldChar w:fldCharType="end"/>
      </w:r>
      <w:r w:rsidR="00F31101">
        <w:rPr>
          <w:rFonts w:ascii="Arial" w:eastAsia="Calibri" w:hAnsi="Arial" w:cs="Arial"/>
          <w:lang w:val="en"/>
        </w:rPr>
        <w:t xml:space="preserve"> </w:t>
      </w:r>
      <w:r w:rsidRPr="00DC4D13">
        <w:rPr>
          <w:rFonts w:ascii="Arial" w:eastAsia="Calibri" w:hAnsi="Arial" w:cs="Arial"/>
          <w:lang w:val="en"/>
        </w:rPr>
        <w:t>illustrates the relationship between policy awareness, policy construction, and the achievement of digital innovation. Dominant keywords, including public participation, local participation, and public policy, demonstrate that the achievement of digital governance rests on local governments</w:t>
      </w:r>
      <w:r>
        <w:rPr>
          <w:rFonts w:ascii="Arial" w:eastAsia="Calibri" w:hAnsi="Arial" w:cs="Arial"/>
          <w:lang w:val="en"/>
        </w:rPr>
        <w:t>”</w:t>
      </w:r>
      <w:r w:rsidRPr="00DC4D13">
        <w:rPr>
          <w:rFonts w:ascii="Arial" w:eastAsia="Calibri" w:hAnsi="Arial" w:cs="Arial"/>
          <w:lang w:val="en"/>
        </w:rPr>
        <w:t xml:space="preserve"> participatory legitimacy and responsiveness.</w:t>
      </w:r>
    </w:p>
    <w:p w14:paraId="7BF4DD88" w14:textId="7BE3AB34" w:rsidR="00DC4D13" w:rsidRPr="00DC4D13" w:rsidRDefault="00DC4D13" w:rsidP="00DC4D13">
      <w:pPr>
        <w:spacing w:after="0" w:line="276" w:lineRule="auto"/>
        <w:jc w:val="both"/>
        <w:rPr>
          <w:rFonts w:ascii="Arial" w:hAnsi="Arial" w:cs="Arial"/>
          <w:b/>
          <w:i/>
          <w:szCs w:val="20"/>
        </w:rPr>
      </w:pPr>
      <w:r w:rsidRPr="00DC4D13">
        <w:rPr>
          <w:rFonts w:ascii="Arial" w:hAnsi="Arial" w:cs="Arial"/>
          <w:b/>
          <w:i/>
          <w:szCs w:val="20"/>
        </w:rPr>
        <w:t>Digital Innovations in Local Governance in Southeast Asia</w:t>
      </w:r>
    </w:p>
    <w:p w14:paraId="0D88ADEB" w14:textId="77777777" w:rsidR="00081EDE" w:rsidRPr="004D5D1F" w:rsidRDefault="00081EDE" w:rsidP="00081EDE">
      <w:pPr>
        <w:spacing w:after="0" w:line="276" w:lineRule="auto"/>
        <w:jc w:val="center"/>
        <w:rPr>
          <w:rFonts w:ascii="Arial" w:eastAsia="Calibri" w:hAnsi="Arial" w:cs="Arial"/>
          <w:b/>
          <w:iCs/>
        </w:rPr>
      </w:pPr>
      <w:bookmarkStart w:id="6" w:name="_Hlk201504514"/>
      <w:r w:rsidRPr="004D5D1F">
        <w:rPr>
          <w:rFonts w:ascii="Arial" w:eastAsia="Calibri" w:hAnsi="Arial" w:cs="Arial"/>
          <w:b/>
          <w:iCs/>
        </w:rPr>
        <w:t>Table 2. Digital Innovations in Local Governance in Southeast Asia</w:t>
      </w:r>
    </w:p>
    <w:tbl>
      <w:tblPr>
        <w:tblStyle w:val="TableGrid"/>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184"/>
        <w:gridCol w:w="1586"/>
        <w:gridCol w:w="1733"/>
        <w:gridCol w:w="1574"/>
        <w:gridCol w:w="1861"/>
      </w:tblGrid>
      <w:tr w:rsidR="00081EDE" w:rsidRPr="00022A8F" w14:paraId="65E817C5" w14:textId="77777777" w:rsidTr="004D5D1F">
        <w:trPr>
          <w:tblHeader/>
        </w:trPr>
        <w:tc>
          <w:tcPr>
            <w:tcW w:w="0" w:type="auto"/>
            <w:vAlign w:val="center"/>
          </w:tcPr>
          <w:p w14:paraId="4F84CF29"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Country</w:t>
            </w:r>
          </w:p>
        </w:tc>
        <w:tc>
          <w:tcPr>
            <w:tcW w:w="0" w:type="auto"/>
            <w:vAlign w:val="center"/>
          </w:tcPr>
          <w:p w14:paraId="350C39FA"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Digital Innovation</w:t>
            </w:r>
          </w:p>
        </w:tc>
        <w:tc>
          <w:tcPr>
            <w:tcW w:w="0" w:type="auto"/>
            <w:vAlign w:val="center"/>
          </w:tcPr>
          <w:p w14:paraId="3118FCBE"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Form of Efficiency</w:t>
            </w:r>
          </w:p>
        </w:tc>
        <w:tc>
          <w:tcPr>
            <w:tcW w:w="0" w:type="auto"/>
            <w:vAlign w:val="center"/>
          </w:tcPr>
          <w:p w14:paraId="26A4E575"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Form of Participation</w:t>
            </w:r>
          </w:p>
        </w:tc>
        <w:tc>
          <w:tcPr>
            <w:tcW w:w="0" w:type="auto"/>
            <w:vAlign w:val="center"/>
          </w:tcPr>
          <w:p w14:paraId="1F038A94"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Source</w:t>
            </w:r>
          </w:p>
        </w:tc>
      </w:tr>
      <w:tr w:rsidR="00081EDE" w:rsidRPr="00022A8F" w14:paraId="7589639E" w14:textId="77777777" w:rsidTr="00E2513C">
        <w:tc>
          <w:tcPr>
            <w:tcW w:w="0" w:type="auto"/>
            <w:vMerge w:val="restart"/>
            <w:vAlign w:val="center"/>
          </w:tcPr>
          <w:p w14:paraId="13E4CFC3"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Indonesia</w:t>
            </w:r>
          </w:p>
        </w:tc>
        <w:tc>
          <w:tcPr>
            <w:tcW w:w="0" w:type="auto"/>
          </w:tcPr>
          <w:p w14:paraId="4C033498"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West Java Digital Service (JDS)</w:t>
            </w:r>
          </w:p>
        </w:tc>
        <w:tc>
          <w:tcPr>
            <w:tcW w:w="0" w:type="auto"/>
          </w:tcPr>
          <w:p w14:paraId="3205935F"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Improves efficiency and accuracy of community data policies</w:t>
            </w:r>
          </w:p>
        </w:tc>
        <w:tc>
          <w:tcPr>
            <w:tcW w:w="0" w:type="auto"/>
          </w:tcPr>
          <w:p w14:paraId="1AF3696C"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Joint decision-making with stakeholders</w:t>
            </w:r>
          </w:p>
        </w:tc>
        <w:tc>
          <w:tcPr>
            <w:tcW w:w="0" w:type="auto"/>
          </w:tcPr>
          <w:p w14:paraId="072019C6" w14:textId="4430AB93"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fldChar w:fldCharType="begin" w:fldLock="1"/>
            </w:r>
            <w:r w:rsidR="009717CF">
              <w:rPr>
                <w:rFonts w:ascii="Arial" w:hAnsi="Arial" w:cs="Arial"/>
                <w:sz w:val="20"/>
                <w:szCs w:val="20"/>
              </w:rPr>
              <w:instrText>ADDIN CSL_CITATION {"citationItems":[{"id":"ITEM-1","itemData":{"DOI":"10.2478/nispa-2024-0005","ISSN":"1338-4309","abstract":"Digital transformation changes how private and public organisations conduct their business, stressing the importance of collaboration with various stakeholders. The public sector, especially local government, is forced by citizens’ demands to change how it operates. This research examines the characteristics of existing literature on collaborative governance and digital transformation and explores the unevenness of digital transformation due to the broad autonomy granted to local governments. Qualitative methods were used, conducting in-depth interviews, advanced observations, and detailed data collection from government agencies, NGOs, and citizens of West Java, Indonesia. The enquiries reveal that governments faces silos and fragmented approaches. The results contribute to the literature, serve as a reference for improving the role of local government in collaborative digital transformation, and provide greater legitimacy in the public policy process. In the context of local government, the success of digital transformation initiatives in West Java can be attributed to effective collaboration and facilitative leadership from implementing the Penta-helix strategy and establishing Jabar Digital Service (JDS) as a dedicated unit for managing digital transformation.","author":[{"dropping-particle":"","family":"Maulana","given":"Rio Yusri","non-dropping-particle":"","parse-names":false,"suffix":""},{"dropping-particle":"","family":"Durnik","given":"Mitja","non-dropping-particle":"","parse-names":false,"suffix":""},{"dropping-particle":"","family":"Decman","given":"Mitja","non-dropping-particle":"","parse-names":false,"suffix":""}],"container-title":"NISPAcee Journal of Public Administration and Policy","id":"ITEM-1","issue":"1","issued":{"date-parts":[["2024","6","1"]]},"language":"English","note":"Export Date: 22 June 2025; Cited By: 0","page":"94-119","publisher":"Sciendo","publisher-place":"Universitas Jambi, Department of Government, Indonesia","title":"Collaborative Approach on Digital Government Transformation: In-Depth Analysis from Expert Interview","type":"article-journal","volume":"17"},"uris":["http://www.mendeley.com/documents/?uuid=d13322c5-e8b1-4144-826e-8cd219e55acf"]}],"mendeley":{"formattedCitation":"(Maulana et al., 2024)","plainTextFormattedCitation":"(Maulana et al., 2024)","previouslyFormattedCitation":"(Maulana et al., 2024)"},"properties":{"noteIndex":0},"schema":"https://github.com/citation-style-language/schema/raw/master/csl-citation.json"}</w:instrText>
            </w:r>
            <w:r w:rsidRPr="00022A8F">
              <w:rPr>
                <w:rFonts w:ascii="Arial" w:hAnsi="Arial" w:cs="Arial"/>
                <w:sz w:val="20"/>
                <w:szCs w:val="20"/>
              </w:rPr>
              <w:fldChar w:fldCharType="separate"/>
            </w:r>
            <w:r w:rsidR="004D5D1F" w:rsidRPr="004D5D1F">
              <w:rPr>
                <w:rFonts w:ascii="Arial" w:hAnsi="Arial" w:cs="Arial"/>
                <w:noProof/>
                <w:sz w:val="20"/>
                <w:szCs w:val="20"/>
              </w:rPr>
              <w:t>(Maulana et al., 2024)</w:t>
            </w:r>
            <w:r w:rsidRPr="00022A8F">
              <w:rPr>
                <w:rFonts w:ascii="Arial" w:hAnsi="Arial" w:cs="Arial"/>
                <w:sz w:val="20"/>
                <w:szCs w:val="20"/>
              </w:rPr>
              <w:fldChar w:fldCharType="end"/>
            </w:r>
          </w:p>
        </w:tc>
      </w:tr>
      <w:tr w:rsidR="00081EDE" w:rsidRPr="00022A8F" w14:paraId="66852644" w14:textId="77777777" w:rsidTr="00E2513C">
        <w:tc>
          <w:tcPr>
            <w:tcW w:w="0" w:type="auto"/>
            <w:vMerge/>
            <w:vAlign w:val="center"/>
          </w:tcPr>
          <w:p w14:paraId="32BFA86C" w14:textId="77777777" w:rsidR="00081EDE" w:rsidRPr="00022A8F" w:rsidRDefault="00081EDE" w:rsidP="00E2513C">
            <w:pPr>
              <w:spacing w:line="276" w:lineRule="auto"/>
              <w:jc w:val="center"/>
              <w:rPr>
                <w:rFonts w:ascii="Arial" w:hAnsi="Arial" w:cs="Arial"/>
                <w:sz w:val="20"/>
                <w:szCs w:val="20"/>
              </w:rPr>
            </w:pPr>
          </w:p>
        </w:tc>
        <w:tc>
          <w:tcPr>
            <w:tcW w:w="0" w:type="auto"/>
          </w:tcPr>
          <w:p w14:paraId="7DAD132B"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e-</w:t>
            </w:r>
            <w:proofErr w:type="spellStart"/>
            <w:r w:rsidRPr="00022A8F">
              <w:rPr>
                <w:rFonts w:ascii="Arial" w:hAnsi="Arial" w:cs="Arial"/>
                <w:sz w:val="20"/>
                <w:szCs w:val="20"/>
              </w:rPr>
              <w:t>Musrenbang</w:t>
            </w:r>
            <w:proofErr w:type="spellEnd"/>
          </w:p>
        </w:tc>
        <w:tc>
          <w:tcPr>
            <w:tcW w:w="0" w:type="auto"/>
          </w:tcPr>
          <w:p w14:paraId="73C553F3"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Enhances transparency and accountability in city planning</w:t>
            </w:r>
          </w:p>
        </w:tc>
        <w:tc>
          <w:tcPr>
            <w:tcW w:w="0" w:type="auto"/>
          </w:tcPr>
          <w:p w14:paraId="743290E1"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Digital public participation mechanism</w:t>
            </w:r>
          </w:p>
        </w:tc>
        <w:tc>
          <w:tcPr>
            <w:tcW w:w="0" w:type="auto"/>
          </w:tcPr>
          <w:p w14:paraId="52ECEE77" w14:textId="46C76C0F"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fldChar w:fldCharType="begin" w:fldLock="1"/>
            </w:r>
            <w:r w:rsidR="009717CF">
              <w:rPr>
                <w:rFonts w:ascii="Arial" w:hAnsi="Arial" w:cs="Arial"/>
                <w:sz w:val="20"/>
                <w:szCs w:val="20"/>
              </w:rPr>
              <w:instrText>ADDIN CSL_CITATION {"citationItems":[{"id":"ITEM-1","itemData":{"DOI":"10.3828/IDPR.2021.5","ISSN":"14783401","abstract":"It has been a longstanding mission of policymakers, good governance activists and scholars to encourage greater public participation in formulating legal drafts for better city planning. In recent years, emphasis has been placed upon digital engagement as a process which arguably allows more citizens to voice their needs and desires. In Indonesia, an example of such practices can be seen in the e-musrenbang platform, a digital version of a local public participation mechanism in city planning. This study highlights the case of Bandung City of Indonesia by shedding light on the implemented mechanism of e-musrenbang and the stakeholders involved as well as perceptions from its participants. The findings suggest that e-musrenbang has enhanced the transparency and accountability of the overall planning process, however, it has failed to deliver on promises to channel the voices of citizens and solve existing issues of participation.","author":[{"dropping-particle":"","family":"Anindito","given":"Dhimas Bayu","non-dropping-particle":"","parse-names":false,"suffix":""},{"dropping-particle":"","family":"Sagala","given":"Saut A.H.","non-dropping-particle":"","parse-names":false,"suffix":""},{"dropping-particle":"","family":"Tarigan","given":"Ari Krisna Mawira","non-dropping-particle":"","parse-names":false,"suffix":""}],"container-title":"International Development Planning Review","id":"ITEM-1","issue":"2","issued":{"date-parts":[["2022","4"]]},"language":"English","note":"Export Date: 22 June 2025; Cited By: 4","page":"191-216","publisher":"Liverpool University Press","publisher-place":"Department of Architecture and Planning, Universitas Gadjah Mada, Jalan Grafika No 2, Sekip, Yogyakarta, 55281, Indonesia","title":"E-musrenbang: A digital framework for local participatory planning at the community level","type":"article-journal","volume":"44"},"uris":["http://www.mendeley.com/documents/?uuid=e10ee054-a508-4581-801e-9b570c5cdd5f"]}],"mendeley":{"formattedCitation":"(Anindito et al., 2022)","plainTextFormattedCitation":"(Anindito et al., 2022)","previouslyFormattedCitation":"(Anindito et al., 2022)"},"properties":{"noteIndex":0},"schema":"https://github.com/citation-style-language/schema/raw/master/csl-citation.json"}</w:instrText>
            </w:r>
            <w:r w:rsidRPr="00022A8F">
              <w:rPr>
                <w:rFonts w:ascii="Arial" w:hAnsi="Arial" w:cs="Arial"/>
                <w:sz w:val="20"/>
                <w:szCs w:val="20"/>
              </w:rPr>
              <w:fldChar w:fldCharType="separate"/>
            </w:r>
            <w:r w:rsidR="004D5D1F" w:rsidRPr="004D5D1F">
              <w:rPr>
                <w:rFonts w:ascii="Arial" w:hAnsi="Arial" w:cs="Arial"/>
                <w:noProof/>
                <w:sz w:val="20"/>
                <w:szCs w:val="20"/>
              </w:rPr>
              <w:t>(Anindito et al., 2022)</w:t>
            </w:r>
            <w:r w:rsidRPr="00022A8F">
              <w:rPr>
                <w:rFonts w:ascii="Arial" w:hAnsi="Arial" w:cs="Arial"/>
                <w:sz w:val="20"/>
                <w:szCs w:val="20"/>
              </w:rPr>
              <w:fldChar w:fldCharType="end"/>
            </w:r>
          </w:p>
        </w:tc>
      </w:tr>
      <w:tr w:rsidR="00081EDE" w:rsidRPr="00022A8F" w14:paraId="289B2959" w14:textId="77777777" w:rsidTr="00E2513C">
        <w:tc>
          <w:tcPr>
            <w:tcW w:w="0" w:type="auto"/>
            <w:vMerge/>
            <w:vAlign w:val="center"/>
          </w:tcPr>
          <w:p w14:paraId="1D19F325" w14:textId="77777777" w:rsidR="00081EDE" w:rsidRPr="00022A8F" w:rsidRDefault="00081EDE" w:rsidP="00E2513C">
            <w:pPr>
              <w:spacing w:line="276" w:lineRule="auto"/>
              <w:jc w:val="center"/>
              <w:rPr>
                <w:rFonts w:ascii="Arial" w:hAnsi="Arial" w:cs="Arial"/>
                <w:sz w:val="20"/>
                <w:szCs w:val="20"/>
              </w:rPr>
            </w:pPr>
          </w:p>
        </w:tc>
        <w:tc>
          <w:tcPr>
            <w:tcW w:w="0" w:type="auto"/>
          </w:tcPr>
          <w:p w14:paraId="07919043"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Digital Land Administration</w:t>
            </w:r>
          </w:p>
        </w:tc>
        <w:tc>
          <w:tcPr>
            <w:tcW w:w="0" w:type="auto"/>
          </w:tcPr>
          <w:p w14:paraId="76580831" w14:textId="1F83C2C2"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 xml:space="preserve">Modernization of land registration and </w:t>
            </w:r>
            <w:r w:rsidR="00022A8F" w:rsidRPr="00022A8F">
              <w:rPr>
                <w:rFonts w:ascii="Arial" w:hAnsi="Arial" w:cs="Arial"/>
                <w:sz w:val="20"/>
                <w:szCs w:val="20"/>
              </w:rPr>
              <w:t>improving</w:t>
            </w:r>
            <w:r w:rsidRPr="00022A8F">
              <w:rPr>
                <w:rFonts w:ascii="Arial" w:hAnsi="Arial" w:cs="Arial"/>
                <w:sz w:val="20"/>
                <w:szCs w:val="20"/>
              </w:rPr>
              <w:t xml:space="preserve"> data accuracy</w:t>
            </w:r>
          </w:p>
        </w:tc>
        <w:tc>
          <w:tcPr>
            <w:tcW w:w="0" w:type="auto"/>
          </w:tcPr>
          <w:p w14:paraId="2A3F464C"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Ensure access to digital services for vulnerable communities</w:t>
            </w:r>
          </w:p>
        </w:tc>
        <w:tc>
          <w:tcPr>
            <w:tcW w:w="0" w:type="auto"/>
          </w:tcPr>
          <w:p w14:paraId="5878AD3F" w14:textId="0384C485"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fldChar w:fldCharType="begin" w:fldLock="1"/>
            </w:r>
            <w:r w:rsidR="009717CF">
              <w:rPr>
                <w:rFonts w:ascii="Arial" w:hAnsi="Arial" w:cs="Arial"/>
                <w:sz w:val="20"/>
                <w:szCs w:val="20"/>
              </w:rPr>
              <w:instrText>ADDIN CSL_CITATION {"citationItems":[{"id":"ITEM-1","itemData":{"DOI":"10.1201/9781003349518-7","ISBN":"9781000996456","abstract":"Land administration in Indonesia is embracing digital transformation. The key agency, the Ministry of Agrarian and Spatial Planning/National Land Agency, Indonesia (ATR/BPN) undertakes a digitally driven, nationwide, systematic land registration program to complete mapping of its estimated 126 million land parcels. It is modernizing its national data centre IT infrastructure and upgrading the data, processes, and facilities of its more than 400 local land offices. It is also developing a suite of online e-services to eventually move towards full digital service provision. The size and scale of the digital transformation initiatives invites much international interest. This chapter therefore provides a more contemporary snapshot of the status and prospects of digital transformation within ATR/BPN. The United Nations Committee of Experts on Global Geospatial Information Management (UN-GGIM) Integrated Geospatial Information Framework (IGIF) and the related Framework for Effective Land Administration Management (FELA) are applied. The 9 strategic pathways are analysed in the context of ATR/BPN using workshops, webinars, and available documentation. Overall, ATR/BPN is on a trajectory towards full digital transformation. Relevant policies and laws are either enacted or revisited to support digital initiatives. The organisation is financially sound and can support further digitalisation developments. It is renewing and re-skilling its digitally enabled workforce to work. The most pressing challenge is its legacy digital data and paper-based systems, low data quality, and public trust. Access to digital services for vulnerable communities is also a concern, although ATR/BPN recognizes the need to leave no one behind, and therefore face-to-face services will remain for some time to come. There is an opportunity for better collaboration with other ministries, NGOs, and the private sector. Most pressing is the need to formalise approaches to standards and partnerships. The chapter concludes with recommending 13 action items to further support the digital transformation agenda.","author":[{"dropping-particle":"","family":"Bennett","given":"Rohan Mark","non-dropping-particle":"","parse-names":false,"suffix":""},{"dropping-particle":"","family":"Hutabarat","given":"Indra Roharatua","non-dropping-particle":"","parse-names":false,"suffix":""},{"dropping-particle":"","family":"Unger","given":"Eva-Maria","non-dropping-particle":"","parse-names":false,"suffix":""},{"dropping-particle":"","family":"Ginting","given":"Clava Pratama","non-dropping-particle":"","parse-names":false,"suffix":""},{"dropping-particle":"","family":"Vegt","given":"Haico","non-dropping-particle":"van der","parse-names":false,"suffix":""},{"dropping-particle":"","family":"Latif","given":"Aulia","non-dropping-particle":"","parse-names":false,"suffix":""}],"container-title":"Geospatial Science for Smart Land Management","id":"ITEM-1","issued":{"date-parts":[["2023","11","29"]]},"language":"English","note":"Export Date: 22 June 2025; Cited By: 2","page":"43-67","publisher":"CRC Press","publisher-place":"Boca Raton","title":"Digital Transformation in Indonesian Land Administration","type":"chapter"},"uris":["http://www.mendeley.com/documents/?uuid=3dc7f81f-e9df-4fa3-b684-1f7156291946","http://www.mendeley.com/documents/?uuid=a06e9133-109b-4daa-9190-1898e5eebc20"]}],"mendeley":{"formattedCitation":"(Bennett et al., 2023)","plainTextFormattedCitation":"(Bennett et al., 2023)","previouslyFormattedCitation":"(Bennett et al., 2023)"},"properties":{"noteIndex":0},"schema":"https://github.com/citation-style-language/schema/raw/master/csl-citation.json"}</w:instrText>
            </w:r>
            <w:r w:rsidRPr="00022A8F">
              <w:rPr>
                <w:rFonts w:ascii="Arial" w:hAnsi="Arial" w:cs="Arial"/>
                <w:sz w:val="20"/>
                <w:szCs w:val="20"/>
              </w:rPr>
              <w:fldChar w:fldCharType="separate"/>
            </w:r>
            <w:r w:rsidR="004D5D1F" w:rsidRPr="004D5D1F">
              <w:rPr>
                <w:rFonts w:ascii="Arial" w:hAnsi="Arial" w:cs="Arial"/>
                <w:noProof/>
                <w:sz w:val="20"/>
                <w:szCs w:val="20"/>
              </w:rPr>
              <w:t>(Bennett et al., 2023)</w:t>
            </w:r>
            <w:r w:rsidRPr="00022A8F">
              <w:rPr>
                <w:rFonts w:ascii="Arial" w:hAnsi="Arial" w:cs="Arial"/>
                <w:sz w:val="20"/>
                <w:szCs w:val="20"/>
              </w:rPr>
              <w:fldChar w:fldCharType="end"/>
            </w:r>
          </w:p>
        </w:tc>
      </w:tr>
      <w:tr w:rsidR="00081EDE" w:rsidRPr="00022A8F" w14:paraId="06BCB0BD" w14:textId="77777777" w:rsidTr="00E2513C">
        <w:tc>
          <w:tcPr>
            <w:tcW w:w="0" w:type="auto"/>
            <w:vAlign w:val="center"/>
          </w:tcPr>
          <w:p w14:paraId="638DFE8A"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Malaysia</w:t>
            </w:r>
          </w:p>
        </w:tc>
        <w:tc>
          <w:tcPr>
            <w:tcW w:w="0" w:type="auto"/>
          </w:tcPr>
          <w:p w14:paraId="596AF1B6"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Smart City Governance (Kuala Lumpur)</w:t>
            </w:r>
          </w:p>
        </w:tc>
        <w:tc>
          <w:tcPr>
            <w:tcW w:w="0" w:type="auto"/>
          </w:tcPr>
          <w:p w14:paraId="76C7BD70"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Enhances public service quality through ICT</w:t>
            </w:r>
          </w:p>
        </w:tc>
        <w:tc>
          <w:tcPr>
            <w:tcW w:w="0" w:type="auto"/>
          </w:tcPr>
          <w:p w14:paraId="67BB6839"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Increases citizen participation via social media and government apps</w:t>
            </w:r>
          </w:p>
        </w:tc>
        <w:tc>
          <w:tcPr>
            <w:tcW w:w="0" w:type="auto"/>
          </w:tcPr>
          <w:p w14:paraId="1B9A3A56" w14:textId="2511C5D0"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fldChar w:fldCharType="begin" w:fldLock="1"/>
            </w:r>
            <w:r w:rsidR="009717CF">
              <w:rPr>
                <w:rFonts w:ascii="Arial" w:hAnsi="Arial" w:cs="Arial"/>
                <w:sz w:val="20"/>
                <w:szCs w:val="20"/>
              </w:rPr>
              <w:instrText>ADDIN CSL_CITATION {"citationItems":[{"id":"ITEM-1","itemData":{"DOI":"10.1051/e3sconf/202344003027","ISSN":"22671242","abstract":"The implementation of Smart City Governance (SCG) in Southeast Asia has gained attention as a way to improve urban life by integrating Information and Communication Technology (ICT) and citizen participation. This study examines the implementation of SCG in two Southeast Asian cities, Jakarta, Indonesia, and Kuala Lumpur, Malaysia, through online news articles analysis and data Twitter. The study employs a qualitative research method using NVivo 12 Plus software for data analysis. The study finds that the use of ICT in smart city governance in Jakarta and Kuala Lumpur has increased citizen participation through social media and government apps, especially Twitter. Analysis of Twitter data highlights the importance of monitoring public sentiment and differences in views related to the implementation of smart city governance. Citizen participation has a significant impact in improving transparency and the quality of public services. Digital inclusion is key in ensuring inclusive citizen participation and overcoming gaps in access. The study recommends that Jakarta can learn from Kuala Lumpur's success and enhance its communication strategies to increase public awareness and participation while also improving the quality and accessibility of ICT services to facilitate citizen engagement. This research provides insights for policymakers and practitioners in the development of SCG in Southeast Asia.","author":[{"dropping-particle":"","family":"Mutiarin","given":"Dyah","non-dropping-particle":"","parse-names":false,"suffix":""},{"dropping-particle":"","family":"Lawelai","given":"Herman","non-dropping-particle":"","parse-names":false,"suffix":""}],"container-title":"E3S Web of Conferences","editor":[{"dropping-particle":"","family":"Mutiarin","given":"D.","non-dropping-particle":"","parse-names":false,"suffix":""},{"dropping-particle":"","family":"Alam","given":"M.","non-dropping-particle":"","parse-names":false,"suffix":""},{"dropping-particle":"","family":"Cahill","given":"D.","non-dropping-particle":"","parse-names":false,"suffix":""},{"dropping-particle":"","family":"Sharifuddin","given":"J.","non-dropping-particle":"","parse-names":false,"suffix":""},{"dropping-particle":"","family":"Senge","given":"M.","non-dropping-particle":"","parse-names":false,"suffix":""},{"dropping-particle":"","family":"Robani","given":"A.","non-dropping-particle":"","parse-names":false,"suffix":""},{"dropping-particle":"","family":"Saiyut","given":"P.","non-dropping-particle":"","parse-names":false,"suffix":""},{"dropping-particle":"","family":"Nurmandi","given":"A.","non-dropping-particle":"","parse-names":false,"suffix":""}],"id":"ITEM-1","issued":{"date-parts":[["2023","11","1"]]},"page":"03027","title":"Optimizing the Role of ICT and Citizen Participation: Analysis of Smart City Governance Implementation in Jakarta, Indonesia and Kuala Lumpur, Malaysia","type":"article-journal","volume":"440"},"uris":["http://www.mendeley.com/documents/?uuid=ce8b6304-8d09-4cb7-86fa-325db7d7af9c","http://www.mendeley.com/documents/?uuid=6241e6bc-036f-4387-ae49-cd4765a5ced7"]}],"mendeley":{"formattedCitation":"(Mutiarin &amp; Lawelai, 2023)","plainTextFormattedCitation":"(Mutiarin &amp; Lawelai, 2023)","previouslyFormattedCitation":"(Mutiarin &amp; Lawelai, 2023)"},"properties":{"noteIndex":0},"schema":"https://github.com/citation-style-language/schema/raw/master/csl-citation.json"}</w:instrText>
            </w:r>
            <w:r w:rsidRPr="00022A8F">
              <w:rPr>
                <w:rFonts w:ascii="Arial" w:hAnsi="Arial" w:cs="Arial"/>
                <w:sz w:val="20"/>
                <w:szCs w:val="20"/>
              </w:rPr>
              <w:fldChar w:fldCharType="separate"/>
            </w:r>
            <w:r w:rsidR="004D5D1F" w:rsidRPr="004D5D1F">
              <w:rPr>
                <w:rFonts w:ascii="Arial" w:hAnsi="Arial" w:cs="Arial"/>
                <w:noProof/>
                <w:sz w:val="20"/>
                <w:szCs w:val="20"/>
              </w:rPr>
              <w:t>(Mutiarin &amp; Lawelai, 2023)</w:t>
            </w:r>
            <w:r w:rsidRPr="00022A8F">
              <w:rPr>
                <w:rFonts w:ascii="Arial" w:hAnsi="Arial" w:cs="Arial"/>
                <w:sz w:val="20"/>
                <w:szCs w:val="20"/>
              </w:rPr>
              <w:fldChar w:fldCharType="end"/>
            </w:r>
          </w:p>
        </w:tc>
      </w:tr>
      <w:tr w:rsidR="00081EDE" w:rsidRPr="00022A8F" w14:paraId="44E29C81" w14:textId="77777777" w:rsidTr="00E2513C">
        <w:tc>
          <w:tcPr>
            <w:tcW w:w="0" w:type="auto"/>
            <w:vAlign w:val="center"/>
          </w:tcPr>
          <w:p w14:paraId="0FD4FEAE"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Singapore</w:t>
            </w:r>
          </w:p>
        </w:tc>
        <w:tc>
          <w:tcPr>
            <w:tcW w:w="0" w:type="auto"/>
          </w:tcPr>
          <w:p w14:paraId="793B1FA4"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Smart Nation Initiative</w:t>
            </w:r>
          </w:p>
        </w:tc>
        <w:tc>
          <w:tcPr>
            <w:tcW w:w="0" w:type="auto"/>
          </w:tcPr>
          <w:p w14:paraId="6C39CCE3"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Connects, collects, and comprehends data for efficient public service strategies</w:t>
            </w:r>
          </w:p>
        </w:tc>
        <w:tc>
          <w:tcPr>
            <w:tcW w:w="0" w:type="auto"/>
          </w:tcPr>
          <w:p w14:paraId="0076197A"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Engages citizens, especially vulnerable groups, in policy co-creation</w:t>
            </w:r>
          </w:p>
        </w:tc>
        <w:tc>
          <w:tcPr>
            <w:tcW w:w="0" w:type="auto"/>
          </w:tcPr>
          <w:p w14:paraId="4DBC1E48" w14:textId="78E58D6A"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fldChar w:fldCharType="begin" w:fldLock="1"/>
            </w:r>
            <w:r w:rsidR="009717CF">
              <w:rPr>
                <w:rFonts w:ascii="Arial" w:hAnsi="Arial" w:cs="Arial"/>
                <w:sz w:val="20"/>
                <w:szCs w:val="20"/>
              </w:rPr>
              <w:instrText>ADDIN CSL_CITATION {"citationItems":[{"id":"ITEM-1","itemData":{"DOI":"10.1007/978-3-030-96866-3_17","ISBN":"2365757X (ISSN)","ISSN":"23657588","abstract":"Digitalization is omnipresent in today’s social and urban life. This chapter attempts to discuss the advantage of digital transition as an asset for cities, it not only for urban development and job creation, but also for multi sectors’ digital participation in urban governance. The article presents a case study of Singapore’s collaborative digital governance model, which brings citizen perspectives especially vulnerable groups into the design of public policies and services co-creation. It emphasizes on the 3C (connect, collect, comprehend) concept of Smart Nation and design thinking empowers public service strategies created important foundation support digital collaborative governance in a diverse society, stimulates the initiative and enthusiasm of the public, guides market entities to participate in digital transformation scenarios, and fully encourages social creativity and the market vitality, which form a digital innovative ecosystem and a new paradigm of digital governance. The chapter envisages digital participation as a way towards inclusive growth in Singapore. It offers revised definitions of inclusive digital social innovation towards a new hypothesis of hybrid the resilient community.","author":[{"dropping-particle":"","family":"Ni","given":"Minqing","non-dropping-particle":"","parse-names":false,"suffix":""}],"container-title":"Urban Book Series","id":"ITEM-1","issued":{"date-parts":[["2022"]]},"language":"English","note":"Export Date: 22 June 2025; Cited By: 4; Correspondence Address: M. Ni; College of Design and Innovation, Tongji University, Shanghai, China; email: niminqing@tongji.edu.cn","page":"323-337","publisher":"Springer Science and Business Media Deutschland GmbH","publisher-place":"College of Design and Innovation, Tongji University, Shanghai, China","title":"Digital Participation for Inclusive Growth: A Case Study of Singapore’s Collaborative Digital Governance Model","type":"chapter"},"uris":["http://www.mendeley.com/documents/?uuid=105fbe61-3630-49fd-b081-618b14dc0a74","http://www.mendeley.com/documents/?uuid=da4d80ec-d74e-4f09-887f-17143ed397da"]},{"id":"ITEM-2","itemData":{"DOI":"10.1109/ICCC202255925.2022.9922714","ISBN":"9781665481779","abstract":"Change is the only constant in life. Hence, the transformation into a more complex form, at best, serves the very purpose of both natural and artificial development. Singapore's exceptional journey of becoming a crucial international commercial and financial hub paved the way toward being the frontrunner in creating a Smart Nation by embracing digitalization as the main driving force. At the same time, both its environmental and national security is highly dependent on innovation and international cooperation. This paper aims to present how Singapore embarked, among the first, on the digital pathway to ensure sustainability and reinforce resilience, as well as where it stands in the process of shaping its future by safeguarding the achievements of the welfare state (fair distribution of wealth, opportunity through education, highly developed healthcare system, social equality and responsibility). The creation of its digital identity is fueled by a vibrant digital economy and regulated by an effective digital government, enhanced by a sophisticated digital infrastructure. A holistic examination of different aspects of the city-state's digital transformation, validated with relevant qualitative and quantitative data, appears to be vital in determining the ideal trajectory of maintaining its benchmark status. This research also highlights the correlation between digitalization, the propagation of artificial intelligence in all spreads of life, and, as a consequence, the evolution of consumer trends due to the COVID-19 pandemic and the generation change amid the comprehensive set of regional and global challenges ahead.","author":[{"dropping-particle":"","family":"Aigner","given":"Ivan","non-dropping-particle":"","parse-names":false,"suffix":""},{"dropping-particle":"","family":"Garai-Fodor","given":"Mónika","non-dropping-particle":"","parse-names":false,"suffix":""},{"dropping-particle":"","family":"Szemere","given":"Tibor Pál","non-dropping-particle":"","parse-names":false,"suffix":""}],"container-title":"ICCC 2022 - IEEE 10th Jubilee International Conference on Computational Cybernetics and Cyber-Medical Systems, Proceedings","id":"ITEM-2","issued":{"date-parts":[["2022","7","6"]]},"language":"English","note":"Export Date: 22 June 2025; Cited By: 10; Conference name: 10th IEEE Jubilee International Conference on Computational Cybernetics and Cyber-Medical Systems, ICCC 2022; Conference date: 6 July 2022 through 9 July 2022; Conference code: 183712","page":"259-264","publisher":"IEEE","publisher-place":"Óbuda University, Keleti Faculty of Business and Management, Budapest, Hungary","title":"Singapore's Journey as a Digit-all-ized and Innovative Smart Nation Toward Sustainability","type":"paper-conference"},"uris":["http://www.mendeley.com/documents/?uuid=af9cb1d4-d188-4c1d-a7c8-115e2de02080","http://www.mendeley.com/documents/?uuid=c17b991a-422c-4f1d-a063-36a1dd3328ed"]}],"mendeley":{"formattedCitation":"(Aigner et al., 2022; Ni, 2022)","plainTextFormattedCitation":"(Aigner et al., 2022; Ni, 2022)","previouslyFormattedCitation":"(Aigner et al., 2022; Ni, 2022)"},"properties":{"noteIndex":0},"schema":"https://github.com/citation-style-language/schema/raw/master/csl-citation.json"}</w:instrText>
            </w:r>
            <w:r w:rsidRPr="00022A8F">
              <w:rPr>
                <w:rFonts w:ascii="Arial" w:hAnsi="Arial" w:cs="Arial"/>
                <w:sz w:val="20"/>
                <w:szCs w:val="20"/>
              </w:rPr>
              <w:fldChar w:fldCharType="separate"/>
            </w:r>
            <w:r w:rsidR="004D5D1F" w:rsidRPr="004D5D1F">
              <w:rPr>
                <w:rFonts w:ascii="Arial" w:hAnsi="Arial" w:cs="Arial"/>
                <w:noProof/>
                <w:sz w:val="20"/>
                <w:szCs w:val="20"/>
              </w:rPr>
              <w:t>(Aigner et al., 2022; Ni, 2022)</w:t>
            </w:r>
            <w:r w:rsidRPr="00022A8F">
              <w:rPr>
                <w:rFonts w:ascii="Arial" w:hAnsi="Arial" w:cs="Arial"/>
                <w:sz w:val="20"/>
                <w:szCs w:val="20"/>
              </w:rPr>
              <w:fldChar w:fldCharType="end"/>
            </w:r>
          </w:p>
        </w:tc>
      </w:tr>
      <w:tr w:rsidR="00081EDE" w:rsidRPr="00022A8F" w14:paraId="61B2F4DA" w14:textId="77777777" w:rsidTr="00E2513C">
        <w:tc>
          <w:tcPr>
            <w:tcW w:w="0" w:type="auto"/>
            <w:vMerge w:val="restart"/>
            <w:vAlign w:val="center"/>
          </w:tcPr>
          <w:p w14:paraId="449AD8D4"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Thailand</w:t>
            </w:r>
          </w:p>
        </w:tc>
        <w:tc>
          <w:tcPr>
            <w:tcW w:w="0" w:type="auto"/>
          </w:tcPr>
          <w:p w14:paraId="037D204D"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E-Government</w:t>
            </w:r>
          </w:p>
        </w:tc>
        <w:tc>
          <w:tcPr>
            <w:tcW w:w="0" w:type="auto"/>
          </w:tcPr>
          <w:p w14:paraId="724CD0EF"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Standardizes infrastructure and improves service level standards</w:t>
            </w:r>
          </w:p>
        </w:tc>
        <w:tc>
          <w:tcPr>
            <w:tcW w:w="0" w:type="auto"/>
          </w:tcPr>
          <w:p w14:paraId="07F84C0D"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Encourages public engagement through digital platforms</w:t>
            </w:r>
          </w:p>
        </w:tc>
        <w:tc>
          <w:tcPr>
            <w:tcW w:w="0" w:type="auto"/>
          </w:tcPr>
          <w:p w14:paraId="5B8A3F80" w14:textId="3ADC2040"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fldChar w:fldCharType="begin" w:fldLock="1"/>
            </w:r>
            <w:r w:rsidR="009717CF">
              <w:rPr>
                <w:rFonts w:ascii="Arial" w:hAnsi="Arial" w:cs="Arial"/>
                <w:sz w:val="20"/>
                <w:szCs w:val="20"/>
              </w:rPr>
              <w:instrText>ADDIN CSL_CITATION {"citationItems":[{"id":"ITEM-1","itemData":{"DOI":"10.1109/MITICON.2016.8025214","ISBN":"9781509041053","abstract":"This paper presents a digital perspective and innovation roadmap for Thailand E-government in order to increase service level standards. This paper considers technology priority matrix for digital government. Readiness is also considered directly for the proposed roadmap. In addition, this paper provides the reviews of current status of Thailand's E-government, and an innovated solution in information systems. Perspectives application reach and key technology are also included.","author":[{"dropping-particle":"","family":"Noymanee","given":"Jeerana","non-dropping-particle":"","parse-names":false,"suffix":""},{"dropping-particle":"","family":"San-Um","given":"Wimol","non-dropping-particle":"","parse-names":false,"suffix":""},{"dropping-particle":"","family":"Theeramunkong","given":"Thanaruk","non-dropping-particle":"","parse-names":false,"suffix":""}],"container-title":"2016 Management and Innovation Technology International Conference, MITiCON 2016","id":"ITEM-1","issued":{"date-parts":[["2017","10"]]},"language":"English","note":"Export Date: 22 June 2025; Cited By: 1; Conference name: 3rd Management and Innovation Technology International Conference, MITiCON 2016; Conference date: 12 October 2016 through 14 October 2016; Conference code: 130565","page":"MIT198-MIT203","publisher":"IEEE","publisher-place":"Electronic Government Agency, Bangkok, Thailand","title":"Perspectives and innovation roadmap for service ability enhancement of Thai E-government","type":"paper-conference"},"uris":["http://www.mendeley.com/documents/?uuid=1c04bbe4-f93c-48ac-b02e-0bd45804eae2","http://www.mendeley.com/documents/?uuid=50651f4e-de2d-4aea-9cbc-3f87a06b9e8c"]},{"id":"ITEM-2","itemData":{"DOI":"10.1109/IBDAP50342.2020.9245461","ISBN":"9781728181066","abstract":"Digital transformation has increasingly become a central issue to governments around the world as they seek innovative digital solutions in response to socioeconomic, political, and technological pressures. In this paper, we present a framework that formalizes the government-wide digital transformation process, standardizes infrastructure architecture, cultural and industrial change with human resource development, data management and data governance, and data exchange protocols in a trusted and regulated environment, leading toward effective and sustainable utilization of big data analytics in policymaking and creation of digital innovations. We also discuss specific customizations of the framework in the Thai government's context as well as its adoption progress, providing material evidence of the framework's practicality.","author":[{"dropping-particle":"","family":"Thamjaroenporn","given":"Papoj","non-dropping-particle":"","parse-names":false,"suffix":""},{"dropping-particle":"","family":"Achalakul","given":"Tiranee","non-dropping-particle":"","parse-names":false,"suffix":""}],"container-title":"2020 1st International Conference on Big Data Analytics and Practices, IBDAP 2020","id":"ITEM-2","issued":{"date-parts":[["2020","9","25"]]},"language":"English","note":"Export Date: 22 June 2025; Cited By: 6; Conference name: 1st International Conference on Big Data Analytics and Practices, IBDAP 2020; Conference date: 25 September 2020 through 26 September 2020; Conference code: 164855","page":"1-6","publisher":"IEEE","publisher-place":"Government Big Data Institute, Bangkok, Thailand","title":"Big Data Analytics Framework for Digital Government","type":"paper-conference"},"uris":["http://www.mendeley.com/documents/?uuid=51efa68c-86d5-41d5-bb25-391ead926095","http://www.mendeley.com/documents/?uuid=a144ac89-fcd4-41ab-b426-ec00277242ea"]}],"mendeley":{"formattedCitation":"(Noymanee et al., 2017; Thamjaroenporn &amp; Achalakul, 2020)","plainTextFormattedCitation":"(Noymanee et al., 2017; Thamjaroenporn &amp; Achalakul, 2020)","previouslyFormattedCitation":"(Noymanee et al., 2017; Thamjaroenporn &amp; Achalakul, 2020)"},"properties":{"noteIndex":0},"schema":"https://github.com/citation-style-language/schema/raw/master/csl-citation.json"}</w:instrText>
            </w:r>
            <w:r w:rsidRPr="00022A8F">
              <w:rPr>
                <w:rFonts w:ascii="Arial" w:hAnsi="Arial" w:cs="Arial"/>
                <w:sz w:val="20"/>
                <w:szCs w:val="20"/>
              </w:rPr>
              <w:fldChar w:fldCharType="separate"/>
            </w:r>
            <w:r w:rsidR="004D5D1F" w:rsidRPr="004D5D1F">
              <w:rPr>
                <w:rFonts w:ascii="Arial" w:hAnsi="Arial" w:cs="Arial"/>
                <w:noProof/>
                <w:sz w:val="20"/>
                <w:szCs w:val="20"/>
              </w:rPr>
              <w:t>(Noymanee et al., 2017; Thamjaroenporn &amp; Achalakul, 2020)</w:t>
            </w:r>
            <w:r w:rsidRPr="00022A8F">
              <w:rPr>
                <w:rFonts w:ascii="Arial" w:hAnsi="Arial" w:cs="Arial"/>
                <w:sz w:val="20"/>
                <w:szCs w:val="20"/>
              </w:rPr>
              <w:fldChar w:fldCharType="end"/>
            </w:r>
          </w:p>
        </w:tc>
      </w:tr>
      <w:tr w:rsidR="00081EDE" w:rsidRPr="00022A8F" w14:paraId="3D01075C" w14:textId="77777777" w:rsidTr="00E2513C">
        <w:tc>
          <w:tcPr>
            <w:tcW w:w="0" w:type="auto"/>
            <w:vMerge/>
            <w:vAlign w:val="center"/>
          </w:tcPr>
          <w:p w14:paraId="296849DB" w14:textId="77777777" w:rsidR="00081EDE" w:rsidRPr="00022A8F" w:rsidRDefault="00081EDE" w:rsidP="00E2513C">
            <w:pPr>
              <w:spacing w:line="276" w:lineRule="auto"/>
              <w:jc w:val="center"/>
              <w:rPr>
                <w:rFonts w:ascii="Arial" w:hAnsi="Arial" w:cs="Arial"/>
                <w:sz w:val="20"/>
                <w:szCs w:val="20"/>
              </w:rPr>
            </w:pPr>
          </w:p>
        </w:tc>
        <w:tc>
          <w:tcPr>
            <w:tcW w:w="0" w:type="auto"/>
          </w:tcPr>
          <w:p w14:paraId="20E6174D"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Local Government Awards</w:t>
            </w:r>
          </w:p>
        </w:tc>
        <w:tc>
          <w:tcPr>
            <w:tcW w:w="0" w:type="auto"/>
          </w:tcPr>
          <w:p w14:paraId="3618960D"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Incentivizes local governments to improve service delivery</w:t>
            </w:r>
          </w:p>
        </w:tc>
        <w:tc>
          <w:tcPr>
            <w:tcW w:w="0" w:type="auto"/>
          </w:tcPr>
          <w:p w14:paraId="68414996"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Enhances public access to local government services</w:t>
            </w:r>
          </w:p>
        </w:tc>
        <w:tc>
          <w:tcPr>
            <w:tcW w:w="0" w:type="auto"/>
          </w:tcPr>
          <w:p w14:paraId="2BB0E9AB" w14:textId="5B2A959D"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fldChar w:fldCharType="begin" w:fldLock="1"/>
            </w:r>
            <w:r w:rsidR="009717CF">
              <w:rPr>
                <w:rFonts w:ascii="Arial" w:hAnsi="Arial" w:cs="Arial"/>
                <w:sz w:val="20"/>
                <w:szCs w:val="20"/>
              </w:rPr>
              <w:instrText>ADDIN CSL_CITATION {"citationItems":[{"id":"ITEM-1","itemData":{"DOI":"10.3233/978-1-60750-729-1-137","ISBN":"9781607507284","ISSN":"18711073","abstract":"This chapter focuses on local governance innovation in Thailand. During the past 15 years, decentralization has been implemented in Thailand. Local government in Thailand is increasingly important in providing public services, not only in civil engineering but in social policies as well. Major functions of Thai local governments and the course of decentralization shall be briefly explained. While structural innovation, such as amalgamation or local cooperation, was unsuccessful, monitoring and giving incentives through 'local government awards' by central government are widely used. Awards are given to local governments in areas central agencies think significant and want local governments to pay more attention to. In this chapter, the capability of local governments will be analyzed, by using survey data on Thai local government conducted in 2006. Our findings suggest that people's access to local governments plays a significant part in the capability of local governments. © 2011 The authors and IOS Press. All rights reserved.","author":[{"dropping-particle":"","family":"Nagai","given":"Fumio","non-dropping-particle":"","parse-names":false,"suffix":""},{"dropping-particle":"","family":"Kagoya","given":"Kazuhiro","non-dropping-particle":"","parse-names":false,"suffix":""}],"container-title":"Innovation and the Public Sector","editor":[{"dropping-particle":"","family":"A.-V.","given":"Anttiroiko","non-dropping-particle":"","parse-names":false,"suffix":""},{"dropping-particle":"","family":"P.","given":"Valkama","non-dropping-particle":"","parse-names":false,"suffix":""},{"dropping-particle":"","family":"University of Tampere","given":"Tampere","non-dropping-particle":"","parse-names":false,"suffix":""},{"dropping-particle":"","family":"S.J.","given":"Bailey","non-dropping-particle":"","parse-names":false,"suffix":""},{"dropping-particle":"","family":"Glasgow Caledonian University","given":"Glasgow Caledonian University","non-dropping-particle":"","parse-names":false,"suffix":""}],"id":"ITEM-1","issued":{"date-parts":[["2011"]]},"language":"English","note":"Export Date: 22 June 2025; Cited By: 0","page":"137-150","publisher-place":"Osaka City University, Osaka, Japan","title":"Decentralization as a local governance innovation in Thailand","type":"chapter","volume":"16"},"uris":["http://www.mendeley.com/documents/?uuid=6bc76ae6-02d6-48fc-b134-a8d58b562bcf","http://www.mendeley.com/documents/?uuid=c3578692-8ef5-4d95-b981-1d24305605fb"]}],"mendeley":{"formattedCitation":"(Nagai &amp; Kagoya, 2011)","plainTextFormattedCitation":"(Nagai &amp; Kagoya, 2011)","previouslyFormattedCitation":"(Nagai &amp; Kagoya, 2011)"},"properties":{"noteIndex":0},"schema":"https://github.com/citation-style-language/schema/raw/master/csl-citation.json"}</w:instrText>
            </w:r>
            <w:r w:rsidRPr="00022A8F">
              <w:rPr>
                <w:rFonts w:ascii="Arial" w:hAnsi="Arial" w:cs="Arial"/>
                <w:sz w:val="20"/>
                <w:szCs w:val="20"/>
              </w:rPr>
              <w:fldChar w:fldCharType="separate"/>
            </w:r>
            <w:r w:rsidR="004D5D1F" w:rsidRPr="004D5D1F">
              <w:rPr>
                <w:rFonts w:ascii="Arial" w:hAnsi="Arial" w:cs="Arial"/>
                <w:noProof/>
                <w:sz w:val="20"/>
                <w:szCs w:val="20"/>
              </w:rPr>
              <w:t>(Nagai &amp; Kagoya, 2011)</w:t>
            </w:r>
            <w:r w:rsidRPr="00022A8F">
              <w:rPr>
                <w:rFonts w:ascii="Arial" w:hAnsi="Arial" w:cs="Arial"/>
                <w:sz w:val="20"/>
                <w:szCs w:val="20"/>
              </w:rPr>
              <w:fldChar w:fldCharType="end"/>
            </w:r>
          </w:p>
        </w:tc>
      </w:tr>
      <w:tr w:rsidR="00081EDE" w:rsidRPr="00022A8F" w14:paraId="3BF51E05" w14:textId="77777777" w:rsidTr="00E2513C">
        <w:tc>
          <w:tcPr>
            <w:tcW w:w="0" w:type="auto"/>
            <w:vAlign w:val="center"/>
          </w:tcPr>
          <w:p w14:paraId="6B841DC6"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Philippines</w:t>
            </w:r>
          </w:p>
        </w:tc>
        <w:tc>
          <w:tcPr>
            <w:tcW w:w="0" w:type="auto"/>
          </w:tcPr>
          <w:p w14:paraId="46772E77"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E-Governance in South Cotabato</w:t>
            </w:r>
          </w:p>
        </w:tc>
        <w:tc>
          <w:tcPr>
            <w:tcW w:w="0" w:type="auto"/>
          </w:tcPr>
          <w:p w14:paraId="653E56AE"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Prioritizes and amplifies digital public administration</w:t>
            </w:r>
          </w:p>
        </w:tc>
        <w:tc>
          <w:tcPr>
            <w:tcW w:w="0" w:type="auto"/>
          </w:tcPr>
          <w:p w14:paraId="23904E0B" w14:textId="77777777"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t>Uses social media for public engagement and content creation</w:t>
            </w:r>
          </w:p>
        </w:tc>
        <w:tc>
          <w:tcPr>
            <w:tcW w:w="0" w:type="auto"/>
          </w:tcPr>
          <w:p w14:paraId="720EC6FF" w14:textId="50473C74" w:rsidR="00081EDE" w:rsidRPr="00022A8F" w:rsidRDefault="00081EDE" w:rsidP="00E2513C">
            <w:pPr>
              <w:spacing w:line="276" w:lineRule="auto"/>
              <w:jc w:val="center"/>
              <w:rPr>
                <w:rFonts w:ascii="Arial" w:hAnsi="Arial" w:cs="Arial"/>
                <w:sz w:val="20"/>
                <w:szCs w:val="20"/>
              </w:rPr>
            </w:pPr>
            <w:r w:rsidRPr="00022A8F">
              <w:rPr>
                <w:rFonts w:ascii="Arial" w:hAnsi="Arial" w:cs="Arial"/>
                <w:sz w:val="20"/>
                <w:szCs w:val="20"/>
              </w:rPr>
              <w:fldChar w:fldCharType="begin" w:fldLock="1"/>
            </w:r>
            <w:r w:rsidR="009717CF">
              <w:rPr>
                <w:rFonts w:ascii="Arial" w:hAnsi="Arial" w:cs="Arial"/>
                <w:sz w:val="20"/>
                <w:szCs w:val="20"/>
              </w:rPr>
              <w:instrText>ADDIN CSL_CITATION {"citationItems":[{"id":"ITEM-1","itemData":{"DOI":"10.1163/2165025X-bja10051","ISSN":"2165025X","abstract":"The full-scale adoption of digital technologies in Filipino social life became more apparent during the COVID-19 pandemic. The abrupt emergence of this global catastrophe challenged many to shift to digital infrastructures instantaneously, similar to how local government units (LGUs) implemented their e-governance initiatives. Following a case study design, this article sought to find out how local governments carry out digital innovations, specifically the Province of South Cotabato which can be considered exemplary in this area based on awards it received. A total of 524 Facebook posts, gathered from the first quarter of 2021, were examined using quantitative content analysis. Findings of this study revealed that the LGUs (city, municipality and province) demonstrated “prioritization,” “appropriation,” and “amplification” in fulfilling adjunct roles of being public administrators and content creators at the same time.","author":[{"dropping-particle":"","family":"Bajar","given":"Jayson Troy Ferro","non-dropping-particle":"","parse-names":false,"suffix":""},{"dropping-particle":"","family":"Porsche-Ludwig","given":"Markus","non-dropping-particle":"","parse-names":false,"suffix":""}],"container-title":"Philippine Political Science Journal","id":"ITEM-1","issue":"3","issued":{"date-parts":[["2023"]]},"language":"English","note":"Export Date: 22 June 2025; Cited By: 0; Correspondence Address: J.T.F. Bajar; National Dong Hwa University, Hualien, Shoufeng, Taiwan; email: jtfbajar@gmail.com","page":"242-273","publisher":"Brill Academic Publishers","publisher-place":"National Dong Hwa University, Shoufeng, Hualien, Taiwan","title":"Digital Innovations during the COVID-19 Pandemic: Facebook Use for Local E-Governance in the Province of South Cotabato","type":"article-journal","volume":"44"},"uris":["http://www.mendeley.com/documents/?uuid=52cb1701-25c6-46fe-8ba1-18bdc097cd0d","http://www.mendeley.com/documents/?uuid=843b679e-ef37-48a6-ac01-07c5c3024b37"]}],"mendeley":{"formattedCitation":"(Bajar &amp; Porsche-Ludwig, 2023)","plainTextFormattedCitation":"(Bajar &amp; Porsche-Ludwig, 2023)","previouslyFormattedCitation":"(Bajar &amp; Porsche-Ludwig, 2023)"},"properties":{"noteIndex":0},"schema":"https://github.com/citation-style-language/schema/raw/master/csl-citation.json"}</w:instrText>
            </w:r>
            <w:r w:rsidRPr="00022A8F">
              <w:rPr>
                <w:rFonts w:ascii="Arial" w:hAnsi="Arial" w:cs="Arial"/>
                <w:sz w:val="20"/>
                <w:szCs w:val="20"/>
              </w:rPr>
              <w:fldChar w:fldCharType="separate"/>
            </w:r>
            <w:r w:rsidR="004D5D1F" w:rsidRPr="004D5D1F">
              <w:rPr>
                <w:rFonts w:ascii="Arial" w:hAnsi="Arial" w:cs="Arial"/>
                <w:noProof/>
                <w:sz w:val="20"/>
                <w:szCs w:val="20"/>
              </w:rPr>
              <w:t>(Bajar &amp; Porsche-Ludwig, 2023)</w:t>
            </w:r>
            <w:r w:rsidRPr="00022A8F">
              <w:rPr>
                <w:rFonts w:ascii="Arial" w:hAnsi="Arial" w:cs="Arial"/>
                <w:sz w:val="20"/>
                <w:szCs w:val="20"/>
              </w:rPr>
              <w:fldChar w:fldCharType="end"/>
            </w:r>
          </w:p>
        </w:tc>
      </w:tr>
    </w:tbl>
    <w:bookmarkEnd w:id="6"/>
    <w:p w14:paraId="7EED4535" w14:textId="012C178F" w:rsidR="00DC4D13" w:rsidRPr="00DC4D13" w:rsidRDefault="00DC4D13" w:rsidP="00DC4D13">
      <w:pPr>
        <w:spacing w:after="0" w:line="276" w:lineRule="auto"/>
        <w:ind w:firstLine="567"/>
        <w:jc w:val="both"/>
        <w:rPr>
          <w:rFonts w:ascii="Arial" w:eastAsia="Calibri" w:hAnsi="Arial" w:cs="Arial"/>
          <w:lang w:val="en"/>
        </w:rPr>
      </w:pPr>
      <w:r w:rsidRPr="00DC4D13">
        <w:rPr>
          <w:rFonts w:ascii="Arial" w:eastAsia="Calibri" w:hAnsi="Arial" w:cs="Arial"/>
          <w:lang w:val="en"/>
        </w:rPr>
        <w:t xml:space="preserve">Table 2 shows that digital innovations transform Southeast </w:t>
      </w:r>
      <w:r w:rsidR="008E19FA" w:rsidRPr="00DC4D13">
        <w:rPr>
          <w:rFonts w:ascii="Arial" w:eastAsia="Calibri" w:hAnsi="Arial" w:cs="Arial"/>
          <w:lang w:val="en"/>
        </w:rPr>
        <w:t>Asia</w:t>
      </w:r>
      <w:r w:rsidR="008E19FA">
        <w:rPr>
          <w:rFonts w:ascii="Arial" w:eastAsia="Calibri" w:hAnsi="Arial" w:cs="Arial"/>
          <w:lang w:val="en"/>
        </w:rPr>
        <w:t>’</w:t>
      </w:r>
      <w:r w:rsidR="008E19FA" w:rsidRPr="00DC4D13">
        <w:rPr>
          <w:rFonts w:ascii="Arial" w:eastAsia="Calibri" w:hAnsi="Arial" w:cs="Arial"/>
          <w:lang w:val="en"/>
        </w:rPr>
        <w:t>s</w:t>
      </w:r>
      <w:r w:rsidRPr="00DC4D13">
        <w:rPr>
          <w:rFonts w:ascii="Arial" w:eastAsia="Calibri" w:hAnsi="Arial" w:cs="Arial"/>
          <w:lang w:val="en"/>
        </w:rPr>
        <w:t xml:space="preserve"> local governance by improving service delivery and participatory frameworks. In Indonesia, the West Java Digital Service (JDS) initiative exemplifies the effective advancement of community data management through collaborative policymaker hubs </w:t>
      </w:r>
      <w:r w:rsidR="00F31101"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{"citationItems":[{"id":"ITEM-1","itemData":{"DOI":"10.2478/nispa-2024-0005","ISSN":"1338-4309","abstract":"Digital transformation changes how private and public organisations conduct their business, stressing the importance of collaboration with various stakeholders. The public sector, especially local government, is forced by citizens’ demands to change how it operates. This research examines the characteristics of existing literature on collaborative governance and digital transformation and explores the unevenness of digital transformation due to the broad autonomy granted to local governments. Qualitative methods were used, conducting in-depth interviews, advanced observations, and detailed data collection from government agencies, NGOs, and citizens of West Java, Indonesia. The enquiries reveal that governments faces silos and fragmented approaches. The results contribute to the literature, serve as a reference for improving the role of local government in collaborative digital transformation, and provide greater legitimacy in the public policy process. In the context of local government, the success of digital transformation initiatives in West Java can be attributed to effective collaboration and facilitative leadership from implementing the Penta-helix strategy and establishing Jabar Digital Service (JDS) as a dedicated unit for managing digital transformation.","author":[{"dropping-particle":"","family":"Maulana","given":"Rio Yusri","non-dropping-particle":"","parse-names":false,"suffix":""},{"dropping-particle":"","family":"Durnik","given":"Mitja","non-dropping-particle":"","parse-names":false,"suffix":""},{"dropping-particle":"","family":"Decman","given":"Mitja","non-dropping-particle":"","parse-names":false,"suffix":""}],"container-title":"NISPAcee Journal of Public Administration and Policy","id":"ITEM-1","issue":"1","issued":{"date-parts":[["2024","6","1"]]},"language":"English","note":"Export Date: 22 June 2025; Cited By: 0","page":"94-119","publisher":"Sciendo","publisher-place":"Universitas Jambi, Department of Government, Indonesia","title":"Collaborative Approach on Digital Government Transformation: In-Depth Analysis from Expert Interview","type":"article-journal","volume":"17"},"uris":["http://www.mendeley.com/documents/?uuid=d13322c5-e8b1-4144-826e-8cd219e55acf"]}],"mendeley":{"formattedCitation":"(Maulana et al., 2024)","plainTextFormattedCitation":"(Maulana et al., 2024)","previouslyFormattedCitation":"(Maulana et al., 2024)"},"properties":{"noteIndex":0},"schema":"https://github.com/citation-style-language/schema/raw/master/csl-citation.json"}</w:instrText>
      </w:r>
      <w:r w:rsidR="00F31101" w:rsidRPr="004D5D1F">
        <w:rPr>
          <w:rFonts w:ascii="Arial" w:eastAsia="Calibri" w:hAnsi="Arial" w:cs="Arial"/>
          <w:lang w:val="en"/>
        </w:rPr>
        <w:fldChar w:fldCharType="separate"/>
      </w:r>
      <w:r w:rsidR="00F31101" w:rsidRPr="004D5D1F">
        <w:rPr>
          <w:rFonts w:ascii="Arial" w:eastAsia="Calibri" w:hAnsi="Arial" w:cs="Arial"/>
          <w:noProof/>
          <w:lang w:val="en"/>
        </w:rPr>
        <w:t>(Maulana et al., 2024)</w:t>
      </w:r>
      <w:r w:rsidR="00F31101" w:rsidRPr="004D5D1F">
        <w:rPr>
          <w:rFonts w:ascii="Arial" w:eastAsia="Calibri" w:hAnsi="Arial" w:cs="Arial"/>
          <w:lang w:val="en"/>
        </w:rPr>
        <w:fldChar w:fldCharType="end"/>
      </w:r>
      <w:r w:rsidR="00F31101" w:rsidRPr="004D5D1F">
        <w:rPr>
          <w:rFonts w:ascii="Arial" w:eastAsia="Calibri" w:hAnsi="Arial" w:cs="Arial"/>
          <w:lang w:val="en"/>
        </w:rPr>
        <w:t>.</w:t>
      </w:r>
      <w:r w:rsidR="00F31101">
        <w:rPr>
          <w:rFonts w:ascii="Arial" w:eastAsia="Calibri" w:hAnsi="Arial" w:cs="Arial"/>
          <w:lang w:val="en"/>
        </w:rPr>
        <w:t xml:space="preserve"> </w:t>
      </w:r>
      <w:r w:rsidRPr="00DC4D13">
        <w:rPr>
          <w:rFonts w:ascii="Arial" w:eastAsia="Calibri" w:hAnsi="Arial" w:cs="Arial"/>
          <w:lang w:val="en"/>
        </w:rPr>
        <w:t xml:space="preserve">Further, </w:t>
      </w:r>
      <w:r w:rsidR="00F31101"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{"citationItems":[{"id":"ITEM-1","itemData":{"DOI":"10.3828/IDPR.2021.5","ISSN":"14783401","abstract":"It has been a longstanding mission of policymakers, good governance activists and scholars to encourage greater public participation in formulating legal drafts for better city planning. In recent years, emphasis has been placed upon digital engagement as a process which arguably allows more citizens to voice their needs and desires. In Indonesia, an example of such practices can be seen in the e-musrenbang platform, a digital version of a local public participation mechanism in city planning. This study highlights the case of Bandung City of Indonesia by shedding light on the implemented mechanism of e-musrenbang and the stakeholders involved as well as perceptions from its participants. The findings suggest that e-musrenbang has enhanced the transparency and accountability of the overall planning process, however, it has failed to deliver on promises to channel the voices of citizens and solve existing issues of participation.","author":[{"dropping-particle":"","family":"Anindito","given":"Dhimas Bayu","non-dropping-particle":"","parse-names":false,"suffix":""},{"dropping-particle":"","family":"Sagala","given":"Saut A.H.","non-dropping-particle":"","parse-names":false,"suffix":""},{"dropping-particle":"","family":"Tarigan","given":"Ari Krisna Mawira","non-dropping-particle":"","parse-names":false,"suffix":""}],"container-title":"International Development Planning Review","id":"ITEM-1","issue":"2","issued":{"date-parts":[["2022","4"]]},"language":"English","note":"Export Date: 22 June 2025; Cited By: 4","page":"191-216","publisher":"Liverpool University Press","publisher-place":"Department of Architecture and Planning, Universitas Gadjah Mada, Jalan Grafika No 2, Sekip, Yogyakarta, 55281, Indonesia","title":"E-musrenbang: A digital framework for local participatory planning at the community level","type":"article-journal","volume":"44"},"uris":["http://www.mendeley.com/documents/?uuid=e10ee054-a508-4581-801e-9b570c5cdd5f","http://www.mendeley.com/documents/?uuid=2e4e8b38-793a-4ebd-a99e-321f328f08eb"]}],"mendeley":{"formattedCitation":"(Anindito et al., 2022)","manualFormatting":"Anindito et al., (2022)","plainTextFormattedCitation":"(Anindito et al., 2022)","previouslyFormattedCitation":"(Anindito et al., 2022)"},"properties":{"noteIndex":0},"schema":"https://github.com/citation-style-language/schema/raw/master/csl-citation.json"}</w:instrText>
      </w:r>
      <w:r w:rsidR="00F31101" w:rsidRPr="004D5D1F">
        <w:rPr>
          <w:rFonts w:ascii="Arial" w:eastAsia="Calibri" w:hAnsi="Arial" w:cs="Arial"/>
          <w:lang w:val="en"/>
        </w:rPr>
        <w:fldChar w:fldCharType="separate"/>
      </w:r>
      <w:r w:rsidR="00F31101" w:rsidRPr="004D5D1F">
        <w:rPr>
          <w:rFonts w:ascii="Arial" w:eastAsia="Calibri" w:hAnsi="Arial" w:cs="Arial"/>
          <w:noProof/>
          <w:lang w:val="en"/>
        </w:rPr>
        <w:t xml:space="preserve">Anindito et al., </w:t>
      </w:r>
      <w:r w:rsidR="00F31101">
        <w:rPr>
          <w:rFonts w:ascii="Arial" w:eastAsia="Calibri" w:hAnsi="Arial" w:cs="Arial"/>
          <w:noProof/>
          <w:lang w:val="en"/>
        </w:rPr>
        <w:t>(</w:t>
      </w:r>
      <w:r w:rsidR="00F31101" w:rsidRPr="004D5D1F">
        <w:rPr>
          <w:rFonts w:ascii="Arial" w:eastAsia="Calibri" w:hAnsi="Arial" w:cs="Arial"/>
          <w:noProof/>
          <w:lang w:val="en"/>
        </w:rPr>
        <w:t>2022)</w:t>
      </w:r>
      <w:r w:rsidR="00F31101" w:rsidRPr="004D5D1F">
        <w:rPr>
          <w:rFonts w:ascii="Arial" w:eastAsia="Calibri" w:hAnsi="Arial" w:cs="Arial"/>
          <w:lang w:val="en"/>
        </w:rPr>
        <w:fldChar w:fldCharType="end"/>
      </w:r>
      <w:r w:rsidR="00F31101" w:rsidRPr="004D5D1F">
        <w:rPr>
          <w:rFonts w:ascii="Arial" w:eastAsia="Calibri" w:hAnsi="Arial" w:cs="Arial"/>
          <w:lang w:val="en"/>
        </w:rPr>
        <w:t>,</w:t>
      </w:r>
      <w:r w:rsidR="00F31101">
        <w:rPr>
          <w:rFonts w:ascii="Arial" w:eastAsia="Calibri" w:hAnsi="Arial" w:cs="Arial"/>
          <w:lang w:val="en"/>
        </w:rPr>
        <w:t xml:space="preserve"> </w:t>
      </w:r>
      <w:r w:rsidRPr="00DC4D13">
        <w:rPr>
          <w:rFonts w:ascii="Arial" w:eastAsia="Calibri" w:hAnsi="Arial" w:cs="Arial"/>
          <w:lang w:val="en"/>
        </w:rPr>
        <w:t>argue that e-</w:t>
      </w:r>
      <w:proofErr w:type="spellStart"/>
      <w:r w:rsidRPr="00DC4D13">
        <w:rPr>
          <w:rFonts w:ascii="Arial" w:eastAsia="Calibri" w:hAnsi="Arial" w:cs="Arial"/>
          <w:lang w:val="en"/>
        </w:rPr>
        <w:t>Musrenbang</w:t>
      </w:r>
      <w:proofErr w:type="spellEnd"/>
      <w:r w:rsidRPr="00DC4D13">
        <w:rPr>
          <w:rFonts w:ascii="Arial" w:eastAsia="Calibri" w:hAnsi="Arial" w:cs="Arial"/>
          <w:lang w:val="en"/>
        </w:rPr>
        <w:t xml:space="preserve"> boosted transparency in planning processes through a quasi-participation framework, while </w:t>
      </w:r>
      <w:r w:rsidR="00F31101"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{"citationItems":[{"id":"ITEM-1","itemData":{"DOI":"10.1201/9781003349518-7","ISBN":"9781000996456","abstract":"Land administration in Indonesia is embracing digital transformation. The key agency, the Ministry of Agrarian and Spatial Planning/National Land Agency, Indonesia (ATR/BPN) undertakes a digitally driven, nationwide, systematic land registration program to complete mapping of its estimated 126 million land parcels. It is modernizing its national data centre IT infrastructure and upgrading the data, processes, and facilities of its more than 400 local land offices. It is also developing a suite of online e-services to eventually move towards full digital service provision. The size and scale of the digital transformation initiatives invites much international interest. This chapter therefore provides a more contemporary snapshot of the status and prospects of digital transformation within ATR/BPN. The United Nations Committee of Experts on Global Geospatial Information Management (UN-GGIM) Integrated Geospatial Information Framework (IGIF) and the related Framework for Effective Land Administration Management (FELA) are applied. The 9 strategic pathways are analysed in the context of ATR/BPN using workshops, webinars, and available documentation. Overall, ATR/BPN is on a trajectory towards full digital transformation. Relevant policies and laws are either enacted or revisited to support digital initiatives. The organisation is financially sound and can support further digitalisation developments. It is renewing and re-skilling its digitally enabled workforce to work. The most pressing challenge is its legacy digital data and paper-based systems, low data quality, and public trust. Access to digital services for vulnerable communities is also a concern, although ATR/BPN recognizes the need to leave no one behind, and therefore face-to-face services will remain for some time to come. There is an opportunity for better collaboration with other ministries, NGOs, and the private sector. Most pressing is the need to formalise approaches to standards and partnerships. The chapter concludes with recommending 13 action items to further support the digital transformation agenda.","author":[{"dropping-particle":"","family":"Bennett","given":"Rohan Mark","non-dropping-particle":"","parse-names":false,"suffix":""},{"dropping-particle":"","family":"Hutabarat","given":"Indra Roharatua","non-dropping-particle":"","parse-names":false,"suffix":""},{"dropping-particle":"","family":"Unger","given":"Eva-Maria","non-dropping-particle":"","parse-names":false,"suffix":""},{"dropping-particle":"","family":"Ginting","given":"Clava Pratama","non-dropping-particle":"","parse-names":false,"suffix":""},{"dropping-particle":"","family":"Vegt","given":"Haico","non-dropping-particle":"van der","parse-names":false,"suffix":""},{"dropping-particle":"","family":"Latif","given":"Aulia","non-dropping-particle":"","parse-names":false,"suffix":""}],"container-title":"Geospatial Science for Smart Land Management","id":"ITEM-1","issued":{"date-parts":[["2023","11","29"]]},"language":"English","note":"Export Date: 22 June 2025; Cited By: 2","page":"43-67","publisher":"CRC Press","publisher-place":"Boca Raton","title":"Digital Transformation in Indonesian Land Administration","type":"chapter"},"uris":["http://www.mendeley.com/documents/?uuid=a06e9133-109b-4daa-9190-1898e5eebc20","http://www.mendeley.com/documents/?uuid=3dc7f81f-e9df-4fa3-b684-1f7156291946"]}],"mendeley":{"formattedCitation":"(Bennett et al., 2023)","manualFormatting":"Bennett et al., (2023)","plainTextFormattedCitation":"(Bennett et al., 2023)","previouslyFormattedCitation":"(Bennett et al., 2023)"},"properties":{"noteIndex":0},"schema":"https://github.com/citation-style-language/schema/raw/master/csl-citation.json"}</w:instrText>
      </w:r>
      <w:r w:rsidR="00F31101" w:rsidRPr="004D5D1F">
        <w:rPr>
          <w:rFonts w:ascii="Arial" w:eastAsia="Calibri" w:hAnsi="Arial" w:cs="Arial"/>
          <w:lang w:val="en"/>
        </w:rPr>
        <w:fldChar w:fldCharType="separate"/>
      </w:r>
      <w:r w:rsidR="00F31101" w:rsidRPr="004D5D1F">
        <w:rPr>
          <w:rFonts w:ascii="Arial" w:eastAsia="Calibri" w:hAnsi="Arial" w:cs="Arial"/>
          <w:noProof/>
          <w:lang w:val="en"/>
        </w:rPr>
        <w:t xml:space="preserve">Bennett et al., </w:t>
      </w:r>
      <w:r w:rsidR="00F31101">
        <w:rPr>
          <w:rFonts w:ascii="Arial" w:eastAsia="Calibri" w:hAnsi="Arial" w:cs="Arial"/>
          <w:noProof/>
          <w:lang w:val="en"/>
        </w:rPr>
        <w:t>(</w:t>
      </w:r>
      <w:r w:rsidR="00F31101" w:rsidRPr="004D5D1F">
        <w:rPr>
          <w:rFonts w:ascii="Arial" w:eastAsia="Calibri" w:hAnsi="Arial" w:cs="Arial"/>
          <w:noProof/>
          <w:lang w:val="en"/>
        </w:rPr>
        <w:t>2023)</w:t>
      </w:r>
      <w:r w:rsidR="00F31101" w:rsidRPr="004D5D1F">
        <w:rPr>
          <w:rFonts w:ascii="Arial" w:eastAsia="Calibri" w:hAnsi="Arial" w:cs="Arial"/>
          <w:lang w:val="en"/>
        </w:rPr>
        <w:fldChar w:fldCharType="end"/>
      </w:r>
      <w:r w:rsidR="00F31101" w:rsidRPr="004D5D1F">
        <w:rPr>
          <w:rFonts w:ascii="Arial" w:eastAsia="Calibri" w:hAnsi="Arial" w:cs="Arial"/>
          <w:lang w:val="en"/>
        </w:rPr>
        <w:t>.</w:t>
      </w:r>
      <w:r w:rsidR="00F31101">
        <w:rPr>
          <w:rFonts w:ascii="Arial" w:eastAsia="Calibri" w:hAnsi="Arial" w:cs="Arial"/>
          <w:lang w:val="en"/>
        </w:rPr>
        <w:t xml:space="preserve"> </w:t>
      </w:r>
      <w:r w:rsidRPr="00DC4D13">
        <w:rPr>
          <w:rFonts w:ascii="Arial" w:eastAsia="Calibri" w:hAnsi="Arial" w:cs="Arial"/>
          <w:lang w:val="en"/>
        </w:rPr>
        <w:t>report that initiatives under Digital Land Administration enhanced the precision and service accessibility of land registration, particularly aiding marginalized groups. Such undertakings express growing national resolve towards addressing the digital divide and consolidating the enhancement of accountability, inclusion, and decisional agility through digitized frameworks.</w:t>
      </w:r>
    </w:p>
    <w:p w14:paraId="6F850287" w14:textId="3C8F0F50" w:rsidR="00DC4D13" w:rsidRPr="00DC4D13" w:rsidRDefault="00DC4D13" w:rsidP="00DC4D13">
      <w:pPr>
        <w:spacing w:after="0" w:line="276" w:lineRule="auto"/>
        <w:ind w:firstLine="567"/>
        <w:jc w:val="both"/>
        <w:rPr>
          <w:rFonts w:ascii="Arial" w:eastAsia="Calibri" w:hAnsi="Arial" w:cs="Arial"/>
          <w:lang w:val="en"/>
        </w:rPr>
      </w:pPr>
      <w:r w:rsidRPr="00DC4D13">
        <w:rPr>
          <w:rFonts w:ascii="Arial" w:eastAsia="Calibri" w:hAnsi="Arial" w:cs="Arial"/>
          <w:lang w:val="en"/>
        </w:rPr>
        <w:t xml:space="preserve">In Singapore, the Smart Countries Initiative is an archetype of integrated digital governance innovation as it employs the “3Cs” (connect, collect, comprehend) architecture for data-driven service delivery and citizen participation. Centrally, the program advocates for community representation in digitally framed policy processes and multi-stakeholder collaboration as key </w:t>
      </w:r>
      <w:r w:rsidR="00F31101"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{"citationItems":[{"id":"ITEM-1","itemData":{"DOI":"10.1007/978-3-030-96866-3_17","ISBN":"2365757X (ISSN)","ISSN":"23657588","abstract":"Digitalization is omnipresent in today’s social and urban life. This chapter attempts to discuss the advantage of digital transition as an asset for cities, it not only for urban development and job creation, but also for multi sectors’ digital participation in urban governance. The article presents a case study of Singapore’s collaborative digital governance model, which brings citizen perspectives especially vulnerable groups into the design of public policies and services co-creation. It emphasizes on the 3C (connect, collect, comprehend) concept of Smart Nation and design thinking empowers public service strategies created important foundation support digital collaborative governance in a diverse society, stimulates the initiative and enthusiasm of the public, guides market entities to participate in digital transformation scenarios, and fully encourages social creativity and the market vitality, which form a digital innovative ecosystem and a new paradigm of digital governance. The chapter envisages digital participation as a way towards inclusive growth in Singapore. It offers revised definitions of inclusive digital social innovation towards a new hypothesis of hybrid the resilient community.","author":[{"dropping-particle":"","family":"Ni","given":"Minqing","non-dropping-particle":"","parse-names":false,"suffix":""}],"container-title":"Urban Book Series","id":"ITEM-1","issued":{"date-parts":[["2022"]]},"language":"English","note":"Export Date: 22 June 2025; Cited By: 4; Correspondence Address: M. Ni; College of Design and Innovation, Tongji University, Shanghai, China; email: niminqing@tongji.edu.cn","page":"323-337","publisher":"Springer Science and Business Media Deutschland GmbH","publisher-place":"College of Design and Innovation, Tongji University, Shanghai, China","title":"Digital Participation for Inclusive Growth: A Case Study of Singapore’s Collaborative Digital Governance Model","type":"chapter"},"uris":["http://www.mendeley.com/documents/?uuid=da4d80ec-d74e-4f09-887f-17143ed397da","http://www.mendeley.com/documents/?uuid=105fbe61-3630-49fd-b081-618b14dc0a74"]},{"id":"ITEM-2","itemData":{"DOI":"10.1109/ICCC202255925.2022.9922714","ISBN":"9781665481779","abstract":"Change is the only constant in life. Hence, the transformation into a more complex form, at best, serves the very purpose of both natural and artificial development. Singapore's exceptional journey of becoming a crucial international commercial and financial hub paved the way toward being the frontrunner in creating a Smart Nation by embracing digitalization as the main driving force. At the same time, both its environmental and national security is highly dependent on innovation and international cooperation. This paper aims to present how Singapore embarked, among the first, on the digital pathway to ensure sustainability and reinforce resilience, as well as where it stands in the process of shaping its future by safeguarding the achievements of the welfare state (fair distribution of wealth, opportunity through education, highly developed healthcare system, social equality and responsibility). The creation of its digital identity is fueled by a vibrant digital economy and regulated by an effective digital government, enhanced by a sophisticated digital infrastructure. A holistic examination of different aspects of the city-state's digital transformation, validated with relevant qualitative and quantitative data, appears to be vital in determining the ideal trajectory of maintaining its benchmark status. This research also highlights the correlation between digitalization, the propagation of artificial intelligence in all spreads of life, and, as a consequence, the evolution of consumer trends due to the COVID-19 pandemic and the generation change amid the comprehensive set of regional and global challenges ahead.","author":[{"dropping-particle":"","family":"Aigner","given":"Ivan","non-dropping-particle":"","parse-names":false,"suffix":""},{"dropping-particle":"","family":"Garai-Fodor","given":"Mónika","non-dropping-particle":"","parse-names":false,"suffix":""},{"dropping-particle":"","family":"Szemere","given":"Tibor Pál","non-dropping-particle":"","parse-names":false,"suffix":""}],"container-title":"ICCC 2022 - IEEE 10th Jubilee International Conference on Computational Cybernetics and Cyber-Medical Systems, Proceedings","id":"ITEM-2","issued":{"date-parts":[["2022","7","6"]]},"language":"English","note":"Export Date: 22 June 2025; Cited By: 10; Conference name: 10th IEEE Jubilee International Conference on Computational Cybernetics and Cyber-Medical Systems, ICCC 2022; Conference date: 6 July 2022 through 9 July 2022; Conference code: 183712","page":"259-264","publisher":"IEEE","publisher-place":"Óbuda University, Keleti Faculty of Business and Management, Budapest, Hungary","title":"Singapore's Journey as a Digit-all-ized and Innovative Smart Nation Toward Sustainability","type":"paper-conference"},"uris":["http://www.mendeley.com/documents/?uuid=c17b991a-422c-4f1d-a063-36a1dd3328ed","http://www.mendeley.com/documents/?uuid=af9cb1d4-d188-4c1d-a7c8-115e2de02080","http://www.mendeley.com/documents/?uuid=5faea628-e103-44e3-9b80-d54ed9575b14"]}],"mendeley":{"formattedCitation":"(Aigner et al., 2022; Ni, 2022)","plainTextFormattedCitation":"(Aigner et al., 2022; Ni, 2022)","previouslyFormattedCitation":"(Aigner et al., 2022; Ni, 2022)"},"properties":{"noteIndex":0},"schema":"https://github.com/citation-style-language/schema/raw/master/csl-citation.json"}</w:instrText>
      </w:r>
      <w:r w:rsidR="00F31101" w:rsidRPr="004D5D1F">
        <w:rPr>
          <w:rFonts w:ascii="Arial" w:eastAsia="Calibri" w:hAnsi="Arial" w:cs="Arial"/>
          <w:lang w:val="en"/>
        </w:rPr>
        <w:fldChar w:fldCharType="separate"/>
      </w:r>
      <w:r w:rsidR="00F31101" w:rsidRPr="004D5D1F">
        <w:rPr>
          <w:rFonts w:ascii="Arial" w:eastAsia="Calibri" w:hAnsi="Arial" w:cs="Arial"/>
          <w:noProof/>
          <w:lang w:val="en"/>
        </w:rPr>
        <w:t>(Aigner et al., 2022; Ni, 2022)</w:t>
      </w:r>
      <w:r w:rsidR="00F31101" w:rsidRPr="004D5D1F">
        <w:rPr>
          <w:rFonts w:ascii="Arial" w:eastAsia="Calibri" w:hAnsi="Arial" w:cs="Arial"/>
          <w:lang w:val="en"/>
        </w:rPr>
        <w:fldChar w:fldCharType="end"/>
      </w:r>
      <w:r w:rsidR="00F31101" w:rsidRPr="004D5D1F">
        <w:rPr>
          <w:rFonts w:ascii="Arial" w:eastAsia="Calibri" w:hAnsi="Arial" w:cs="Arial"/>
          <w:lang w:val="en"/>
        </w:rPr>
        <w:t>.</w:t>
      </w:r>
      <w:r w:rsidR="00F31101">
        <w:rPr>
          <w:rFonts w:ascii="Arial" w:eastAsia="Calibri" w:hAnsi="Arial" w:cs="Arial"/>
          <w:lang w:val="en"/>
        </w:rPr>
        <w:t xml:space="preserve"> </w:t>
      </w:r>
      <w:r w:rsidRPr="00DC4D13">
        <w:rPr>
          <w:rFonts w:ascii="Arial" w:eastAsia="Calibri" w:hAnsi="Arial" w:cs="Arial"/>
          <w:lang w:val="en"/>
        </w:rPr>
        <w:t>Singapore further offers global leadership in the ethical use of innovative technologies by providing inclusion benchmarks at the core of governance frameworks. Malaysia, Thailand, and the Philippines also fall within the Southeast Asian region and exhibit differing degrees of progress regarding digital governance.</w:t>
      </w:r>
    </w:p>
    <w:p w14:paraId="31D56311" w14:textId="6DACB0A9" w:rsidR="009D217F" w:rsidRPr="004D5D1F" w:rsidRDefault="008E19FA" w:rsidP="00DC4D13">
      <w:pPr>
        <w:spacing w:after="0" w:line="276" w:lineRule="auto"/>
        <w:ind w:firstLine="567"/>
        <w:jc w:val="both"/>
        <w:rPr>
          <w:rFonts w:ascii="Arial" w:eastAsia="Calibri" w:hAnsi="Arial" w:cs="Arial"/>
          <w:lang w:val="en"/>
        </w:rPr>
      </w:pPr>
      <w:r w:rsidRPr="00DC4D13">
        <w:rPr>
          <w:rFonts w:ascii="Arial" w:eastAsia="Calibri" w:hAnsi="Arial" w:cs="Arial"/>
          <w:lang w:val="en"/>
        </w:rPr>
        <w:t>Malaysia</w:t>
      </w:r>
      <w:r>
        <w:rPr>
          <w:rFonts w:ascii="Arial" w:eastAsia="Calibri" w:hAnsi="Arial" w:cs="Arial"/>
          <w:lang w:val="en"/>
        </w:rPr>
        <w:t>’</w:t>
      </w:r>
      <w:r w:rsidRPr="00DC4D13">
        <w:rPr>
          <w:rFonts w:ascii="Arial" w:eastAsia="Calibri" w:hAnsi="Arial" w:cs="Arial"/>
          <w:lang w:val="en"/>
        </w:rPr>
        <w:t>s</w:t>
      </w:r>
      <w:r w:rsidR="00DC4D13" w:rsidRPr="00DC4D13">
        <w:rPr>
          <w:rFonts w:ascii="Arial" w:eastAsia="Calibri" w:hAnsi="Arial" w:cs="Arial"/>
          <w:lang w:val="en"/>
        </w:rPr>
        <w:t xml:space="preserve"> Smart City Governance uses ICT to optimize service delivery and promote civic engagement via social media and other digital platforms </w:t>
      </w:r>
      <w:r w:rsidR="00F31101"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{"citationItems":[{"id":"ITEM-1","itemData":{"DOI":"10.1051/e3sconf/202344003027","ISSN":"22671242","abstract":"The implementation of Smart City Governance (SCG) in Southeast Asia has gained attention as a way to improve urban life by integrating Information and Communication Technology (ICT) and citizen participation. This study examines the implementation of SCG in two Southeast Asian cities, Jakarta, Indonesia, and Kuala Lumpur, Malaysia, through online news articles analysis and data Twitter. The study employs a qualitative research method using NVivo 12 Plus software for data analysis. The study finds that the use of ICT in smart city governance in Jakarta and Kuala Lumpur has increased citizen participation through social media and government apps, especially Twitter. Analysis of Twitter data highlights the importance of monitoring public sentiment and differences in views related to the implementation of smart city governance. Citizen participation has a significant impact in improving transparency and the quality of public services. Digital inclusion is key in ensuring inclusive citizen participation and overcoming gaps in access. The study recommends that Jakarta can learn from Kuala Lumpur's success and enhance its communication strategies to increase public awareness and participation while also improving the quality and accessibility of ICT services to facilitate citizen engagement. This research provides insights for policymakers and practitioners in the development of SCG in Southeast Asia.","author":[{"dropping-particle":"","family":"Mutiarin","given":"Dyah","non-dropping-particle":"","parse-names":false,"suffix":""},{"dropping-particle":"","family":"Lawelai","given":"Herman","non-dropping-particle":"","parse-names":false,"suffix":""}],"container-title":"E3S Web of Conferences","editor":[{"dropping-particle":"","family":"Mutiarin","given":"D.","non-dropping-particle":"","parse-names":false,"suffix":""},{"dropping-particle":"","family":"Alam","given":"M.","non-dropping-particle":"","parse-names":false,"suffix":""},{"dropping-particle":"","family":"Cahill","given":"D.","non-dropping-particle":"","parse-names":false,"suffix":""},{"dropping-particle":"","family":"Sharifuddin","given":"J.","non-dropping-particle":"","parse-names":false,"suffix":""},{"dropping-particle":"","family":"Senge","given":"M.","non-dropping-particle":"","parse-names":false,"suffix":""},{"dropping-particle":"","family":"Robani","given":"A.","non-dropping-particle":"","parse-names":false,"suffix":""},{"dropping-particle":"","family":"Saiyut","given":"P.","non-dropping-particle":"","parse-names":false,"suffix":""},{"dropping-particle":"","family":"Nurmandi","given":"A.","non-dropping-particle":"","parse-names":false,"suffix":""}],"id":"ITEM-1","issued":{"date-parts":[["2023","11","1"]]},"page":"03027","title":"Optimizing the Role of ICT and Citizen Participation: Analysis of Smart City Governance Implementation in Jakarta, Indonesia and Kuala Lumpur, Malaysia","type":"article-journal","volume":"440"},"uris":["http://www.mendeley.com/documents/?uuid=6241e6bc-036f-4387-ae49-cd4765a5ced7","http://www.mendeley.com/documents/?uuid=ce8b6304-8d09-4cb7-86fa-325db7d7af9c"]}],"mendeley":{"formattedCitation":"(Mutiarin &amp; Lawelai, 2023)","plainTextFormattedCitation":"(Mutiarin &amp; Lawelai, 2023)","previouslyFormattedCitation":"(Mutiarin &amp; Lawelai, 2023)"},"properties":{"noteIndex":0},"schema":"https://github.com/citation-style-language/schema/raw/master/csl-citation.json"}</w:instrText>
      </w:r>
      <w:r w:rsidR="00F31101" w:rsidRPr="004D5D1F">
        <w:rPr>
          <w:rFonts w:ascii="Arial" w:eastAsia="Calibri" w:hAnsi="Arial" w:cs="Arial"/>
          <w:lang w:val="en"/>
        </w:rPr>
        <w:fldChar w:fldCharType="separate"/>
      </w:r>
      <w:r w:rsidR="00F31101" w:rsidRPr="004D5D1F">
        <w:rPr>
          <w:rFonts w:ascii="Arial" w:eastAsia="Calibri" w:hAnsi="Arial" w:cs="Arial"/>
          <w:noProof/>
          <w:lang w:val="en"/>
        </w:rPr>
        <w:t>(Mutiarin &amp; Lawelai, 2023)</w:t>
      </w:r>
      <w:r w:rsidR="00F31101" w:rsidRPr="004D5D1F">
        <w:rPr>
          <w:rFonts w:ascii="Arial" w:eastAsia="Calibri" w:hAnsi="Arial" w:cs="Arial"/>
          <w:lang w:val="en"/>
        </w:rPr>
        <w:fldChar w:fldCharType="end"/>
      </w:r>
      <w:r w:rsidR="00F31101" w:rsidRPr="004D5D1F">
        <w:rPr>
          <w:rFonts w:ascii="Arial" w:eastAsia="Calibri" w:hAnsi="Arial" w:cs="Arial"/>
          <w:lang w:val="en"/>
        </w:rPr>
        <w:t xml:space="preserve">. </w:t>
      </w:r>
      <w:r w:rsidR="00DC4D13" w:rsidRPr="00DC4D13">
        <w:rPr>
          <w:rFonts w:ascii="Arial" w:eastAsia="Calibri" w:hAnsi="Arial" w:cs="Arial"/>
          <w:lang w:val="en"/>
        </w:rPr>
        <w:t xml:space="preserve">In Thailand, basic e-government services are complemented by Local Government Awards and other incentivized participation </w:t>
      </w:r>
      <w:r w:rsidR="00F31101"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{"citationItems":[{"id":"ITEM-1","itemData":{"DOI":"10.1109/MITICON.2016.8025214","ISBN":"9781509041053","abstract":"This paper presents a digital perspective and innovation roadmap for Thailand E-government in order to increase service level standards. This paper considers technology priority matrix for digital government. Readiness is also considered directly for the proposed roadmap. In addition, this paper provides the reviews of current status of Thailand's E-government, and an innovated solution in information systems. Perspectives application reach and key technology are also included.","author":[{"dropping-particle":"","family":"Noymanee","given":"Jeerana","non-dropping-particle":"","parse-names":false,"suffix":""},{"dropping-particle":"","family":"San-Um","given":"Wimol","non-dropping-particle":"","parse-names":false,"suffix":""},{"dropping-particle":"","family":"Theeramunkong","given":"Thanaruk","non-dropping-particle":"","parse-names":false,"suffix":""}],"container-title":"2016 Management and Innovation Technology International Conference, MITiCON 2016","id":"ITEM-1","issued":{"date-parts":[["2017","10"]]},"language":"English","note":"Export Date: 22 June 2025; Cited By: 1; Conference name: 3rd Management and Innovation Technology International Conference, MITiCON 2016; Conference date: 12 October 2016 through 14 October 2016; Conference code: 130565","page":"MIT198-MIT203","publisher":"IEEE","publisher-place":"Electronic Government Agency, Bangkok, Thailand","title":"Perspectives and innovation roadmap for service ability enhancement of Thai E-government","type":"paper-conference"},"uris":["http://www.mendeley.com/documents/?uuid=50651f4e-de2d-4aea-9cbc-3f87a06b9e8c","http://www.mendeley.com/documents/?uuid=1c04bbe4-f93c-48ac-b02e-0bd45804eae2"]},{"id":"ITEM-2","itemData":{"DOI":"10.1109/IBDAP50342.2020.9245461","ISBN":"9781728181066","abstract":"Digital transformation has increasingly become a central issue to governments around the world as they seek innovative digital solutions in response to socioeconomic, political, and technological pressures. In this paper, we present a framework that formalizes the government-wide digital transformation process, standardizes infrastructure architecture, cultural and industrial change with human resource development, data management and data governance, and data exchange protocols in a trusted and regulated environment, leading toward effective and sustainable utilization of big data analytics in policymaking and creation of digital innovations. We also discuss specific customizations of the framework in the Thai government's context as well as its adoption progress, providing material evidence of the framework's practicality.","author":[{"dropping-particle":"","family":"Thamjaroenporn","given":"Papoj","non-dropping-particle":"","parse-names":false,"suffix":""},{"dropping-particle":"","family":"Achalakul","given":"Tiranee","non-dropping-particle":"","parse-names":false,"suffix":""}],"container-title":"2020 1st International Conference on Big Data Analytics and Practices, IBDAP 2020","id":"ITEM-2","issued":{"date-parts":[["2020","9","25"]]},"language":"English","note":"Export Date: 22 June 2025; Cited By: 6; Conference name: 1st International Conference on Big Data Analytics and Practices, IBDAP 2020; Conference date: 25 September 2020 through 26 September 2020; Conference code: 164855","page":"1-6","publisher":"IEEE","publisher-place":"Government Big Data Institute, Bangkok, Thailand","title":"Big Data Analytics Framework for Digital Government","type":"paper-conference"},"uris":["http://www.mendeley.com/documents/?uuid=a144ac89-fcd4-41ab-b426-ec00277242ea","http://www.mendeley.com/documents/?uuid=51efa68c-86d5-41d5-bb25-391ead926095","http://www.mendeley.com/documents/?uuid=e712947c-0d86-484a-9b8d-b728d8204236"]}],"mendeley":{"formattedCitation":"(Noymanee et al., 2017; Thamjaroenporn &amp; Achalakul, 2020)","plainTextFormattedCitation":"(Noymanee et al., 2017; Thamjaroenporn &amp; Achalakul, 2020)","previouslyFormattedCitation":"(Noymanee et al., 2017; Thamjaroenporn &amp; Achalakul, 2020)"},"properties":{"noteIndex":0},"schema":"https://github.com/citation-style-language/schema/raw/master/csl-citation.json"}</w:instrText>
      </w:r>
      <w:r w:rsidR="00F31101" w:rsidRPr="004D5D1F">
        <w:rPr>
          <w:rFonts w:ascii="Arial" w:eastAsia="Calibri" w:hAnsi="Arial" w:cs="Arial"/>
          <w:lang w:val="en"/>
        </w:rPr>
        <w:fldChar w:fldCharType="separate"/>
      </w:r>
      <w:r w:rsidR="00F31101" w:rsidRPr="004D5D1F">
        <w:rPr>
          <w:rFonts w:ascii="Arial" w:eastAsia="Calibri" w:hAnsi="Arial" w:cs="Arial"/>
          <w:noProof/>
          <w:lang w:val="en"/>
        </w:rPr>
        <w:t>(Noymanee et al., 2017; Thamjaroenporn &amp; Achalakul, 2020)</w:t>
      </w:r>
      <w:r w:rsidR="00F31101" w:rsidRPr="004D5D1F">
        <w:rPr>
          <w:rFonts w:ascii="Arial" w:eastAsia="Calibri" w:hAnsi="Arial" w:cs="Arial"/>
          <w:lang w:val="en"/>
        </w:rPr>
        <w:fldChar w:fldCharType="end"/>
      </w:r>
      <w:r w:rsidR="00F31101" w:rsidRPr="004D5D1F">
        <w:rPr>
          <w:rFonts w:ascii="Arial" w:eastAsia="Calibri" w:hAnsi="Arial" w:cs="Arial"/>
          <w:lang w:val="en"/>
        </w:rPr>
        <w:t>.</w:t>
      </w:r>
      <w:r w:rsidR="00F31101">
        <w:rPr>
          <w:rFonts w:ascii="Arial" w:eastAsia="Calibri" w:hAnsi="Arial" w:cs="Arial"/>
          <w:lang w:val="en"/>
        </w:rPr>
        <w:t xml:space="preserve"> </w:t>
      </w:r>
      <w:r w:rsidR="00DC4D13" w:rsidRPr="00DC4D13">
        <w:rPr>
          <w:rFonts w:ascii="Arial" w:eastAsia="Calibri" w:hAnsi="Arial" w:cs="Arial"/>
          <w:lang w:val="en"/>
        </w:rPr>
        <w:t xml:space="preserve">The e-Governance project in South Cotabato, Philippines, highlights social </w:t>
      </w:r>
      <w:r w:rsidRPr="00DC4D13">
        <w:rPr>
          <w:rFonts w:ascii="Arial" w:eastAsia="Calibri" w:hAnsi="Arial" w:cs="Arial"/>
          <w:lang w:val="en"/>
        </w:rPr>
        <w:t>media</w:t>
      </w:r>
      <w:r>
        <w:rPr>
          <w:rFonts w:ascii="Arial" w:eastAsia="Calibri" w:hAnsi="Arial" w:cs="Arial"/>
          <w:lang w:val="en"/>
        </w:rPr>
        <w:t>’</w:t>
      </w:r>
      <w:r w:rsidRPr="00DC4D13">
        <w:rPr>
          <w:rFonts w:ascii="Arial" w:eastAsia="Calibri" w:hAnsi="Arial" w:cs="Arial"/>
          <w:lang w:val="en"/>
        </w:rPr>
        <w:t>s</w:t>
      </w:r>
      <w:r w:rsidR="00DC4D13" w:rsidRPr="00DC4D13">
        <w:rPr>
          <w:rFonts w:ascii="Arial" w:eastAsia="Calibri" w:hAnsi="Arial" w:cs="Arial"/>
          <w:lang w:val="en"/>
        </w:rPr>
        <w:t xml:space="preserve"> dual role as an administrative interface and participatory tool </w:t>
      </w:r>
      <w:r w:rsidR="00F31101" w:rsidRPr="004D5D1F">
        <w:rPr>
          <w:rFonts w:ascii="Arial" w:eastAsia="Calibri" w:hAnsi="Arial" w:cs="Arial"/>
          <w:lang w:val="en"/>
        </w:rPr>
        <w:fldChar w:fldCharType="begin" w:fldLock="1"/>
      </w:r>
      <w:r w:rsidR="009717CF">
        <w:rPr>
          <w:rFonts w:ascii="Arial" w:eastAsia="Calibri" w:hAnsi="Arial" w:cs="Arial"/>
          <w:lang w:val="en"/>
        </w:rPr>
        <w:instrText>ADDIN CSL_CITATION {"citationItems":[{"id":"ITEM-1","itemData":{"DOI":"10.1007/978-3-030-96866-3_17","ISBN":"2365757X (ISSN)","ISSN":"23657588","abstract":"Digitalization is omnipresent in today’s social and urban life. This chapter attempts to discuss the advantage of digital transition as an asset for cities, it not only for urban development and job creation, but also for multi sectors’ digital participation in urban governance. The article presents a case study of Singapore’s collaborative digital governance model, which brings citizen perspectives especially vulnerable groups into the design of public policies and services co-creation. It emphasizes on the 3C (connect, collect, comprehend) concept of Smart Nation and design thinking empowers public service strategies created important foundation support digital collaborative governance in a diverse society, stimulates the initiative and enthusiasm of the public, guides market entities to participate in digital transformation scenarios, and fully encourages social creativity and the market vitality, which form a digital innovative ecosystem and a new paradigm of digital governance. The chapter envisages digital participation as a way towards inclusive growth in Singapore. It offers revised definitions of inclusive digital social innovation towards a new hypothesis of hybrid the resilient community.","author":[{"dropping-particle":"","family":"Ni","given":"Minqing","non-dropping-particle":"","parse-names":false,"suffix":""}],"container-title":"Urban Book Series","id":"ITEM-1","issued":{"date-parts":[["2022"]]},"language":"English","note":"Export Date: 22 June 2025; Cited By: 4; Correspondence Address: M. Ni; College of Design and Innovation, Tongji University, Shanghai, China; email: niminqing@tongji.edu.cn","page":"323-337","publisher":"Springer Science and Business Media Deutschland GmbH","publisher-place":"College of Design and Innovation, Tongji University, Shanghai, China","title":"Digital Participation for Inclusive Growth: A Case Study of Singapore’s Collaborative Digital Governance Model","type":"chapter"},"uris":["http://www.mendeley.com/documents/?uuid=da4d80ec-d74e-4f09-887f-17143ed397da","http://www.mendeley.com/documents/?uuid=105fbe61-3630-49fd-b081-618b14dc0a74"]},{"id":"ITEM-2","itemData":{"DOI":"10.1109/ICCC202255925.2022.9922714","ISBN":"9781665481779","abstract":"Change is the only constant in life. Hence, the transformation into a more complex form, at best, serves the very purpose of both natural and artificial development. Singapore's exceptional journey of becoming a crucial international commercial and financial hub paved the way toward being the frontrunner in creating a Smart Nation by embracing digitalization as the main driving force. At the same time, both its environmental and national security is highly dependent on innovation and international cooperation. This paper aims to present how Singapore embarked, among the first, on the digital pathway to ensure sustainability and reinforce resilience, as well as where it stands in the process of shaping its future by safeguarding the achievements of the welfare state (fair distribution of wealth, opportunity through education, highly developed healthcare system, social equality and responsibility). The creation of its digital identity is fueled by a vibrant digital economy and regulated by an effective digital government, enhanced by a sophisticated digital infrastructure. A holistic examination of different aspects of the city-state's digital transformation, validated with relevant qualitative and quantitative data, appears to be vital in determining the ideal trajectory of maintaining its benchmark status. This research also highlights the correlation between digitalization, the propagation of artificial intelligence in all spreads of life, and, as a consequence, the evolution of consumer trends due to the COVID-19 pandemic and the generation change amid the comprehensive set of regional and global challenges ahead.","author":[{"dropping-particle":"","family":"Aigner","given":"Ivan","non-dropping-particle":"","parse-names":false,"suffix":""},{"dropping-particle":"","family":"Garai-Fodor","given":"Mónika","non-dropping-particle":"","parse-names":false,"suffix":""},{"dropping-particle":"","family":"Szemere","given":"Tibor Pál","non-dropping-particle":"","parse-names":false,"suffix":""}],"container-title":"ICCC 2022 - IEEE 10th Jubilee International Conference on Computational Cybernetics and Cyber-Medical Systems, Proceedings","id":"ITEM-2","issued":{"date-parts":[["2022","7","6"]]},"language":"English","note":"Export Date: 22 June 2025; Cited By: 10; Conference name: 10th IEEE Jubilee International Conference on Computational Cybernetics and Cyber-Medical Systems, ICCC 2022; Conference date: 6 July 2022 through 9 July 2022; Conference code: 183712","page":"259-264","publisher":"IEEE","publisher-place":"Óbuda University, Keleti Faculty of Business and Management, Budapest, Hungary","title":"Singapore's Journey as a Digit-all-ized and Innovative Smart Nation Toward Sustainability","type":"paper-conference"},"uris":["http://www.mendeley.com/documents/?uuid=c17b991a-422c-4f1d-a063-36a1dd3328ed","http://www.mendeley.com/documents/?uuid=af9cb1d4-d188-4c1d-a7c8-115e2de02080","http://www.mendeley.com/documents/?uuid=8eff43c4-d511-4159-8edd-a3ec0a680c22"]}],"mendeley":{"formattedCitation":"(Aigner et al., 2022; Ni, 2022)","plainTextFormattedCitation":"(Aigner et al., 2022; Ni, 2022)","previouslyFormattedCitation":"(Aigner et al., 2022; Ni, 2022)"},"properties":{"noteIndex":0},"schema":"https://github.com/citation-style-language/schema/raw/master/csl-citation.json"}</w:instrText>
      </w:r>
      <w:r w:rsidR="00F31101" w:rsidRPr="004D5D1F">
        <w:rPr>
          <w:rFonts w:ascii="Arial" w:eastAsia="Calibri" w:hAnsi="Arial" w:cs="Arial"/>
          <w:lang w:val="en"/>
        </w:rPr>
        <w:fldChar w:fldCharType="separate"/>
      </w:r>
      <w:r w:rsidR="00F31101" w:rsidRPr="004D5D1F">
        <w:rPr>
          <w:rFonts w:ascii="Arial" w:eastAsia="Calibri" w:hAnsi="Arial" w:cs="Arial"/>
          <w:noProof/>
          <w:lang w:val="en"/>
        </w:rPr>
        <w:t>(Aigner et al., 2022; Ni, 2022)</w:t>
      </w:r>
      <w:r w:rsidR="00F31101" w:rsidRPr="004D5D1F">
        <w:rPr>
          <w:rFonts w:ascii="Arial" w:eastAsia="Calibri" w:hAnsi="Arial" w:cs="Arial"/>
          <w:lang w:val="en"/>
        </w:rPr>
        <w:fldChar w:fldCharType="end"/>
      </w:r>
      <w:r w:rsidR="00F31101" w:rsidRPr="004D5D1F">
        <w:rPr>
          <w:rFonts w:ascii="Arial" w:eastAsia="Calibri" w:hAnsi="Arial" w:cs="Arial"/>
          <w:lang w:val="en"/>
        </w:rPr>
        <w:t>.</w:t>
      </w:r>
      <w:r w:rsidR="00F31101">
        <w:rPr>
          <w:rFonts w:ascii="Arial" w:eastAsia="Calibri" w:hAnsi="Arial" w:cs="Arial"/>
          <w:lang w:val="en"/>
        </w:rPr>
        <w:t xml:space="preserve"> </w:t>
      </w:r>
      <w:r w:rsidR="00DC4D13" w:rsidRPr="00DC4D13">
        <w:rPr>
          <w:rFonts w:ascii="Arial" w:eastAsia="Calibri" w:hAnsi="Arial" w:cs="Arial"/>
          <w:lang w:val="en"/>
        </w:rPr>
        <w:t>Collectively, these studies illustrate that sustainable digital governance stems from the collaboration of government, civil society, and the business sphere, as well as the need for steady political will and public trust to foster innovation. I can adapt these insights into a policy brief, slide deck, or infographic.</w:t>
      </w:r>
    </w:p>
    <w:p w14:paraId="631063E2" w14:textId="77777777" w:rsidR="009D217F" w:rsidRDefault="009D217F" w:rsidP="00916449">
      <w:pPr>
        <w:spacing w:line="276" w:lineRule="auto"/>
        <w:jc w:val="both"/>
        <w:rPr>
          <w:rFonts w:ascii="Arial" w:eastAsia="Calibri" w:hAnsi="Arial" w:cs="Arial"/>
          <w:lang w:val="id-ID"/>
        </w:rPr>
      </w:pPr>
    </w:p>
    <w:p w14:paraId="3DD9C793" w14:textId="38D9041B" w:rsidR="009D217F" w:rsidRPr="00761E7E" w:rsidRDefault="009D217F" w:rsidP="009D217F">
      <w:pPr>
        <w:spacing w:after="0" w:line="276" w:lineRule="auto"/>
        <w:jc w:val="both"/>
        <w:rPr>
          <w:rFonts w:ascii="Arial" w:hAnsi="Arial" w:cs="Arial"/>
          <w:b/>
          <w:szCs w:val="20"/>
        </w:rPr>
      </w:pPr>
      <w:r w:rsidRPr="009D217F">
        <w:rPr>
          <w:rFonts w:ascii="Arial" w:hAnsi="Arial" w:cs="Arial"/>
          <w:b/>
          <w:szCs w:val="20"/>
        </w:rPr>
        <w:t>CONCLUSIONS</w:t>
      </w:r>
    </w:p>
    <w:p w14:paraId="7C90D9B1" w14:textId="0ABF51A8" w:rsidR="002F40B4" w:rsidRPr="002F40B4" w:rsidRDefault="002F40B4" w:rsidP="002F40B4">
      <w:pPr>
        <w:spacing w:after="0" w:line="276" w:lineRule="auto"/>
        <w:ind w:firstLine="567"/>
        <w:jc w:val="both"/>
        <w:rPr>
          <w:rFonts w:ascii="Arial" w:eastAsia="Calibri" w:hAnsi="Arial" w:cs="Arial"/>
          <w:lang w:val="en"/>
        </w:rPr>
      </w:pPr>
      <w:r w:rsidRPr="002F40B4">
        <w:rPr>
          <w:rFonts w:ascii="Arial" w:eastAsia="Calibri" w:hAnsi="Arial" w:cs="Arial"/>
          <w:lang w:val="en"/>
        </w:rPr>
        <w:t xml:space="preserve">This study systematically synthesized 996 scientific publications to digitally transform local governance in Southeast Asia. The results of the bibliometric analysis, along with thematic clustering, demonstrate the technological innovations of smart cities, e-government, and digital participation. These innovations have evolved over time to construct a conceptual system of digital transformation. These results reaffirm that the operational efficacy of the bureaucracy, together with heightened public engagement, is strongly influenced by the level of institutional preparedness and the digital literacy of the constituents. The research also emphasizes how data-driven governance with advanced social policy instruments responds to the </w:t>
      </w:r>
      <w:r w:rsidR="008E19FA" w:rsidRPr="002F40B4">
        <w:rPr>
          <w:rFonts w:ascii="Arial" w:eastAsia="Calibri" w:hAnsi="Arial" w:cs="Arial"/>
          <w:lang w:val="en"/>
        </w:rPr>
        <w:t>region</w:t>
      </w:r>
      <w:r w:rsidR="008E19FA">
        <w:rPr>
          <w:rFonts w:ascii="Arial" w:eastAsia="Calibri" w:hAnsi="Arial" w:cs="Arial"/>
          <w:lang w:val="en"/>
        </w:rPr>
        <w:t>’</w:t>
      </w:r>
      <w:r w:rsidR="008E19FA" w:rsidRPr="002F40B4">
        <w:rPr>
          <w:rFonts w:ascii="Arial" w:eastAsia="Calibri" w:hAnsi="Arial" w:cs="Arial"/>
          <w:lang w:val="en"/>
        </w:rPr>
        <w:t>s</w:t>
      </w:r>
      <w:r w:rsidRPr="002F40B4">
        <w:rPr>
          <w:rFonts w:ascii="Arial" w:eastAsia="Calibri" w:hAnsi="Arial" w:cs="Arial"/>
          <w:lang w:val="en"/>
        </w:rPr>
        <w:t xml:space="preserve"> complex social issues. </w:t>
      </w:r>
    </w:p>
    <w:p w14:paraId="1D681AD3" w14:textId="2C37E1D0" w:rsidR="009D217F" w:rsidRDefault="002F40B4" w:rsidP="002F40B4">
      <w:pPr>
        <w:spacing w:after="0" w:line="276" w:lineRule="auto"/>
        <w:ind w:firstLine="567"/>
        <w:jc w:val="both"/>
        <w:rPr>
          <w:rFonts w:ascii="Arial" w:eastAsia="Calibri" w:hAnsi="Arial" w:cs="Arial"/>
          <w:lang w:val="en"/>
        </w:rPr>
      </w:pPr>
      <w:r w:rsidRPr="002F40B4">
        <w:rPr>
          <w:rFonts w:ascii="Arial" w:eastAsia="Calibri" w:hAnsi="Arial" w:cs="Arial"/>
          <w:lang w:val="en"/>
        </w:rPr>
        <w:t xml:space="preserve">With the primary goal of sustainability in mind, this research provides an indirect strategic reference for policymakers focusing on adaptive, technology-centered governance models. The highlighted practices from Indonesia, Malaysia, Singapore, Thailand, the Philippines, and other ASEAN countries underscore the role of cross-sector collaboration in establishing a democratic digital ecosystem. This research serves as a springboard for exploring AI ethics, interoperability within public systems, and the strengthening of trust in digital governance and transformations. Ultimately, the resilience of digital innovation in local government will rely on system design driven by community engagement as well as synergy between policies, technology, and the </w:t>
      </w:r>
      <w:r w:rsidR="008E19FA" w:rsidRPr="002F40B4">
        <w:rPr>
          <w:rFonts w:ascii="Arial" w:eastAsia="Calibri" w:hAnsi="Arial" w:cs="Arial"/>
          <w:lang w:val="en"/>
        </w:rPr>
        <w:t>people</w:t>
      </w:r>
      <w:r w:rsidR="008E19FA">
        <w:rPr>
          <w:rFonts w:ascii="Arial" w:eastAsia="Calibri" w:hAnsi="Arial" w:cs="Arial"/>
          <w:lang w:val="en"/>
        </w:rPr>
        <w:t>’</w:t>
      </w:r>
      <w:r w:rsidR="008E19FA" w:rsidRPr="002F40B4">
        <w:rPr>
          <w:rFonts w:ascii="Arial" w:eastAsia="Calibri" w:hAnsi="Arial" w:cs="Arial"/>
          <w:lang w:val="en"/>
        </w:rPr>
        <w:t>s</w:t>
      </w:r>
      <w:r w:rsidRPr="002F40B4">
        <w:rPr>
          <w:rFonts w:ascii="Arial" w:eastAsia="Calibri" w:hAnsi="Arial" w:cs="Arial"/>
          <w:lang w:val="en"/>
        </w:rPr>
        <w:t xml:space="preserve"> actual needs.</w:t>
      </w:r>
    </w:p>
    <w:p w14:paraId="6D37DA65" w14:textId="77777777" w:rsidR="00E15DFB" w:rsidRPr="004D5D1F" w:rsidRDefault="00E15DFB" w:rsidP="00E15DFB">
      <w:pPr>
        <w:spacing w:after="0" w:line="276" w:lineRule="auto"/>
        <w:ind w:firstLine="567"/>
        <w:jc w:val="both"/>
        <w:rPr>
          <w:rFonts w:ascii="Arial" w:eastAsia="Calibri" w:hAnsi="Arial" w:cs="Arial"/>
        </w:rPr>
      </w:pPr>
    </w:p>
    <w:p w14:paraId="0FB5733C" w14:textId="47C5A68F" w:rsidR="00916449" w:rsidRPr="00E56E3C" w:rsidRDefault="00916449" w:rsidP="00916449">
      <w:pPr>
        <w:spacing w:after="0" w:line="276" w:lineRule="auto"/>
        <w:jc w:val="both"/>
        <w:rPr>
          <w:rFonts w:ascii="Arial" w:eastAsia="Calibri" w:hAnsi="Arial" w:cs="Arial"/>
          <w:lang w:val="pt-BR"/>
        </w:rPr>
      </w:pPr>
      <w:r w:rsidRPr="00E56E3C">
        <w:rPr>
          <w:rFonts w:ascii="Arial" w:eastAsia="Calibri" w:hAnsi="Arial" w:cs="Arial"/>
          <w:b/>
          <w:szCs w:val="18"/>
          <w:lang w:val="pt-BR"/>
        </w:rPr>
        <w:t>REFER</w:t>
      </w:r>
      <w:r w:rsidRPr="00761E7E">
        <w:rPr>
          <w:rFonts w:ascii="Arial" w:eastAsia="Calibri" w:hAnsi="Arial" w:cs="Arial"/>
          <w:b/>
          <w:szCs w:val="18"/>
          <w:lang w:val="id-ID"/>
        </w:rPr>
        <w:t>ENCES</w:t>
      </w:r>
    </w:p>
    <w:p w14:paraId="52C07198" w14:textId="6A584092" w:rsidR="009717CF" w:rsidRPr="009717CF" w:rsidRDefault="004D5D1F" w:rsidP="009717CF">
      <w:pPr>
        <w:widowControl w:val="0"/>
        <w:autoSpaceDE w:val="0"/>
        <w:autoSpaceDN w:val="0"/>
        <w:adjustRightInd w:val="0"/>
        <w:spacing w:before="120" w:after="0" w:line="240" w:lineRule="auto"/>
        <w:ind w:left="480" w:hanging="480"/>
        <w:rPr>
          <w:rFonts w:ascii="Arial" w:hAnsi="Arial" w:cs="Arial"/>
          <w:noProof/>
        </w:rPr>
      </w:pPr>
      <w:r w:rsidRPr="00CC2B2F">
        <w:rPr>
          <w:rFonts w:ascii="Arial" w:eastAsia="Calibri" w:hAnsi="Arial" w:cs="Arial"/>
        </w:rPr>
        <w:fldChar w:fldCharType="begin" w:fldLock="1"/>
      </w:r>
      <w:r w:rsidRPr="00E56E3C">
        <w:rPr>
          <w:rFonts w:ascii="Arial" w:eastAsia="Calibri" w:hAnsi="Arial" w:cs="Arial"/>
          <w:lang w:val="pt-BR"/>
        </w:rPr>
        <w:instrText xml:space="preserve">ADDIN Mendeley Bibliography CSL_BIBLIOGRAPHY </w:instrText>
      </w:r>
      <w:r w:rsidRPr="00CC2B2F">
        <w:rPr>
          <w:rFonts w:ascii="Arial" w:eastAsia="Calibri" w:hAnsi="Arial" w:cs="Arial"/>
        </w:rPr>
        <w:fldChar w:fldCharType="separate"/>
      </w:r>
      <w:r w:rsidR="009717CF" w:rsidRPr="00F94379">
        <w:rPr>
          <w:rFonts w:ascii="Arial" w:hAnsi="Arial" w:cs="Arial"/>
          <w:noProof/>
          <w:lang w:val="pt-BR"/>
        </w:rPr>
        <w:t xml:space="preserve">Aboucaya, W., Angarita, R., &amp; Issarny, V. (2022). </w:t>
      </w:r>
      <w:r w:rsidR="009717CF" w:rsidRPr="009717CF">
        <w:rPr>
          <w:rFonts w:ascii="Arial" w:hAnsi="Arial" w:cs="Arial"/>
          <w:noProof/>
        </w:rPr>
        <w:t xml:space="preserve">Detecting Obstacles to Collaboration in an Online Participatory Democracy Platform: A Use-case Driven Analysis. </w:t>
      </w:r>
      <w:r w:rsidR="009717CF" w:rsidRPr="009717CF">
        <w:rPr>
          <w:rFonts w:ascii="Arial" w:hAnsi="Arial" w:cs="Arial"/>
          <w:i/>
          <w:iCs/>
          <w:noProof/>
        </w:rPr>
        <w:t>Proceedings - International Workshop on Equitable Data and Technology, FairWare 2022</w:t>
      </w:r>
      <w:r w:rsidR="009717CF" w:rsidRPr="009717CF">
        <w:rPr>
          <w:rFonts w:ascii="Arial" w:hAnsi="Arial" w:cs="Arial"/>
          <w:noProof/>
        </w:rPr>
        <w:t>, 25–33. https://doi.org/10.1145/3524491.3527307</w:t>
      </w:r>
    </w:p>
    <w:p w14:paraId="3BD2C570"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Aigner, I., Garai-Fodor, M., &amp; Szemere, T. P. (2022). Singapore’s Journey as a Digit-all-ized and Innovative Smart Nation Toward Sustainability. </w:t>
      </w:r>
      <w:r w:rsidRPr="009717CF">
        <w:rPr>
          <w:rFonts w:ascii="Arial" w:hAnsi="Arial" w:cs="Arial"/>
          <w:i/>
          <w:iCs/>
          <w:noProof/>
        </w:rPr>
        <w:t>ICCC 2022 - IEEE 10th Jubilee International Conference on Computational Cybernetics and Cyber-Medical Systems, Proceedings</w:t>
      </w:r>
      <w:r w:rsidRPr="009717CF">
        <w:rPr>
          <w:rFonts w:ascii="Arial" w:hAnsi="Arial" w:cs="Arial"/>
          <w:noProof/>
        </w:rPr>
        <w:t>, 259–264. https://doi.org/10.1109/ICCC202255925.2022.9922714</w:t>
      </w:r>
    </w:p>
    <w:p w14:paraId="1FED1EC6" w14:textId="77777777" w:rsidR="009717CF" w:rsidRPr="00F94379" w:rsidRDefault="009717CF" w:rsidP="009717CF">
      <w:pPr>
        <w:widowControl w:val="0"/>
        <w:autoSpaceDE w:val="0"/>
        <w:autoSpaceDN w:val="0"/>
        <w:adjustRightInd w:val="0"/>
        <w:spacing w:before="120" w:after="0" w:line="240" w:lineRule="auto"/>
        <w:ind w:left="480" w:hanging="480"/>
        <w:rPr>
          <w:rFonts w:ascii="Arial" w:hAnsi="Arial" w:cs="Arial"/>
          <w:noProof/>
          <w:lang w:val="pt-BR"/>
        </w:rPr>
      </w:pPr>
      <w:r w:rsidRPr="00F94379">
        <w:rPr>
          <w:rFonts w:ascii="Arial" w:hAnsi="Arial" w:cs="Arial"/>
          <w:noProof/>
          <w:lang w:val="pt-BR"/>
        </w:rPr>
        <w:t xml:space="preserve">Anggono, B. D., Wahanisa, R., Aulia Oktarizka Vivi Puspita Sari, A. P., &amp; Adiyatma, S. E. (2025). </w:t>
      </w:r>
      <w:r w:rsidRPr="009717CF">
        <w:rPr>
          <w:rFonts w:ascii="Arial" w:hAnsi="Arial" w:cs="Arial"/>
          <w:noProof/>
        </w:rPr>
        <w:t xml:space="preserve">Interrogating the Legal Foundations of Digital Transformation: Balancing Economic Growth and Social Welfare in the Era of Disruption. </w:t>
      </w:r>
      <w:r w:rsidRPr="00F94379">
        <w:rPr>
          <w:rFonts w:ascii="Arial" w:hAnsi="Arial" w:cs="Arial"/>
          <w:i/>
          <w:iCs/>
          <w:noProof/>
          <w:lang w:val="pt-BR"/>
        </w:rPr>
        <w:t>Volksgeist: Jurnal Ilmu Hukum Dan Konstitusi</w:t>
      </w:r>
      <w:r w:rsidRPr="00F94379">
        <w:rPr>
          <w:rFonts w:ascii="Arial" w:hAnsi="Arial" w:cs="Arial"/>
          <w:noProof/>
          <w:lang w:val="pt-BR"/>
        </w:rPr>
        <w:t xml:space="preserve">, </w:t>
      </w:r>
      <w:r w:rsidRPr="00F94379">
        <w:rPr>
          <w:rFonts w:ascii="Arial" w:hAnsi="Arial" w:cs="Arial"/>
          <w:i/>
          <w:iCs/>
          <w:noProof/>
          <w:lang w:val="pt-BR"/>
        </w:rPr>
        <w:t>8</w:t>
      </w:r>
      <w:r w:rsidRPr="00F94379">
        <w:rPr>
          <w:rFonts w:ascii="Arial" w:hAnsi="Arial" w:cs="Arial"/>
          <w:noProof/>
          <w:lang w:val="pt-BR"/>
        </w:rPr>
        <w:t>(1), 191–211. https://doi.org/10.24090/volksgeist.v8i1.12211</w:t>
      </w:r>
    </w:p>
    <w:p w14:paraId="66C25789"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F94379">
        <w:rPr>
          <w:rFonts w:ascii="Arial" w:hAnsi="Arial" w:cs="Arial"/>
          <w:noProof/>
          <w:lang w:val="pt-BR"/>
        </w:rPr>
        <w:t xml:space="preserve">Anindito, D. B., Sagala, S. A. H., &amp; Tarigan, A. K. M. (2022). </w:t>
      </w:r>
      <w:r w:rsidRPr="009717CF">
        <w:rPr>
          <w:rFonts w:ascii="Arial" w:hAnsi="Arial" w:cs="Arial"/>
          <w:noProof/>
        </w:rPr>
        <w:t xml:space="preserve">E-musrenbang: A digital framework for local participatory planning at the community level. </w:t>
      </w:r>
      <w:r w:rsidRPr="009717CF">
        <w:rPr>
          <w:rFonts w:ascii="Arial" w:hAnsi="Arial" w:cs="Arial"/>
          <w:i/>
          <w:iCs/>
          <w:noProof/>
        </w:rPr>
        <w:t>International Development Planning Review</w:t>
      </w:r>
      <w:r w:rsidRPr="009717CF">
        <w:rPr>
          <w:rFonts w:ascii="Arial" w:hAnsi="Arial" w:cs="Arial"/>
          <w:noProof/>
        </w:rPr>
        <w:t xml:space="preserve">, </w:t>
      </w:r>
      <w:r w:rsidRPr="009717CF">
        <w:rPr>
          <w:rFonts w:ascii="Arial" w:hAnsi="Arial" w:cs="Arial"/>
          <w:i/>
          <w:iCs/>
          <w:noProof/>
        </w:rPr>
        <w:t>44</w:t>
      </w:r>
      <w:r w:rsidRPr="009717CF">
        <w:rPr>
          <w:rFonts w:ascii="Arial" w:hAnsi="Arial" w:cs="Arial"/>
          <w:noProof/>
        </w:rPr>
        <w:t>(2), 191–216. https://doi.org/10.3828/IDPR.2021.5</w:t>
      </w:r>
    </w:p>
    <w:p w14:paraId="48A51928"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Athikarisamy, S., &amp; Patole, S. (2021). Reporting of meta-analysis (PRISMA). In </w:t>
      </w:r>
      <w:r w:rsidRPr="009717CF">
        <w:rPr>
          <w:rFonts w:ascii="Arial" w:hAnsi="Arial" w:cs="Arial"/>
          <w:i/>
          <w:iCs/>
          <w:noProof/>
        </w:rPr>
        <w:t>Principles and Practice of Systematic Reviews and Meta-Analysis</w:t>
      </w:r>
      <w:r w:rsidRPr="009717CF">
        <w:rPr>
          <w:rFonts w:ascii="Arial" w:hAnsi="Arial" w:cs="Arial"/>
          <w:noProof/>
        </w:rPr>
        <w:t xml:space="preserve"> (pp. 111–123). Springer International Publishing. https://doi.org/10.1007/978-3-030-71921-0_11</w:t>
      </w:r>
    </w:p>
    <w:p w14:paraId="00C2ED13"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Bajar, J. T. F., &amp; Porsche-Ludwig, M. (2023). Digital Innovations during the COVID-19 Pandemic: Facebook Use for Local E-Governance in the Province of South Cotabato. </w:t>
      </w:r>
      <w:r w:rsidRPr="009717CF">
        <w:rPr>
          <w:rFonts w:ascii="Arial" w:hAnsi="Arial" w:cs="Arial"/>
          <w:i/>
          <w:iCs/>
          <w:noProof/>
        </w:rPr>
        <w:t>Philippine Political Science Journal</w:t>
      </w:r>
      <w:r w:rsidRPr="009717CF">
        <w:rPr>
          <w:rFonts w:ascii="Arial" w:hAnsi="Arial" w:cs="Arial"/>
          <w:noProof/>
        </w:rPr>
        <w:t xml:space="preserve">, </w:t>
      </w:r>
      <w:r w:rsidRPr="009717CF">
        <w:rPr>
          <w:rFonts w:ascii="Arial" w:hAnsi="Arial" w:cs="Arial"/>
          <w:i/>
          <w:iCs/>
          <w:noProof/>
        </w:rPr>
        <w:t>44</w:t>
      </w:r>
      <w:r w:rsidRPr="009717CF">
        <w:rPr>
          <w:rFonts w:ascii="Arial" w:hAnsi="Arial" w:cs="Arial"/>
          <w:noProof/>
        </w:rPr>
        <w:t>(3), 242–273. https://doi.org/10.1163/2165025X-bja10051</w:t>
      </w:r>
    </w:p>
    <w:p w14:paraId="510DA7B3"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Barbosa, M. W. (2021). Uncovering research streams on agri-food supply chain management: A bibliometric study. </w:t>
      </w:r>
      <w:r w:rsidRPr="009717CF">
        <w:rPr>
          <w:rFonts w:ascii="Arial" w:hAnsi="Arial" w:cs="Arial"/>
          <w:i/>
          <w:iCs/>
          <w:noProof/>
        </w:rPr>
        <w:t>Global Food Security</w:t>
      </w:r>
      <w:r w:rsidRPr="009717CF">
        <w:rPr>
          <w:rFonts w:ascii="Arial" w:hAnsi="Arial" w:cs="Arial"/>
          <w:noProof/>
        </w:rPr>
        <w:t xml:space="preserve">, </w:t>
      </w:r>
      <w:r w:rsidRPr="009717CF">
        <w:rPr>
          <w:rFonts w:ascii="Arial" w:hAnsi="Arial" w:cs="Arial"/>
          <w:i/>
          <w:iCs/>
          <w:noProof/>
        </w:rPr>
        <w:t>28</w:t>
      </w:r>
      <w:r w:rsidRPr="009717CF">
        <w:rPr>
          <w:rFonts w:ascii="Arial" w:hAnsi="Arial" w:cs="Arial"/>
          <w:noProof/>
        </w:rPr>
        <w:t>, 100517. https://doi.org/10.1016/j.gfs.2021.100517</w:t>
      </w:r>
    </w:p>
    <w:p w14:paraId="13E767E8"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Belkhamza, Z. (2024). The Innovation’s Role in Boosting e-Government Engagement in Global Economies. </w:t>
      </w:r>
      <w:r w:rsidRPr="009717CF">
        <w:rPr>
          <w:rFonts w:ascii="Arial" w:hAnsi="Arial" w:cs="Arial"/>
          <w:i/>
          <w:iCs/>
          <w:noProof/>
        </w:rPr>
        <w:t>30th Americas Conference on Information Systems, AMCIS 2024</w:t>
      </w:r>
      <w:r w:rsidRPr="009717CF">
        <w:rPr>
          <w:rFonts w:ascii="Arial" w:hAnsi="Arial" w:cs="Arial"/>
          <w:noProof/>
        </w:rPr>
        <w:t>.</w:t>
      </w:r>
    </w:p>
    <w:p w14:paraId="2F89E11C"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Bennett, R. M., Hutabarat, I. R., Unger, E.-M., Ginting, C. P., van der Vegt, H., &amp; Latif, A. (2023). Digital Transformation in Indonesian Land Administration. In </w:t>
      </w:r>
      <w:r w:rsidRPr="009717CF">
        <w:rPr>
          <w:rFonts w:ascii="Arial" w:hAnsi="Arial" w:cs="Arial"/>
          <w:i/>
          <w:iCs/>
          <w:noProof/>
        </w:rPr>
        <w:t>Geospatial Science for Smart Land Management</w:t>
      </w:r>
      <w:r w:rsidRPr="009717CF">
        <w:rPr>
          <w:rFonts w:ascii="Arial" w:hAnsi="Arial" w:cs="Arial"/>
          <w:noProof/>
        </w:rPr>
        <w:t xml:space="preserve"> (pp. 43–67). CRC Press. https://doi.org/10.1201/9781003349518-7</w:t>
      </w:r>
    </w:p>
    <w:p w14:paraId="578DC0FE"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Boon, L. S., Malek, J. A., Hussain, M. Y., &amp; Tahir, Z. (2020). Participation in e-government services and smart city programs: A case study of Malaysian local authority. </w:t>
      </w:r>
      <w:r w:rsidRPr="009717CF">
        <w:rPr>
          <w:rFonts w:ascii="Arial" w:hAnsi="Arial" w:cs="Arial"/>
          <w:i/>
          <w:iCs/>
          <w:noProof/>
        </w:rPr>
        <w:t>Planning Malaysia</w:t>
      </w:r>
      <w:r w:rsidRPr="009717CF">
        <w:rPr>
          <w:rFonts w:ascii="Arial" w:hAnsi="Arial" w:cs="Arial"/>
          <w:noProof/>
        </w:rPr>
        <w:t xml:space="preserve">, </w:t>
      </w:r>
      <w:r w:rsidRPr="009717CF">
        <w:rPr>
          <w:rFonts w:ascii="Arial" w:hAnsi="Arial" w:cs="Arial"/>
          <w:i/>
          <w:iCs/>
          <w:noProof/>
        </w:rPr>
        <w:t>18</w:t>
      </w:r>
      <w:r w:rsidRPr="009717CF">
        <w:rPr>
          <w:rFonts w:ascii="Arial" w:hAnsi="Arial" w:cs="Arial"/>
          <w:noProof/>
        </w:rPr>
        <w:t>(3), 300–312. https://doi.org/10.21837/PM.V18I13.794</w:t>
      </w:r>
    </w:p>
    <w:p w14:paraId="7431B799"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Caplanova, A., &amp; Dimelis, S. (2025). THE DIGITAL PERFORMANCE AND COMPETITIVENESS OF PUBLIC SECTOR INSTITUTIONS IN SOUTHEAST ASIA. </w:t>
      </w:r>
      <w:r w:rsidRPr="009717CF">
        <w:rPr>
          <w:rFonts w:ascii="Arial" w:hAnsi="Arial" w:cs="Arial"/>
          <w:i/>
          <w:iCs/>
          <w:noProof/>
        </w:rPr>
        <w:t>Journal of Competitiveness</w:t>
      </w:r>
      <w:r w:rsidRPr="009717CF">
        <w:rPr>
          <w:rFonts w:ascii="Arial" w:hAnsi="Arial" w:cs="Arial"/>
          <w:noProof/>
        </w:rPr>
        <w:t xml:space="preserve">, </w:t>
      </w:r>
      <w:r w:rsidRPr="009717CF">
        <w:rPr>
          <w:rFonts w:ascii="Arial" w:hAnsi="Arial" w:cs="Arial"/>
          <w:i/>
          <w:iCs/>
          <w:noProof/>
        </w:rPr>
        <w:t>17</w:t>
      </w:r>
      <w:r w:rsidRPr="009717CF">
        <w:rPr>
          <w:rFonts w:ascii="Arial" w:hAnsi="Arial" w:cs="Arial"/>
          <w:noProof/>
        </w:rPr>
        <w:t>(1), 101–126. https://doi.org/10.7441/joc.2025.01.06</w:t>
      </w:r>
    </w:p>
    <w:p w14:paraId="325D54EE"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Chanduví, D. A. G., Lama, G. L. R., &amp; Morey, N. D. (2015). Analysis of Research Literature of Professional Competency Models with a Cognitive-motivational Approach. </w:t>
      </w:r>
      <w:r w:rsidRPr="009717CF">
        <w:rPr>
          <w:rFonts w:ascii="Arial" w:hAnsi="Arial" w:cs="Arial"/>
          <w:i/>
          <w:iCs/>
          <w:noProof/>
        </w:rPr>
        <w:t>Procedia - Social and Behavioral Sciences</w:t>
      </w:r>
      <w:r w:rsidRPr="009717CF">
        <w:rPr>
          <w:rFonts w:ascii="Arial" w:hAnsi="Arial" w:cs="Arial"/>
          <w:noProof/>
        </w:rPr>
        <w:t xml:space="preserve">, </w:t>
      </w:r>
      <w:r w:rsidRPr="009717CF">
        <w:rPr>
          <w:rFonts w:ascii="Arial" w:hAnsi="Arial" w:cs="Arial"/>
          <w:i/>
          <w:iCs/>
          <w:noProof/>
        </w:rPr>
        <w:t>171</w:t>
      </w:r>
      <w:r w:rsidRPr="009717CF">
        <w:rPr>
          <w:rFonts w:ascii="Arial" w:hAnsi="Arial" w:cs="Arial"/>
          <w:noProof/>
        </w:rPr>
        <w:t>, 1400–1409. https://doi.org/10.1016/j.sbspro.2015.01.260</w:t>
      </w:r>
    </w:p>
    <w:p w14:paraId="418FFB1D"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Chang, F., &amp; Das, D. (2020). Smart Nation Singapore: Developing Policies for a Citizen-Oriented Smart City Initiative. In </w:t>
      </w:r>
      <w:r w:rsidRPr="009717CF">
        <w:rPr>
          <w:rFonts w:ascii="Arial" w:hAnsi="Arial" w:cs="Arial"/>
          <w:i/>
          <w:iCs/>
          <w:noProof/>
        </w:rPr>
        <w:t>Developing National Urban Policies</w:t>
      </w:r>
      <w:r w:rsidRPr="009717CF">
        <w:rPr>
          <w:rFonts w:ascii="Arial" w:hAnsi="Arial" w:cs="Arial"/>
          <w:noProof/>
        </w:rPr>
        <w:t xml:space="preserve"> (pp. 425–440). Springer Nature Singapore. https://doi.org/10.1007/978-981-15-3738-7_18</w:t>
      </w:r>
    </w:p>
    <w:p w14:paraId="4BA15A68"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Corning, G. P. (2022). ASEAN and the Regime Complex for Digital Trade in the Asia-Pacific. </w:t>
      </w:r>
      <w:r w:rsidRPr="009717CF">
        <w:rPr>
          <w:rFonts w:ascii="Arial" w:hAnsi="Arial" w:cs="Arial"/>
          <w:i/>
          <w:iCs/>
          <w:noProof/>
        </w:rPr>
        <w:t>Journal of World Trade</w:t>
      </w:r>
      <w:r w:rsidRPr="009717CF">
        <w:rPr>
          <w:rFonts w:ascii="Arial" w:hAnsi="Arial" w:cs="Arial"/>
          <w:noProof/>
        </w:rPr>
        <w:t xml:space="preserve">, </w:t>
      </w:r>
      <w:r w:rsidRPr="009717CF">
        <w:rPr>
          <w:rFonts w:ascii="Arial" w:hAnsi="Arial" w:cs="Arial"/>
          <w:i/>
          <w:iCs/>
          <w:noProof/>
        </w:rPr>
        <w:t>56</w:t>
      </w:r>
      <w:r w:rsidRPr="009717CF">
        <w:rPr>
          <w:rFonts w:ascii="Arial" w:hAnsi="Arial" w:cs="Arial"/>
          <w:noProof/>
        </w:rPr>
        <w:t>(6), 915–938. https://doi.org/10.54648/trad2022038</w:t>
      </w:r>
    </w:p>
    <w:p w14:paraId="08161D94" w14:textId="77777777" w:rsidR="009717CF" w:rsidRPr="00F94379" w:rsidRDefault="009717CF" w:rsidP="009717CF">
      <w:pPr>
        <w:widowControl w:val="0"/>
        <w:autoSpaceDE w:val="0"/>
        <w:autoSpaceDN w:val="0"/>
        <w:adjustRightInd w:val="0"/>
        <w:spacing w:before="120" w:after="0" w:line="240" w:lineRule="auto"/>
        <w:ind w:left="480" w:hanging="480"/>
        <w:rPr>
          <w:rFonts w:ascii="Arial" w:hAnsi="Arial" w:cs="Arial"/>
          <w:noProof/>
          <w:lang w:val="pt-BR"/>
        </w:rPr>
      </w:pPr>
      <w:r w:rsidRPr="009717CF">
        <w:rPr>
          <w:rFonts w:ascii="Arial" w:hAnsi="Arial" w:cs="Arial"/>
          <w:noProof/>
        </w:rPr>
        <w:t xml:space="preserve">David, A., Yigitcanlar, T., Li, R. Y. M., Corchado, J. M., Cheong, P. H., Mossberger, K., &amp; Mehmood, R. (2023). Understanding Local Government Digital Technology Adoption Strategies: A PRISMA Review. </w:t>
      </w:r>
      <w:r w:rsidRPr="00F94379">
        <w:rPr>
          <w:rFonts w:ascii="Arial" w:hAnsi="Arial" w:cs="Arial"/>
          <w:i/>
          <w:iCs/>
          <w:noProof/>
          <w:lang w:val="pt-BR"/>
        </w:rPr>
        <w:t>Sustainability (Switzerland)</w:t>
      </w:r>
      <w:r w:rsidRPr="00F94379">
        <w:rPr>
          <w:rFonts w:ascii="Arial" w:hAnsi="Arial" w:cs="Arial"/>
          <w:noProof/>
          <w:lang w:val="pt-BR"/>
        </w:rPr>
        <w:t xml:space="preserve">, </w:t>
      </w:r>
      <w:r w:rsidRPr="00F94379">
        <w:rPr>
          <w:rFonts w:ascii="Arial" w:hAnsi="Arial" w:cs="Arial"/>
          <w:i/>
          <w:iCs/>
          <w:noProof/>
          <w:lang w:val="pt-BR"/>
        </w:rPr>
        <w:t>15</w:t>
      </w:r>
      <w:r w:rsidRPr="00F94379">
        <w:rPr>
          <w:rFonts w:ascii="Arial" w:hAnsi="Arial" w:cs="Arial"/>
          <w:noProof/>
          <w:lang w:val="pt-BR"/>
        </w:rPr>
        <w:t>(12). https://doi.org/10.3390/su15129645</w:t>
      </w:r>
    </w:p>
    <w:p w14:paraId="5379696B"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F94379">
        <w:rPr>
          <w:rFonts w:ascii="Arial" w:hAnsi="Arial" w:cs="Arial"/>
          <w:noProof/>
          <w:lang w:val="pt-BR"/>
        </w:rPr>
        <w:t xml:space="preserve">Di Martino, B., Graziano, M., Colucci Cante, L., Esposito, A., &amp; Epifania, M. (2022). </w:t>
      </w:r>
      <w:r w:rsidRPr="009717CF">
        <w:rPr>
          <w:rFonts w:ascii="Arial" w:hAnsi="Arial" w:cs="Arial"/>
          <w:noProof/>
        </w:rPr>
        <w:t xml:space="preserve">Application of Business Process Semantic Annotation Techniques to Perform Pattern Recognition Activities Applied to the Generalized Civic Access. In B. L. (Ed.), </w:t>
      </w:r>
      <w:r w:rsidRPr="009717CF">
        <w:rPr>
          <w:rFonts w:ascii="Arial" w:hAnsi="Arial" w:cs="Arial"/>
          <w:i/>
          <w:iCs/>
          <w:noProof/>
        </w:rPr>
        <w:t>Lecture Notes in Networks and Systems: Vol. 497 LNNS</w:t>
      </w:r>
      <w:r w:rsidRPr="009717CF">
        <w:rPr>
          <w:rFonts w:ascii="Arial" w:hAnsi="Arial" w:cs="Arial"/>
          <w:noProof/>
        </w:rPr>
        <w:t xml:space="preserve"> (pp. 404–413). Springer Science and Business Media Deutschland GmbH. https://doi.org/10.1007/978-3-031-08812-4_39</w:t>
      </w:r>
    </w:p>
    <w:p w14:paraId="73CDFF9D"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F94379">
        <w:rPr>
          <w:rFonts w:ascii="Arial" w:hAnsi="Arial" w:cs="Arial"/>
          <w:noProof/>
          <w:lang w:val="pt-BR"/>
        </w:rPr>
        <w:t xml:space="preserve">Doran, N. M., Puiu, S., Bădîrcea, R. M., Pirtea, M. G., Doran, M. D., Ciobanu, G., &amp; Mihit, L. D. (2023). </w:t>
      </w:r>
      <w:r w:rsidRPr="009717CF">
        <w:rPr>
          <w:rFonts w:ascii="Arial" w:hAnsi="Arial" w:cs="Arial"/>
          <w:noProof/>
        </w:rPr>
        <w:t xml:space="preserve">E-Government Development—A Key Factor in Government Administration Effectiveness in the European Union. </w:t>
      </w:r>
      <w:r w:rsidRPr="009717CF">
        <w:rPr>
          <w:rFonts w:ascii="Arial" w:hAnsi="Arial" w:cs="Arial"/>
          <w:i/>
          <w:iCs/>
          <w:noProof/>
        </w:rPr>
        <w:t>Electronics (Switzerland)</w:t>
      </w:r>
      <w:r w:rsidRPr="009717CF">
        <w:rPr>
          <w:rFonts w:ascii="Arial" w:hAnsi="Arial" w:cs="Arial"/>
          <w:noProof/>
        </w:rPr>
        <w:t xml:space="preserve">, </w:t>
      </w:r>
      <w:r w:rsidRPr="009717CF">
        <w:rPr>
          <w:rFonts w:ascii="Arial" w:hAnsi="Arial" w:cs="Arial"/>
          <w:i/>
          <w:iCs/>
          <w:noProof/>
        </w:rPr>
        <w:t>12</w:t>
      </w:r>
      <w:r w:rsidRPr="009717CF">
        <w:rPr>
          <w:rFonts w:ascii="Arial" w:hAnsi="Arial" w:cs="Arial"/>
          <w:noProof/>
        </w:rPr>
        <w:t>(3). https://doi.org/10.3390/electronics12030641</w:t>
      </w:r>
    </w:p>
    <w:p w14:paraId="40D430C2"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Dremlyuga, R. I., &amp; Korobeev, A. I. (2023). Regulation of Smart City Technologies in Asian Digital Economy Leaders. </w:t>
      </w:r>
      <w:r w:rsidRPr="009717CF">
        <w:rPr>
          <w:rFonts w:ascii="Arial" w:hAnsi="Arial" w:cs="Arial"/>
          <w:i/>
          <w:iCs/>
          <w:noProof/>
        </w:rPr>
        <w:t>Journal of Siberian Federal University - Humanities and Social Sciences</w:t>
      </w:r>
      <w:r w:rsidRPr="009717CF">
        <w:rPr>
          <w:rFonts w:ascii="Arial" w:hAnsi="Arial" w:cs="Arial"/>
          <w:noProof/>
        </w:rPr>
        <w:t xml:space="preserve">, </w:t>
      </w:r>
      <w:r w:rsidRPr="009717CF">
        <w:rPr>
          <w:rFonts w:ascii="Arial" w:hAnsi="Arial" w:cs="Arial"/>
          <w:i/>
          <w:iCs/>
          <w:noProof/>
        </w:rPr>
        <w:t>16</w:t>
      </w:r>
      <w:r w:rsidRPr="009717CF">
        <w:rPr>
          <w:rFonts w:ascii="Arial" w:hAnsi="Arial" w:cs="Arial"/>
          <w:noProof/>
        </w:rPr>
        <w:t>(5), 819–832.</w:t>
      </w:r>
    </w:p>
    <w:p w14:paraId="275F4CBB"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Efthymiou, I.-P. (2025). The role of e-government and e-governance in modern societies. In </w:t>
      </w:r>
      <w:r w:rsidRPr="009717CF">
        <w:rPr>
          <w:rFonts w:ascii="Arial" w:hAnsi="Arial" w:cs="Arial"/>
          <w:i/>
          <w:iCs/>
          <w:noProof/>
        </w:rPr>
        <w:t>Public Governance Practices in the Age of AI</w:t>
      </w:r>
      <w:r w:rsidRPr="009717CF">
        <w:rPr>
          <w:rFonts w:ascii="Arial" w:hAnsi="Arial" w:cs="Arial"/>
          <w:noProof/>
        </w:rPr>
        <w:t xml:space="preserve"> (pp. 45–68). IGI Global. https://doi.org/10.4018/979-8-3693-9286-7.ch003</w:t>
      </w:r>
    </w:p>
    <w:p w14:paraId="0E0F7C00"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Fang, T. M., Ahmad, N. H., Halim, H. A., Iqbal, Q., &amp; Ramayah, T. (2024). Pathway towards SME competitiveness: Digital capability and digital business model innovation. </w:t>
      </w:r>
      <w:r w:rsidRPr="009717CF">
        <w:rPr>
          <w:rFonts w:ascii="Arial" w:hAnsi="Arial" w:cs="Arial"/>
          <w:i/>
          <w:iCs/>
          <w:noProof/>
        </w:rPr>
        <w:t>Technology in Society</w:t>
      </w:r>
      <w:r w:rsidRPr="009717CF">
        <w:rPr>
          <w:rFonts w:ascii="Arial" w:hAnsi="Arial" w:cs="Arial"/>
          <w:noProof/>
        </w:rPr>
        <w:t xml:space="preserve">, </w:t>
      </w:r>
      <w:r w:rsidRPr="009717CF">
        <w:rPr>
          <w:rFonts w:ascii="Arial" w:hAnsi="Arial" w:cs="Arial"/>
          <w:i/>
          <w:iCs/>
          <w:noProof/>
        </w:rPr>
        <w:t>79</w:t>
      </w:r>
      <w:r w:rsidRPr="009717CF">
        <w:rPr>
          <w:rFonts w:ascii="Arial" w:hAnsi="Arial" w:cs="Arial"/>
          <w:noProof/>
        </w:rPr>
        <w:t>, 102728. https://doi.org/10.1016/j.techsoc.2024.102728</w:t>
      </w:r>
    </w:p>
    <w:p w14:paraId="0314CC38"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Febriani, R., Luthfi, Z. F., &amp; Waldi, A. (2024). Participation of Citizen as Social Capital in LAPOR! Application in Indonesia. </w:t>
      </w:r>
      <w:r w:rsidRPr="009717CF">
        <w:rPr>
          <w:rFonts w:ascii="Arial" w:hAnsi="Arial" w:cs="Arial"/>
          <w:i/>
          <w:iCs/>
          <w:noProof/>
        </w:rPr>
        <w:t>International Journal on Informatics Visualization</w:t>
      </w:r>
      <w:r w:rsidRPr="009717CF">
        <w:rPr>
          <w:rFonts w:ascii="Arial" w:hAnsi="Arial" w:cs="Arial"/>
          <w:noProof/>
        </w:rPr>
        <w:t xml:space="preserve">, </w:t>
      </w:r>
      <w:r w:rsidRPr="009717CF">
        <w:rPr>
          <w:rFonts w:ascii="Arial" w:hAnsi="Arial" w:cs="Arial"/>
          <w:i/>
          <w:iCs/>
          <w:noProof/>
        </w:rPr>
        <w:t>8</w:t>
      </w:r>
      <w:r w:rsidRPr="009717CF">
        <w:rPr>
          <w:rFonts w:ascii="Arial" w:hAnsi="Arial" w:cs="Arial"/>
          <w:noProof/>
        </w:rPr>
        <w:t>(3), 1185–1191. https://doi.org/10.62527/joiv.8.3.2239</w:t>
      </w:r>
    </w:p>
    <w:p w14:paraId="4FEB2702"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Frach, L., Fehrmann, T., &amp; Pfannes, P. (2016). Measuring digital government: How to assess and compare digitalisation in public sector organisations. In </w:t>
      </w:r>
      <w:r w:rsidRPr="009717CF">
        <w:rPr>
          <w:rFonts w:ascii="Arial" w:hAnsi="Arial" w:cs="Arial"/>
          <w:i/>
          <w:iCs/>
          <w:noProof/>
        </w:rPr>
        <w:t>Digital Government: Leveraging Innovation to Improve Public Sector Performance and Outcomes for Citizens</w:t>
      </w:r>
      <w:r w:rsidRPr="009717CF">
        <w:rPr>
          <w:rFonts w:ascii="Arial" w:hAnsi="Arial" w:cs="Arial"/>
          <w:noProof/>
        </w:rPr>
        <w:t xml:space="preserve"> (pp. 25–38). Springer International Publishing. https://doi.org/10.1007/978-3-319-38795-6_2</w:t>
      </w:r>
    </w:p>
    <w:p w14:paraId="0B444715"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Freeman, J. (2016). Digital civic participation in Australian local governments: Everyday practices and opportunities for engagement. In </w:t>
      </w:r>
      <w:r w:rsidRPr="009717CF">
        <w:rPr>
          <w:rFonts w:ascii="Arial" w:hAnsi="Arial" w:cs="Arial"/>
          <w:i/>
          <w:iCs/>
          <w:noProof/>
        </w:rPr>
        <w:t>Public Administration and Information Technology</w:t>
      </w:r>
      <w:r w:rsidRPr="009717CF">
        <w:rPr>
          <w:rFonts w:ascii="Arial" w:hAnsi="Arial" w:cs="Arial"/>
          <w:noProof/>
        </w:rPr>
        <w:t xml:space="preserve"> (Vol. 15, pp. 195–218). Springer. https://doi.org/10.1007/978-3-319-17722-9_11</w:t>
      </w:r>
    </w:p>
    <w:p w14:paraId="5567A275"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Greavu-Şerban, V., Gheorghiu, A., &amp; Ungureanu, C. (2025). A multidimensional perspective of digitization in Romanian public institutions. </w:t>
      </w:r>
      <w:r w:rsidRPr="009717CF">
        <w:rPr>
          <w:rFonts w:ascii="Arial" w:hAnsi="Arial" w:cs="Arial"/>
          <w:i/>
          <w:iCs/>
          <w:noProof/>
        </w:rPr>
        <w:t>World Development</w:t>
      </w:r>
      <w:r w:rsidRPr="009717CF">
        <w:rPr>
          <w:rFonts w:ascii="Arial" w:hAnsi="Arial" w:cs="Arial"/>
          <w:noProof/>
        </w:rPr>
        <w:t xml:space="preserve">, </w:t>
      </w:r>
      <w:r w:rsidRPr="009717CF">
        <w:rPr>
          <w:rFonts w:ascii="Arial" w:hAnsi="Arial" w:cs="Arial"/>
          <w:i/>
          <w:iCs/>
          <w:noProof/>
        </w:rPr>
        <w:t>191</w:t>
      </w:r>
      <w:r w:rsidRPr="009717CF">
        <w:rPr>
          <w:rFonts w:ascii="Arial" w:hAnsi="Arial" w:cs="Arial"/>
          <w:noProof/>
        </w:rPr>
        <w:t>. https://doi.org/10.1016/j.worlddev.2025.106996</w:t>
      </w:r>
    </w:p>
    <w:p w14:paraId="03D03454"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Gunawong, P., &amp; Gao, P. (2017). Understanding e-government failure in the developing country context: a process-oriented study. </w:t>
      </w:r>
      <w:r w:rsidRPr="009717CF">
        <w:rPr>
          <w:rFonts w:ascii="Arial" w:hAnsi="Arial" w:cs="Arial"/>
          <w:i/>
          <w:iCs/>
          <w:noProof/>
        </w:rPr>
        <w:t>Information Technology for Development</w:t>
      </w:r>
      <w:r w:rsidRPr="009717CF">
        <w:rPr>
          <w:rFonts w:ascii="Arial" w:hAnsi="Arial" w:cs="Arial"/>
          <w:noProof/>
        </w:rPr>
        <w:t xml:space="preserve">, </w:t>
      </w:r>
      <w:r w:rsidRPr="009717CF">
        <w:rPr>
          <w:rFonts w:ascii="Arial" w:hAnsi="Arial" w:cs="Arial"/>
          <w:i/>
          <w:iCs/>
          <w:noProof/>
        </w:rPr>
        <w:t>23</w:t>
      </w:r>
      <w:r w:rsidRPr="009717CF">
        <w:rPr>
          <w:rFonts w:ascii="Arial" w:hAnsi="Arial" w:cs="Arial"/>
          <w:noProof/>
        </w:rPr>
        <w:t>(1), 153–178. https://doi.org/10.1080/02681102.2016.1269713</w:t>
      </w:r>
    </w:p>
    <w:p w14:paraId="65743B7A"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Gupta, V. K., Gupta, A., Agrawal, M., Sardana, A., Shukla, S. K., &amp; Joshi, K. (2023). An Effectual Method for Clustering of Bigdata on the Cloud using Fuzzy c-means Algorithm. </w:t>
      </w:r>
      <w:r w:rsidRPr="009717CF">
        <w:rPr>
          <w:rFonts w:ascii="Arial" w:hAnsi="Arial" w:cs="Arial"/>
          <w:i/>
          <w:iCs/>
          <w:noProof/>
        </w:rPr>
        <w:t>2023 Global Conference on Information Technologies and Communications, GCITC 2023</w:t>
      </w:r>
      <w:r w:rsidRPr="009717CF">
        <w:rPr>
          <w:rFonts w:ascii="Arial" w:hAnsi="Arial" w:cs="Arial"/>
          <w:noProof/>
        </w:rPr>
        <w:t>. https://doi.org/10.1109/GCITC60406.2023.10426546</w:t>
      </w:r>
    </w:p>
    <w:p w14:paraId="371AA3AB"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Gusenbauer, M. (2022). Search where you will find most: Comparing the disciplinary coverage of 56 bibliographic databases. </w:t>
      </w:r>
      <w:r w:rsidRPr="009717CF">
        <w:rPr>
          <w:rFonts w:ascii="Arial" w:hAnsi="Arial" w:cs="Arial"/>
          <w:i/>
          <w:iCs/>
          <w:noProof/>
        </w:rPr>
        <w:t>Scientometrics</w:t>
      </w:r>
      <w:r w:rsidRPr="009717CF">
        <w:rPr>
          <w:rFonts w:ascii="Arial" w:hAnsi="Arial" w:cs="Arial"/>
          <w:noProof/>
        </w:rPr>
        <w:t xml:space="preserve">, </w:t>
      </w:r>
      <w:r w:rsidRPr="009717CF">
        <w:rPr>
          <w:rFonts w:ascii="Arial" w:hAnsi="Arial" w:cs="Arial"/>
          <w:i/>
          <w:iCs/>
          <w:noProof/>
        </w:rPr>
        <w:t>127</w:t>
      </w:r>
      <w:r w:rsidRPr="009717CF">
        <w:rPr>
          <w:rFonts w:ascii="Arial" w:hAnsi="Arial" w:cs="Arial"/>
          <w:noProof/>
        </w:rPr>
        <w:t>(5), 2683–2745. https://doi.org/10.1007/s11192-022-04289-7</w:t>
      </w:r>
    </w:p>
    <w:p w14:paraId="1405A3A0" w14:textId="77777777" w:rsidR="009717CF" w:rsidRPr="00F94379" w:rsidRDefault="009717CF" w:rsidP="009717CF">
      <w:pPr>
        <w:widowControl w:val="0"/>
        <w:autoSpaceDE w:val="0"/>
        <w:autoSpaceDN w:val="0"/>
        <w:adjustRightInd w:val="0"/>
        <w:spacing w:before="120" w:after="0" w:line="240" w:lineRule="auto"/>
        <w:ind w:left="480" w:hanging="480"/>
        <w:rPr>
          <w:rFonts w:ascii="Arial" w:hAnsi="Arial" w:cs="Arial"/>
          <w:noProof/>
          <w:lang w:val="pt-BR"/>
        </w:rPr>
      </w:pPr>
      <w:r w:rsidRPr="009717CF">
        <w:rPr>
          <w:rFonts w:ascii="Arial" w:hAnsi="Arial" w:cs="Arial"/>
          <w:noProof/>
        </w:rPr>
        <w:t xml:space="preserve">Hien, B. N., Tuyen, N. T. K., Lan, N. T., Ngan, N. T. K., &amp; Thanh, N. N. (2024). the Impact of Digital Government Initiatives on Public Value Creation: Evidence From Ho Chi Minh City - Vietnam. </w:t>
      </w:r>
      <w:r w:rsidRPr="00F94379">
        <w:rPr>
          <w:rFonts w:ascii="Arial" w:hAnsi="Arial" w:cs="Arial"/>
          <w:i/>
          <w:iCs/>
          <w:noProof/>
          <w:lang w:val="pt-BR"/>
        </w:rPr>
        <w:t>Revista de Gestao Social e Ambiental</w:t>
      </w:r>
      <w:r w:rsidRPr="00F94379">
        <w:rPr>
          <w:rFonts w:ascii="Arial" w:hAnsi="Arial" w:cs="Arial"/>
          <w:noProof/>
          <w:lang w:val="pt-BR"/>
        </w:rPr>
        <w:t xml:space="preserve">, </w:t>
      </w:r>
      <w:r w:rsidRPr="00F94379">
        <w:rPr>
          <w:rFonts w:ascii="Arial" w:hAnsi="Arial" w:cs="Arial"/>
          <w:i/>
          <w:iCs/>
          <w:noProof/>
          <w:lang w:val="pt-BR"/>
        </w:rPr>
        <w:t>18</w:t>
      </w:r>
      <w:r w:rsidRPr="00F94379">
        <w:rPr>
          <w:rFonts w:ascii="Arial" w:hAnsi="Arial" w:cs="Arial"/>
          <w:noProof/>
          <w:lang w:val="pt-BR"/>
        </w:rPr>
        <w:t>(2), 1–23. https://doi.org/10.24857/RGSA.V18N2-092</w:t>
      </w:r>
    </w:p>
    <w:p w14:paraId="3762F60F"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Howard, T. O., Winkelmes, M. A., &amp; Shegog, M. (2020). Transparency Teaching in the Virtual Classroom: Assessing the Opportunities and Challenges of Integrating Transparency Teaching Methods with Online Learning. </w:t>
      </w:r>
      <w:r w:rsidRPr="009717CF">
        <w:rPr>
          <w:rFonts w:ascii="Arial" w:hAnsi="Arial" w:cs="Arial"/>
          <w:i/>
          <w:iCs/>
          <w:noProof/>
        </w:rPr>
        <w:t>Journal of Political Science Education</w:t>
      </w:r>
      <w:r w:rsidRPr="009717CF">
        <w:rPr>
          <w:rFonts w:ascii="Arial" w:hAnsi="Arial" w:cs="Arial"/>
          <w:noProof/>
        </w:rPr>
        <w:t xml:space="preserve">, </w:t>
      </w:r>
      <w:r w:rsidRPr="009717CF">
        <w:rPr>
          <w:rFonts w:ascii="Arial" w:hAnsi="Arial" w:cs="Arial"/>
          <w:i/>
          <w:iCs/>
          <w:noProof/>
        </w:rPr>
        <w:t>16</w:t>
      </w:r>
      <w:r w:rsidRPr="009717CF">
        <w:rPr>
          <w:rFonts w:ascii="Arial" w:hAnsi="Arial" w:cs="Arial"/>
          <w:noProof/>
        </w:rPr>
        <w:t>(2), 198–211. https://doi.org/10.1080/15512169.2018.1550420</w:t>
      </w:r>
    </w:p>
    <w:p w14:paraId="6A867B7B"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Jiang, H., Geertman, S., &amp; Witte, P. (2020). A Sociotechnical Framework for Smart Urban Governance. </w:t>
      </w:r>
      <w:r w:rsidRPr="009717CF">
        <w:rPr>
          <w:rFonts w:ascii="Arial" w:hAnsi="Arial" w:cs="Arial"/>
          <w:i/>
          <w:iCs/>
          <w:noProof/>
        </w:rPr>
        <w:t>International Journal of E-Planning Research</w:t>
      </w:r>
      <w:r w:rsidRPr="009717CF">
        <w:rPr>
          <w:rFonts w:ascii="Arial" w:hAnsi="Arial" w:cs="Arial"/>
          <w:noProof/>
        </w:rPr>
        <w:t xml:space="preserve">, </w:t>
      </w:r>
      <w:r w:rsidRPr="009717CF">
        <w:rPr>
          <w:rFonts w:ascii="Arial" w:hAnsi="Arial" w:cs="Arial"/>
          <w:i/>
          <w:iCs/>
          <w:noProof/>
        </w:rPr>
        <w:t>9</w:t>
      </w:r>
      <w:r w:rsidRPr="009717CF">
        <w:rPr>
          <w:rFonts w:ascii="Arial" w:hAnsi="Arial" w:cs="Arial"/>
          <w:noProof/>
        </w:rPr>
        <w:t>(1), 1–19. https://doi.org/10.4018/IJEPR.2020010101</w:t>
      </w:r>
    </w:p>
    <w:p w14:paraId="443C1C50"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Joss, S., Sengers, F., Schraven, D., Caprotti, F., &amp; Dayot, Y. (2019). The Smart City as Global Discourse: Storylines and Critical Junctures across 27 Cities. </w:t>
      </w:r>
      <w:r w:rsidRPr="009717CF">
        <w:rPr>
          <w:rFonts w:ascii="Arial" w:hAnsi="Arial" w:cs="Arial"/>
          <w:i/>
          <w:iCs/>
          <w:noProof/>
        </w:rPr>
        <w:t>Journal of Urban Technology</w:t>
      </w:r>
      <w:r w:rsidRPr="009717CF">
        <w:rPr>
          <w:rFonts w:ascii="Arial" w:hAnsi="Arial" w:cs="Arial"/>
          <w:noProof/>
        </w:rPr>
        <w:t xml:space="preserve">, </w:t>
      </w:r>
      <w:r w:rsidRPr="009717CF">
        <w:rPr>
          <w:rFonts w:ascii="Arial" w:hAnsi="Arial" w:cs="Arial"/>
          <w:i/>
          <w:iCs/>
          <w:noProof/>
        </w:rPr>
        <w:t>26</w:t>
      </w:r>
      <w:r w:rsidRPr="009717CF">
        <w:rPr>
          <w:rFonts w:ascii="Arial" w:hAnsi="Arial" w:cs="Arial"/>
          <w:noProof/>
        </w:rPr>
        <w:t>(1), 3–34. https://doi.org/10.1080/10630732.2018.1558387</w:t>
      </w:r>
    </w:p>
    <w:p w14:paraId="511701DA"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Kahale, L. A., Piechotta, V., McKenzie, J. E., Dorando, E., Iannizzi, C., Barker, J. M., Page, M. J., Skoetz, N., &amp; Akl, E. A. (2022). Extension of the PRISMA 2020 statement for living systematic reviews (LSRs): protocol. </w:t>
      </w:r>
      <w:r w:rsidRPr="009717CF">
        <w:rPr>
          <w:rFonts w:ascii="Arial" w:hAnsi="Arial" w:cs="Arial"/>
          <w:i/>
          <w:iCs/>
          <w:noProof/>
        </w:rPr>
        <w:t>F1000Research</w:t>
      </w:r>
      <w:r w:rsidRPr="009717CF">
        <w:rPr>
          <w:rFonts w:ascii="Arial" w:hAnsi="Arial" w:cs="Arial"/>
          <w:noProof/>
        </w:rPr>
        <w:t xml:space="preserve">, </w:t>
      </w:r>
      <w:r w:rsidRPr="009717CF">
        <w:rPr>
          <w:rFonts w:ascii="Arial" w:hAnsi="Arial" w:cs="Arial"/>
          <w:i/>
          <w:iCs/>
          <w:noProof/>
        </w:rPr>
        <w:t>11</w:t>
      </w:r>
      <w:r w:rsidRPr="009717CF">
        <w:rPr>
          <w:rFonts w:ascii="Arial" w:hAnsi="Arial" w:cs="Arial"/>
          <w:noProof/>
        </w:rPr>
        <w:t>, 109. https://doi.org/10.12688/f1000research.75449.2</w:t>
      </w:r>
    </w:p>
    <w:p w14:paraId="7AAEEB66"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Kamil, M., Muhammad, R., Roziqin, A., Sari, A. E., &amp; Kismartini. (2025). Examining Practice Smart City in Local Government: A Smart Governance Perspective. </w:t>
      </w:r>
      <w:r w:rsidRPr="009717CF">
        <w:rPr>
          <w:rFonts w:ascii="Arial" w:hAnsi="Arial" w:cs="Arial"/>
          <w:i/>
          <w:iCs/>
          <w:noProof/>
        </w:rPr>
        <w:t>International Journal of Sustainable Development and Planning</w:t>
      </w:r>
      <w:r w:rsidRPr="009717CF">
        <w:rPr>
          <w:rFonts w:ascii="Arial" w:hAnsi="Arial" w:cs="Arial"/>
          <w:noProof/>
        </w:rPr>
        <w:t xml:space="preserve">, </w:t>
      </w:r>
      <w:r w:rsidRPr="009717CF">
        <w:rPr>
          <w:rFonts w:ascii="Arial" w:hAnsi="Arial" w:cs="Arial"/>
          <w:i/>
          <w:iCs/>
          <w:noProof/>
        </w:rPr>
        <w:t>20</w:t>
      </w:r>
      <w:r w:rsidRPr="009717CF">
        <w:rPr>
          <w:rFonts w:ascii="Arial" w:hAnsi="Arial" w:cs="Arial"/>
          <w:noProof/>
        </w:rPr>
        <w:t>(2), 635–644. https://doi.org/10.18280/ijsdp.200214</w:t>
      </w:r>
    </w:p>
    <w:p w14:paraId="238994C7"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Klievink, B. (2015). Understanding public-private collaboration configurations for international information infrastructures. In T. E., P. P., S. H.J., T. K., K. B., J. M., G. M., L. I., &amp; W. M.A. (Eds.), </w:t>
      </w:r>
      <w:r w:rsidRPr="009717CF">
        <w:rPr>
          <w:rFonts w:ascii="Arial" w:hAnsi="Arial" w:cs="Arial"/>
          <w:i/>
          <w:iCs/>
          <w:noProof/>
        </w:rPr>
        <w:t>Lecture Notes in Computer Science (including subseries Lecture Notes in Artificial Intelligence and Lecture Notes in Bioinformatics)</w:t>
      </w:r>
      <w:r w:rsidRPr="009717CF">
        <w:rPr>
          <w:rFonts w:ascii="Arial" w:hAnsi="Arial" w:cs="Arial"/>
          <w:noProof/>
        </w:rPr>
        <w:t xml:space="preserve"> (Vol. 9248, pp. 170–180). Springer Verlag. https://doi.org/10.1007/978-3-319-22479-4_13</w:t>
      </w:r>
    </w:p>
    <w:p w14:paraId="701D5F58"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Kusmiarto, K., Aditya, T., Djurdjani, D., &amp; Subaryono, S. (2021). Digital Transformation of Land Services in Indonesia: A Readiness Assessment. </w:t>
      </w:r>
      <w:r w:rsidRPr="009717CF">
        <w:rPr>
          <w:rFonts w:ascii="Arial" w:hAnsi="Arial" w:cs="Arial"/>
          <w:i/>
          <w:iCs/>
          <w:noProof/>
        </w:rPr>
        <w:t>Land</w:t>
      </w:r>
      <w:r w:rsidRPr="009717CF">
        <w:rPr>
          <w:rFonts w:ascii="Arial" w:hAnsi="Arial" w:cs="Arial"/>
          <w:noProof/>
        </w:rPr>
        <w:t xml:space="preserve">, </w:t>
      </w:r>
      <w:r w:rsidRPr="009717CF">
        <w:rPr>
          <w:rFonts w:ascii="Arial" w:hAnsi="Arial" w:cs="Arial"/>
          <w:i/>
          <w:iCs/>
          <w:noProof/>
        </w:rPr>
        <w:t>10</w:t>
      </w:r>
      <w:r w:rsidRPr="009717CF">
        <w:rPr>
          <w:rFonts w:ascii="Arial" w:hAnsi="Arial" w:cs="Arial"/>
          <w:noProof/>
        </w:rPr>
        <w:t>(2), 120. https://doi.org/10.3390/land10020120</w:t>
      </w:r>
    </w:p>
    <w:p w14:paraId="31DFB6FE"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Kusumasari, B. (2018). Digital democracy and public administration reform in Indonesia. </w:t>
      </w:r>
      <w:r w:rsidRPr="009717CF">
        <w:rPr>
          <w:rFonts w:ascii="Arial" w:hAnsi="Arial" w:cs="Arial"/>
          <w:i/>
          <w:iCs/>
          <w:noProof/>
        </w:rPr>
        <w:t>International Journal of Electronic Governance</w:t>
      </w:r>
      <w:r w:rsidRPr="009717CF">
        <w:rPr>
          <w:rFonts w:ascii="Arial" w:hAnsi="Arial" w:cs="Arial"/>
          <w:noProof/>
        </w:rPr>
        <w:t xml:space="preserve">, </w:t>
      </w:r>
      <w:r w:rsidRPr="009717CF">
        <w:rPr>
          <w:rFonts w:ascii="Arial" w:hAnsi="Arial" w:cs="Arial"/>
          <w:i/>
          <w:iCs/>
          <w:noProof/>
        </w:rPr>
        <w:t>10</w:t>
      </w:r>
      <w:r w:rsidRPr="009717CF">
        <w:rPr>
          <w:rFonts w:ascii="Arial" w:hAnsi="Arial" w:cs="Arial"/>
          <w:noProof/>
        </w:rPr>
        <w:t>(3), 317–337. https://doi.org/10.1504/IJEG.2018.095937</w:t>
      </w:r>
    </w:p>
    <w:p w14:paraId="6E7C0A35"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Landum, M., Moura, M. M. M., &amp; Reis, L. (2020). ICT Good Practices in alignment with Green IT. In R. A., P. B.E., P. F.G.,  del M. M. M., &amp; G. R. (Eds.), </w:t>
      </w:r>
      <w:r w:rsidRPr="009717CF">
        <w:rPr>
          <w:rFonts w:ascii="Arial" w:hAnsi="Arial" w:cs="Arial"/>
          <w:i/>
          <w:iCs/>
          <w:noProof/>
        </w:rPr>
        <w:t>Iberian Conference on Information Systems and Technologies, CISTI</w:t>
      </w:r>
      <w:r w:rsidRPr="009717CF">
        <w:rPr>
          <w:rFonts w:ascii="Arial" w:hAnsi="Arial" w:cs="Arial"/>
          <w:noProof/>
        </w:rPr>
        <w:t xml:space="preserve"> (Vols. 2020-June). IEEE Computer Society. https://doi.org/10.23919/CISTI49556.2020.9141166</w:t>
      </w:r>
    </w:p>
    <w:p w14:paraId="27A08E96"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Li, Y., Zou, H., Qin, H., Liu, B., &amp; Ji, H. (2024). Research on Government Incentive and Enterprise Data Resource Sharing Strategies in Digital Innovation Ecosystems. </w:t>
      </w:r>
      <w:r w:rsidRPr="009717CF">
        <w:rPr>
          <w:rFonts w:ascii="Arial" w:hAnsi="Arial" w:cs="Arial"/>
          <w:i/>
          <w:iCs/>
          <w:noProof/>
        </w:rPr>
        <w:t>IEEE Access</w:t>
      </w:r>
      <w:r w:rsidRPr="009717CF">
        <w:rPr>
          <w:rFonts w:ascii="Arial" w:hAnsi="Arial" w:cs="Arial"/>
          <w:noProof/>
        </w:rPr>
        <w:t xml:space="preserve">, </w:t>
      </w:r>
      <w:r w:rsidRPr="009717CF">
        <w:rPr>
          <w:rFonts w:ascii="Arial" w:hAnsi="Arial" w:cs="Arial"/>
          <w:i/>
          <w:iCs/>
          <w:noProof/>
        </w:rPr>
        <w:t>12</w:t>
      </w:r>
      <w:r w:rsidRPr="009717CF">
        <w:rPr>
          <w:rFonts w:ascii="Arial" w:hAnsi="Arial" w:cs="Arial"/>
          <w:noProof/>
        </w:rPr>
        <w:t>, 25278–25295. https://doi.org/10.1109/ACCESS.2024.3362238</w:t>
      </w:r>
    </w:p>
    <w:p w14:paraId="558AE9BB"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Lim, J. B. Y. (2025). Digital Media Interventions in Southeast Asia: A Decolonial Perspective. In </w:t>
      </w:r>
      <w:r w:rsidRPr="009717CF">
        <w:rPr>
          <w:rFonts w:ascii="Arial" w:hAnsi="Arial" w:cs="Arial"/>
          <w:i/>
          <w:iCs/>
          <w:noProof/>
        </w:rPr>
        <w:t>Digital Media Interventions in Southeast Asia: A Decolonial Perspective</w:t>
      </w:r>
      <w:r w:rsidRPr="009717CF">
        <w:rPr>
          <w:rFonts w:ascii="Arial" w:hAnsi="Arial" w:cs="Arial"/>
          <w:noProof/>
        </w:rPr>
        <w:t>. Springer Nature. https://doi.org/10.1007/978-3-031-78211-4</w:t>
      </w:r>
    </w:p>
    <w:p w14:paraId="4D359196" w14:textId="77777777" w:rsidR="009717CF" w:rsidRPr="00F94379" w:rsidRDefault="009717CF" w:rsidP="009717CF">
      <w:pPr>
        <w:widowControl w:val="0"/>
        <w:autoSpaceDE w:val="0"/>
        <w:autoSpaceDN w:val="0"/>
        <w:adjustRightInd w:val="0"/>
        <w:spacing w:before="120" w:after="0" w:line="240" w:lineRule="auto"/>
        <w:ind w:left="480" w:hanging="480"/>
        <w:rPr>
          <w:rFonts w:ascii="Arial" w:hAnsi="Arial" w:cs="Arial"/>
          <w:noProof/>
          <w:lang w:val="pt-BR"/>
        </w:rPr>
      </w:pPr>
      <w:r w:rsidRPr="009717CF">
        <w:rPr>
          <w:rFonts w:ascii="Arial" w:hAnsi="Arial" w:cs="Arial"/>
          <w:noProof/>
        </w:rPr>
        <w:t xml:space="preserve">Liu, H., Gao, F., &amp; Ma, P. (2024). Theoretical Logic and Policy Practice of Digital Economy Driving the Improvement of Macroeconomic Governance System —An Analysis Based on Marx’s Theory of Social Reproduction. </w:t>
      </w:r>
      <w:r w:rsidRPr="00F94379">
        <w:rPr>
          <w:rFonts w:ascii="Arial" w:hAnsi="Arial" w:cs="Arial"/>
          <w:i/>
          <w:iCs/>
          <w:noProof/>
          <w:lang w:val="pt-BR"/>
        </w:rPr>
        <w:t>Modern Economic Science</w:t>
      </w:r>
      <w:r w:rsidRPr="00F94379">
        <w:rPr>
          <w:rFonts w:ascii="Arial" w:hAnsi="Arial" w:cs="Arial"/>
          <w:noProof/>
          <w:lang w:val="pt-BR"/>
        </w:rPr>
        <w:t xml:space="preserve">, </w:t>
      </w:r>
      <w:r w:rsidRPr="00F94379">
        <w:rPr>
          <w:rFonts w:ascii="Arial" w:hAnsi="Arial" w:cs="Arial"/>
          <w:i/>
          <w:iCs/>
          <w:noProof/>
          <w:lang w:val="pt-BR"/>
        </w:rPr>
        <w:t>46</w:t>
      </w:r>
      <w:r w:rsidRPr="00F94379">
        <w:rPr>
          <w:rFonts w:ascii="Arial" w:hAnsi="Arial" w:cs="Arial"/>
          <w:noProof/>
          <w:lang w:val="pt-BR"/>
        </w:rPr>
        <w:t>(4), 1–13. https://doi.org/10.20069/j.cnki.DJKX.202404001</w:t>
      </w:r>
    </w:p>
    <w:p w14:paraId="1B1EFB7D"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F94379">
        <w:rPr>
          <w:rFonts w:ascii="Arial" w:hAnsi="Arial" w:cs="Arial"/>
          <w:noProof/>
          <w:lang w:val="pt-BR"/>
        </w:rPr>
        <w:t xml:space="preserve">Llovido, J. L., Brogada, M. A. D., Relucio, F. S., Austero, L. D., MacEda, L. L., &amp; Abisado, M. B. (2024). </w:t>
      </w:r>
      <w:r w:rsidRPr="009717CF">
        <w:rPr>
          <w:rFonts w:ascii="Arial" w:hAnsi="Arial" w:cs="Arial"/>
          <w:noProof/>
        </w:rPr>
        <w:t xml:space="preserve">BOSESKO: Designing A Synoptic Multi-Platform Digital System for Citizen Participation. </w:t>
      </w:r>
      <w:r w:rsidRPr="009717CF">
        <w:rPr>
          <w:rFonts w:ascii="Arial" w:hAnsi="Arial" w:cs="Arial"/>
          <w:i/>
          <w:iCs/>
          <w:noProof/>
        </w:rPr>
        <w:t>International Conference on Advanced Communication Technology, ICACT</w:t>
      </w:r>
      <w:r w:rsidRPr="009717CF">
        <w:rPr>
          <w:rFonts w:ascii="Arial" w:hAnsi="Arial" w:cs="Arial"/>
          <w:noProof/>
        </w:rPr>
        <w:t>, 376–383. https://doi.org/10.23919/ICACT60172.2024.10472009</w:t>
      </w:r>
    </w:p>
    <w:p w14:paraId="0EA2B5A4"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Loeffler, E., &amp; Martin, S. (2023). Citizen engagement. In </w:t>
      </w:r>
      <w:r w:rsidRPr="009717CF">
        <w:rPr>
          <w:rFonts w:ascii="Arial" w:hAnsi="Arial" w:cs="Arial"/>
          <w:i/>
          <w:iCs/>
          <w:noProof/>
        </w:rPr>
        <w:t>Public Management and Governance: Fourth Edition</w:t>
      </w:r>
      <w:r w:rsidRPr="009717CF">
        <w:rPr>
          <w:rFonts w:ascii="Arial" w:hAnsi="Arial" w:cs="Arial"/>
          <w:noProof/>
        </w:rPr>
        <w:t xml:space="preserve"> (pp. 284–298). Taylor and Francis. https://doi.org/10.4324/9781003282839-25</w:t>
      </w:r>
    </w:p>
    <w:p w14:paraId="131F1625"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Matitah, M., Arifin, S., Sumarto, S., &amp; Widiyanto, W. (2021). Confronting E-Government Adoption in Indonesian Local Government. </w:t>
      </w:r>
      <w:r w:rsidRPr="009717CF">
        <w:rPr>
          <w:rFonts w:ascii="Arial" w:hAnsi="Arial" w:cs="Arial"/>
          <w:i/>
          <w:iCs/>
          <w:noProof/>
        </w:rPr>
        <w:t>Journal of Indonesian Legal Studies</w:t>
      </w:r>
      <w:r w:rsidRPr="009717CF">
        <w:rPr>
          <w:rFonts w:ascii="Arial" w:hAnsi="Arial" w:cs="Arial"/>
          <w:noProof/>
        </w:rPr>
        <w:t xml:space="preserve">, </w:t>
      </w:r>
      <w:r w:rsidRPr="009717CF">
        <w:rPr>
          <w:rFonts w:ascii="Arial" w:hAnsi="Arial" w:cs="Arial"/>
          <w:i/>
          <w:iCs/>
          <w:noProof/>
        </w:rPr>
        <w:t>6</w:t>
      </w:r>
      <w:r w:rsidRPr="009717CF">
        <w:rPr>
          <w:rFonts w:ascii="Arial" w:hAnsi="Arial" w:cs="Arial"/>
          <w:noProof/>
        </w:rPr>
        <w:t>(2), 279–306. https://doi.org/10.15294/jils.v6i2.47795</w:t>
      </w:r>
    </w:p>
    <w:p w14:paraId="2AA13A72"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Maulana, R. Y., Durnik, M., &amp; Decman, M. (2024). Collaborative Approach on Digital Government Transformation: In-Depth Analysis from Expert Interview. </w:t>
      </w:r>
      <w:r w:rsidRPr="009717CF">
        <w:rPr>
          <w:rFonts w:ascii="Arial" w:hAnsi="Arial" w:cs="Arial"/>
          <w:i/>
          <w:iCs/>
          <w:noProof/>
        </w:rPr>
        <w:t>NISPAcee Journal of Public Administration and Policy</w:t>
      </w:r>
      <w:r w:rsidRPr="009717CF">
        <w:rPr>
          <w:rFonts w:ascii="Arial" w:hAnsi="Arial" w:cs="Arial"/>
          <w:noProof/>
        </w:rPr>
        <w:t xml:space="preserve">, </w:t>
      </w:r>
      <w:r w:rsidRPr="009717CF">
        <w:rPr>
          <w:rFonts w:ascii="Arial" w:hAnsi="Arial" w:cs="Arial"/>
          <w:i/>
          <w:iCs/>
          <w:noProof/>
        </w:rPr>
        <w:t>17</w:t>
      </w:r>
      <w:r w:rsidRPr="009717CF">
        <w:rPr>
          <w:rFonts w:ascii="Arial" w:hAnsi="Arial" w:cs="Arial"/>
          <w:noProof/>
        </w:rPr>
        <w:t>(1), 94–119. https://doi.org/10.2478/nispa-2024-0005</w:t>
      </w:r>
    </w:p>
    <w:p w14:paraId="064BF951"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McKinley, E., Crowe, P. R., Stori, F., Ballinger, R., Brew, T. C., Blacklaw-Jones, L., Cameron-Smith, A., Crowley, S., Cocco, C., O’Mahony, C., McNally, B., Power, P., &amp; Foley, K. (2021). ‘Going digital’ - Lessons for future coastal community engagement and climate change adaptation. </w:t>
      </w:r>
      <w:r w:rsidRPr="009717CF">
        <w:rPr>
          <w:rFonts w:ascii="Arial" w:hAnsi="Arial" w:cs="Arial"/>
          <w:i/>
          <w:iCs/>
          <w:noProof/>
        </w:rPr>
        <w:t>Ocean and Coastal Management</w:t>
      </w:r>
      <w:r w:rsidRPr="009717CF">
        <w:rPr>
          <w:rFonts w:ascii="Arial" w:hAnsi="Arial" w:cs="Arial"/>
          <w:noProof/>
        </w:rPr>
        <w:t xml:space="preserve">, </w:t>
      </w:r>
      <w:r w:rsidRPr="009717CF">
        <w:rPr>
          <w:rFonts w:ascii="Arial" w:hAnsi="Arial" w:cs="Arial"/>
          <w:i/>
          <w:iCs/>
          <w:noProof/>
        </w:rPr>
        <w:t>208</w:t>
      </w:r>
      <w:r w:rsidRPr="009717CF">
        <w:rPr>
          <w:rFonts w:ascii="Arial" w:hAnsi="Arial" w:cs="Arial"/>
          <w:noProof/>
        </w:rPr>
        <w:t>. https://doi.org/10.1016/j.ocecoaman.2021.105629</w:t>
      </w:r>
    </w:p>
    <w:p w14:paraId="2BA839FF"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McNaught, C., &amp; Lam, P. (2010). Using wordle as a supplementary research tool. </w:t>
      </w:r>
      <w:r w:rsidRPr="009717CF">
        <w:rPr>
          <w:rFonts w:ascii="Arial" w:hAnsi="Arial" w:cs="Arial"/>
          <w:i/>
          <w:iCs/>
          <w:noProof/>
        </w:rPr>
        <w:t>Qualitative Report</w:t>
      </w:r>
      <w:r w:rsidRPr="009717CF">
        <w:rPr>
          <w:rFonts w:ascii="Arial" w:hAnsi="Arial" w:cs="Arial"/>
          <w:noProof/>
        </w:rPr>
        <w:t xml:space="preserve">, </w:t>
      </w:r>
      <w:r w:rsidRPr="009717CF">
        <w:rPr>
          <w:rFonts w:ascii="Arial" w:hAnsi="Arial" w:cs="Arial"/>
          <w:i/>
          <w:iCs/>
          <w:noProof/>
        </w:rPr>
        <w:t>15</w:t>
      </w:r>
      <w:r w:rsidRPr="009717CF">
        <w:rPr>
          <w:rFonts w:ascii="Arial" w:hAnsi="Arial" w:cs="Arial"/>
          <w:noProof/>
        </w:rPr>
        <w:t>(3), 630–643. https://doi.org/10.46743/2160-3715/2010.1167</w:t>
      </w:r>
    </w:p>
    <w:p w14:paraId="6FC5AD7F"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Mujianto, M., Hartoyo, H., Nurmalina, R., &amp; Yusuf, E. Z. (2023). The Unraveling Loyalty Model of Traditional Retail to Suppliers for Business Sustainability in the Digital Transformation Era: Insight from MSMEs in Indonesia. </w:t>
      </w:r>
      <w:r w:rsidRPr="009717CF">
        <w:rPr>
          <w:rFonts w:ascii="Arial" w:hAnsi="Arial" w:cs="Arial"/>
          <w:i/>
          <w:iCs/>
          <w:noProof/>
        </w:rPr>
        <w:t>Sustainability (Switzerland)</w:t>
      </w:r>
      <w:r w:rsidRPr="009717CF">
        <w:rPr>
          <w:rFonts w:ascii="Arial" w:hAnsi="Arial" w:cs="Arial"/>
          <w:noProof/>
        </w:rPr>
        <w:t xml:space="preserve">, </w:t>
      </w:r>
      <w:r w:rsidRPr="009717CF">
        <w:rPr>
          <w:rFonts w:ascii="Arial" w:hAnsi="Arial" w:cs="Arial"/>
          <w:i/>
          <w:iCs/>
          <w:noProof/>
        </w:rPr>
        <w:t>15</w:t>
      </w:r>
      <w:r w:rsidRPr="009717CF">
        <w:rPr>
          <w:rFonts w:ascii="Arial" w:hAnsi="Arial" w:cs="Arial"/>
          <w:noProof/>
        </w:rPr>
        <w:t>(3), 2827. https://doi.org/10.3390/su15032827</w:t>
      </w:r>
    </w:p>
    <w:p w14:paraId="0D9DD461"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Mutiarin, D., &amp; Lawelai, H. (2023). Optimizing the Role of ICT and Citizen Participation: Analysis of Smart City Governance Implementation in Jakarta, Indonesia and Kuala Lumpur, Malaysia. </w:t>
      </w:r>
      <w:r w:rsidRPr="009717CF">
        <w:rPr>
          <w:rFonts w:ascii="Arial" w:hAnsi="Arial" w:cs="Arial"/>
          <w:i/>
          <w:iCs/>
          <w:noProof/>
        </w:rPr>
        <w:t>E3S Web of Conferences</w:t>
      </w:r>
      <w:r w:rsidRPr="009717CF">
        <w:rPr>
          <w:rFonts w:ascii="Arial" w:hAnsi="Arial" w:cs="Arial"/>
          <w:noProof/>
        </w:rPr>
        <w:t xml:space="preserve">, </w:t>
      </w:r>
      <w:r w:rsidRPr="009717CF">
        <w:rPr>
          <w:rFonts w:ascii="Arial" w:hAnsi="Arial" w:cs="Arial"/>
          <w:i/>
          <w:iCs/>
          <w:noProof/>
        </w:rPr>
        <w:t>440</w:t>
      </w:r>
      <w:r w:rsidRPr="009717CF">
        <w:rPr>
          <w:rFonts w:ascii="Arial" w:hAnsi="Arial" w:cs="Arial"/>
          <w:noProof/>
        </w:rPr>
        <w:t>, 03027. https://doi.org/10.1051/e3sconf/202344003027</w:t>
      </w:r>
    </w:p>
    <w:p w14:paraId="7AE94ECC"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Nagai, F., &amp; Kagoya, K. (2011). Decentralization as a local governance innovation in Thailand. In A. A.-V., V. P., T. University of Tampere, B. S.J., &amp; G. C. U. Glasgow Caledonian University (Eds.), </w:t>
      </w:r>
      <w:r w:rsidRPr="009717CF">
        <w:rPr>
          <w:rFonts w:ascii="Arial" w:hAnsi="Arial" w:cs="Arial"/>
          <w:i/>
          <w:iCs/>
          <w:noProof/>
        </w:rPr>
        <w:t>Innovation and the Public Sector</w:t>
      </w:r>
      <w:r w:rsidRPr="009717CF">
        <w:rPr>
          <w:rFonts w:ascii="Arial" w:hAnsi="Arial" w:cs="Arial"/>
          <w:noProof/>
        </w:rPr>
        <w:t xml:space="preserve"> (Vol. 16, pp. 137–150). https://doi.org/10.3233/978-1-60750-729-1-137</w:t>
      </w:r>
    </w:p>
    <w:p w14:paraId="6380E5D6"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Naushad, M., &amp; M. M, S. (2020). Prioritizing Technology Adoption Dynamics among SMEs. </w:t>
      </w:r>
      <w:r w:rsidRPr="009717CF">
        <w:rPr>
          <w:rFonts w:ascii="Arial" w:hAnsi="Arial" w:cs="Arial"/>
          <w:i/>
          <w:iCs/>
          <w:noProof/>
        </w:rPr>
        <w:t>TEM Journal</w:t>
      </w:r>
      <w:r w:rsidRPr="009717CF">
        <w:rPr>
          <w:rFonts w:ascii="Arial" w:hAnsi="Arial" w:cs="Arial"/>
          <w:noProof/>
        </w:rPr>
        <w:t xml:space="preserve">, </w:t>
      </w:r>
      <w:r w:rsidRPr="009717CF">
        <w:rPr>
          <w:rFonts w:ascii="Arial" w:hAnsi="Arial" w:cs="Arial"/>
          <w:i/>
          <w:iCs/>
          <w:noProof/>
        </w:rPr>
        <w:t>9</w:t>
      </w:r>
      <w:r w:rsidRPr="009717CF">
        <w:rPr>
          <w:rFonts w:ascii="Arial" w:hAnsi="Arial" w:cs="Arial"/>
          <w:noProof/>
        </w:rPr>
        <w:t>(3), 983–991. https://doi.org/10.18421/TEM93-21</w:t>
      </w:r>
    </w:p>
    <w:p w14:paraId="62FE3B26"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Ni, M. (2022). Digital Participation for Inclusive Growth: A Case Study of Singapore’s Collaborative Digital Governance Model. In </w:t>
      </w:r>
      <w:r w:rsidRPr="009717CF">
        <w:rPr>
          <w:rFonts w:ascii="Arial" w:hAnsi="Arial" w:cs="Arial"/>
          <w:i/>
          <w:iCs/>
          <w:noProof/>
        </w:rPr>
        <w:t>Urban Book Series</w:t>
      </w:r>
      <w:r w:rsidRPr="009717CF">
        <w:rPr>
          <w:rFonts w:ascii="Arial" w:hAnsi="Arial" w:cs="Arial"/>
          <w:noProof/>
        </w:rPr>
        <w:t xml:space="preserve"> (pp. 323–337). Springer Science and Business Media Deutschland GmbH. https://doi.org/10.1007/978-3-030-96866-3_17</w:t>
      </w:r>
    </w:p>
    <w:p w14:paraId="4E301D09"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Noymanee, J., San-Um, W., &amp; Theeramunkong, T. (2017). Perspectives and innovation roadmap for service ability enhancement of Thai E-government. </w:t>
      </w:r>
      <w:r w:rsidRPr="009717CF">
        <w:rPr>
          <w:rFonts w:ascii="Arial" w:hAnsi="Arial" w:cs="Arial"/>
          <w:i/>
          <w:iCs/>
          <w:noProof/>
        </w:rPr>
        <w:t>2016 Management and Innovation Technology International Conference, MITiCON 2016</w:t>
      </w:r>
      <w:r w:rsidRPr="009717CF">
        <w:rPr>
          <w:rFonts w:ascii="Arial" w:hAnsi="Arial" w:cs="Arial"/>
          <w:noProof/>
        </w:rPr>
        <w:t>, MIT198–MIT203. https://doi.org/10.1109/MITICON.2016.8025214</w:t>
      </w:r>
    </w:p>
    <w:p w14:paraId="26D6C241"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Nurmandi, A., Kurniawan, D., Misran, &amp; Salahudin. (2021). A Meta-analysis of Big Data Security: How the Government Formulates a Model of Public Information and Security Assurance into Big Data. In </w:t>
      </w:r>
      <w:r w:rsidRPr="009717CF">
        <w:rPr>
          <w:rFonts w:ascii="Arial" w:hAnsi="Arial" w:cs="Arial"/>
          <w:i/>
          <w:iCs/>
          <w:noProof/>
        </w:rPr>
        <w:t>Communications in Computer and Information Science: Vol. 1499 CCIS</w:t>
      </w:r>
      <w:r w:rsidRPr="009717CF">
        <w:rPr>
          <w:rFonts w:ascii="Arial" w:hAnsi="Arial" w:cs="Arial"/>
          <w:noProof/>
        </w:rPr>
        <w:t xml:space="preserve"> (pp. 472–479). Springer. https://doi.org/10.1007/978-3-030-90179-0_60</w:t>
      </w:r>
    </w:p>
    <w:p w14:paraId="17E7053E"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Nursyamsi, D., Sulaeman, Y., &amp; Noor, M. (2020). Management package of tri-kelola plus for increasing production and productivity in wetland development for agriculture. In S. Y., N. D., P. L., &amp; M. B. (Eds.), </w:t>
      </w:r>
      <w:r w:rsidRPr="009717CF">
        <w:rPr>
          <w:rFonts w:ascii="Arial" w:hAnsi="Arial" w:cs="Arial"/>
          <w:i/>
          <w:iCs/>
          <w:noProof/>
        </w:rPr>
        <w:t>Tropical Wetlands Innovation in Mapping and Management- Proceedings of the International Workshop on Tropical Wetlands: Innovation in Mapping and Management, 2018</w:t>
      </w:r>
      <w:r w:rsidRPr="009717CF">
        <w:rPr>
          <w:rFonts w:ascii="Arial" w:hAnsi="Arial" w:cs="Arial"/>
          <w:noProof/>
        </w:rPr>
        <w:t xml:space="preserve"> (pp. 63–72). CRC Press/Balkema. https://doi.org/10.1201/9780429264467-11</w:t>
      </w:r>
    </w:p>
    <w:p w14:paraId="14C0D5E5"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Page, M. J., McKenzie, J. E., Bossuyt, P. M., Boutron, I., Hoffmann, T. C., Mulrow, C. D., Shamseer, L., Tetzlaff, J. M., Akl, E. A., Brennan, S. E., Chou, R., Glanville, J., Grimshaw, J. M., Hróbjartsson, A., Lalu, M. M., Li, T., Loder, E. W., Mayo-Wilson, E., McDonald, S., … Moher, D. (2022). The PRISMA 2020 statement: an updated guideline for reporting systematic reviews. </w:t>
      </w:r>
      <w:r w:rsidRPr="009717CF">
        <w:rPr>
          <w:rFonts w:ascii="Arial" w:hAnsi="Arial" w:cs="Arial"/>
          <w:i/>
          <w:iCs/>
          <w:noProof/>
        </w:rPr>
        <w:t>Revista Panamericana de Salud Publica/Pan American Journal of Public Health</w:t>
      </w:r>
      <w:r w:rsidRPr="009717CF">
        <w:rPr>
          <w:rFonts w:ascii="Arial" w:hAnsi="Arial" w:cs="Arial"/>
          <w:noProof/>
        </w:rPr>
        <w:t xml:space="preserve">, </w:t>
      </w:r>
      <w:r w:rsidRPr="009717CF">
        <w:rPr>
          <w:rFonts w:ascii="Arial" w:hAnsi="Arial" w:cs="Arial"/>
          <w:i/>
          <w:iCs/>
          <w:noProof/>
        </w:rPr>
        <w:t>46</w:t>
      </w:r>
      <w:r w:rsidRPr="009717CF">
        <w:rPr>
          <w:rFonts w:ascii="Arial" w:hAnsi="Arial" w:cs="Arial"/>
          <w:noProof/>
        </w:rPr>
        <w:t>. https://doi.org/10.26633/RPSP.2022.112</w:t>
      </w:r>
    </w:p>
    <w:p w14:paraId="44DA78C6"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Page, M. J., Moher, D., Bossuyt, P. M., Boutron, I., Hoffmann, T. C., Mulrow, C. D., Shamseer, L., Tetzlaff, J. M., Akl, E. A., Brennan, S. E., Chou, R., Glanville, J., Grimshaw, J. M., Hróbjartsson, A., Lalu, M. M., Li, T., Loder, E. W., Mayo-Wilson, E., Mcdonald, S., … Mckenzie, J. E. (2021). PRISMA 2020 explanation and elaboration: Updated guidance and exemplars for reporting systematic reviews. </w:t>
      </w:r>
      <w:r w:rsidRPr="009717CF">
        <w:rPr>
          <w:rFonts w:ascii="Arial" w:hAnsi="Arial" w:cs="Arial"/>
          <w:i/>
          <w:iCs/>
          <w:noProof/>
        </w:rPr>
        <w:t>The BMJ</w:t>
      </w:r>
      <w:r w:rsidRPr="009717CF">
        <w:rPr>
          <w:rFonts w:ascii="Arial" w:hAnsi="Arial" w:cs="Arial"/>
          <w:noProof/>
        </w:rPr>
        <w:t xml:space="preserve">, </w:t>
      </w:r>
      <w:r w:rsidRPr="009717CF">
        <w:rPr>
          <w:rFonts w:ascii="Arial" w:hAnsi="Arial" w:cs="Arial"/>
          <w:i/>
          <w:iCs/>
          <w:noProof/>
        </w:rPr>
        <w:t>372</w:t>
      </w:r>
      <w:r w:rsidRPr="009717CF">
        <w:rPr>
          <w:rFonts w:ascii="Arial" w:hAnsi="Arial" w:cs="Arial"/>
          <w:noProof/>
        </w:rPr>
        <w:t>. https://doi.org/10.1136/bmj.n160</w:t>
      </w:r>
    </w:p>
    <w:p w14:paraId="0C5821D1"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Piyapong, J., Thidarat, B., Jaruwan, C., Siriphan, N., &amp; Passanan, A. (2019). Enhancing citizens’ sense of personal responsibility and risk perception for promoting public participation in sustainable groundwater resource management in Rayong Groundwater Basin, Thailand. </w:t>
      </w:r>
      <w:r w:rsidRPr="009717CF">
        <w:rPr>
          <w:rFonts w:ascii="Arial" w:hAnsi="Arial" w:cs="Arial"/>
          <w:i/>
          <w:iCs/>
          <w:noProof/>
        </w:rPr>
        <w:t>Groundwater for Sustainable Development</w:t>
      </w:r>
      <w:r w:rsidRPr="009717CF">
        <w:rPr>
          <w:rFonts w:ascii="Arial" w:hAnsi="Arial" w:cs="Arial"/>
          <w:noProof/>
        </w:rPr>
        <w:t xml:space="preserve">, </w:t>
      </w:r>
      <w:r w:rsidRPr="009717CF">
        <w:rPr>
          <w:rFonts w:ascii="Arial" w:hAnsi="Arial" w:cs="Arial"/>
          <w:i/>
          <w:iCs/>
          <w:noProof/>
        </w:rPr>
        <w:t>9</w:t>
      </w:r>
      <w:r w:rsidRPr="009717CF">
        <w:rPr>
          <w:rFonts w:ascii="Arial" w:hAnsi="Arial" w:cs="Arial"/>
          <w:noProof/>
        </w:rPr>
        <w:t>, 100252. https://doi.org/10.1016/j.gsd.2019.100252</w:t>
      </w:r>
    </w:p>
    <w:p w14:paraId="2C161942"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Prajaknate, P. (2017). Information Communication Technologies (ICT) for education projects in ASEAN: Can we close the digital divide? </w:t>
      </w:r>
      <w:r w:rsidRPr="009717CF">
        <w:rPr>
          <w:rFonts w:ascii="Arial" w:hAnsi="Arial" w:cs="Arial"/>
          <w:i/>
          <w:iCs/>
          <w:noProof/>
        </w:rPr>
        <w:t>Communication, Culture and Change in Asia</w:t>
      </w:r>
      <w:r w:rsidRPr="009717CF">
        <w:rPr>
          <w:rFonts w:ascii="Arial" w:hAnsi="Arial" w:cs="Arial"/>
          <w:noProof/>
        </w:rPr>
        <w:t xml:space="preserve">, </w:t>
      </w:r>
      <w:r w:rsidRPr="009717CF">
        <w:rPr>
          <w:rFonts w:ascii="Arial" w:hAnsi="Arial" w:cs="Arial"/>
          <w:i/>
          <w:iCs/>
          <w:noProof/>
        </w:rPr>
        <w:t>2</w:t>
      </w:r>
      <w:r w:rsidRPr="009717CF">
        <w:rPr>
          <w:rFonts w:ascii="Arial" w:hAnsi="Arial" w:cs="Arial"/>
          <w:noProof/>
        </w:rPr>
        <w:t>, 107–133. https://doi.org/10.1007/978-981-10-2815-1_6</w:t>
      </w:r>
    </w:p>
    <w:p w14:paraId="66D3B3A5"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Przeybilovicz, E., &amp; Cunha, M. A. (2024). Governing in the digital age: The emergence of dynamic smart urban governance modes. </w:t>
      </w:r>
      <w:r w:rsidRPr="009717CF">
        <w:rPr>
          <w:rFonts w:ascii="Arial" w:hAnsi="Arial" w:cs="Arial"/>
          <w:i/>
          <w:iCs/>
          <w:noProof/>
        </w:rPr>
        <w:t>Government Information Quarterly</w:t>
      </w:r>
      <w:r w:rsidRPr="009717CF">
        <w:rPr>
          <w:rFonts w:ascii="Arial" w:hAnsi="Arial" w:cs="Arial"/>
          <w:noProof/>
        </w:rPr>
        <w:t xml:space="preserve">, </w:t>
      </w:r>
      <w:r w:rsidRPr="009717CF">
        <w:rPr>
          <w:rFonts w:ascii="Arial" w:hAnsi="Arial" w:cs="Arial"/>
          <w:i/>
          <w:iCs/>
          <w:noProof/>
        </w:rPr>
        <w:t>41</w:t>
      </w:r>
      <w:r w:rsidRPr="009717CF">
        <w:rPr>
          <w:rFonts w:ascii="Arial" w:hAnsi="Arial" w:cs="Arial"/>
          <w:noProof/>
        </w:rPr>
        <w:t>(1), 101907. https://doi.org/10.1016/j.giq.2023.101907</w:t>
      </w:r>
    </w:p>
    <w:p w14:paraId="629FA365"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Ramasubbareddy, S., Walia, A. S., Luhach, A. K., Kannayaram, G., &amp; Evakattu, S. (2019). Big Data Analysis on Job Trends Using R. </w:t>
      </w:r>
      <w:r w:rsidRPr="009717CF">
        <w:rPr>
          <w:rFonts w:ascii="Arial" w:hAnsi="Arial" w:cs="Arial"/>
          <w:i/>
          <w:iCs/>
          <w:noProof/>
        </w:rPr>
        <w:t>Recent Advances in Computer Science and Communications</w:t>
      </w:r>
      <w:r w:rsidRPr="009717CF">
        <w:rPr>
          <w:rFonts w:ascii="Arial" w:hAnsi="Arial" w:cs="Arial"/>
          <w:noProof/>
        </w:rPr>
        <w:t xml:space="preserve">, </w:t>
      </w:r>
      <w:r w:rsidRPr="009717CF">
        <w:rPr>
          <w:rFonts w:ascii="Arial" w:hAnsi="Arial" w:cs="Arial"/>
          <w:i/>
          <w:iCs/>
          <w:noProof/>
        </w:rPr>
        <w:t>14</w:t>
      </w:r>
      <w:r w:rsidRPr="009717CF">
        <w:rPr>
          <w:rFonts w:ascii="Arial" w:hAnsi="Arial" w:cs="Arial"/>
          <w:noProof/>
        </w:rPr>
        <w:t>(1), 100–108. https://doi.org/10.2174/2213275912666190801113359</w:t>
      </w:r>
    </w:p>
    <w:p w14:paraId="214C4D75"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Rashdi, S. Al. (2024). Digital transformation for better innovation governance. In </w:t>
      </w:r>
      <w:r w:rsidRPr="009717CF">
        <w:rPr>
          <w:rFonts w:ascii="Arial" w:hAnsi="Arial" w:cs="Arial"/>
          <w:i/>
          <w:iCs/>
          <w:noProof/>
        </w:rPr>
        <w:t>Perspectives on Digital Transformation in Contemporary Business</w:t>
      </w:r>
      <w:r w:rsidRPr="009717CF">
        <w:rPr>
          <w:rFonts w:ascii="Arial" w:hAnsi="Arial" w:cs="Arial"/>
          <w:noProof/>
        </w:rPr>
        <w:t xml:space="preserve"> (pp. 201–239). IGI Global. https://doi.org/10.4018/979-8-3693-5966-2.ch008</w:t>
      </w:r>
    </w:p>
    <w:p w14:paraId="07444D56"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Reutterer, T., &amp; Dan, D. (2021). Cluster Analysis in Marketing Research. In </w:t>
      </w:r>
      <w:r w:rsidRPr="009717CF">
        <w:rPr>
          <w:rFonts w:ascii="Arial" w:hAnsi="Arial" w:cs="Arial"/>
          <w:i/>
          <w:iCs/>
          <w:noProof/>
        </w:rPr>
        <w:t>Handbook of Market Research</w:t>
      </w:r>
      <w:r w:rsidRPr="009717CF">
        <w:rPr>
          <w:rFonts w:ascii="Arial" w:hAnsi="Arial" w:cs="Arial"/>
          <w:noProof/>
        </w:rPr>
        <w:t xml:space="preserve"> (pp. 221–249). Springer International Publishing. https://doi.org/10.1007/978-3-319-57413-4_11</w:t>
      </w:r>
    </w:p>
    <w:p w14:paraId="625788D3"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Rey, W. P., Villaluz, A. C., &amp; Rey, K. W. J. D. (2024). The Impact of Digital Transformation in the Philippines: A Study of the Key Drivers and Barriers. </w:t>
      </w:r>
      <w:r w:rsidRPr="009717CF">
        <w:rPr>
          <w:rFonts w:ascii="Arial" w:hAnsi="Arial" w:cs="Arial"/>
          <w:i/>
          <w:iCs/>
          <w:noProof/>
        </w:rPr>
        <w:t>ACM International Conference Proceeding Series</w:t>
      </w:r>
      <w:r w:rsidRPr="009717CF">
        <w:rPr>
          <w:rFonts w:ascii="Arial" w:hAnsi="Arial" w:cs="Arial"/>
          <w:noProof/>
        </w:rPr>
        <w:t>, 107–113. https://doi.org/10.1145/3647782.3647799</w:t>
      </w:r>
    </w:p>
    <w:p w14:paraId="5328E36A"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Rodríguez-Bolívar, M. P., Alcaide-Muñoz, L., &amp; Cobo, M. J. (2018). Analyzing the scientific evolution and impact of e-Participation research in JCR journals using science mapping. </w:t>
      </w:r>
      <w:r w:rsidRPr="009717CF">
        <w:rPr>
          <w:rFonts w:ascii="Arial" w:hAnsi="Arial" w:cs="Arial"/>
          <w:i/>
          <w:iCs/>
          <w:noProof/>
        </w:rPr>
        <w:t>International Journal of Information Management</w:t>
      </w:r>
      <w:r w:rsidRPr="009717CF">
        <w:rPr>
          <w:rFonts w:ascii="Arial" w:hAnsi="Arial" w:cs="Arial"/>
          <w:noProof/>
        </w:rPr>
        <w:t xml:space="preserve">, </w:t>
      </w:r>
      <w:r w:rsidRPr="009717CF">
        <w:rPr>
          <w:rFonts w:ascii="Arial" w:hAnsi="Arial" w:cs="Arial"/>
          <w:i/>
          <w:iCs/>
          <w:noProof/>
        </w:rPr>
        <w:t>40</w:t>
      </w:r>
      <w:r w:rsidRPr="009717CF">
        <w:rPr>
          <w:rFonts w:ascii="Arial" w:hAnsi="Arial" w:cs="Arial"/>
          <w:noProof/>
        </w:rPr>
        <w:t>, 111–119. https://doi.org/10.1016/j.ijinfomgt.2017.12.011</w:t>
      </w:r>
    </w:p>
    <w:p w14:paraId="62A92E66"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Rozanc, I. (2018). Effective collection and selection of research articles for a systematic review. In V. B., T. E., G. T.G., S. V., C.-S. M., R. S., S. K., K. M., M. M., G. S., P. P., &amp; J. M. (Eds.), </w:t>
      </w:r>
      <w:r w:rsidRPr="009717CF">
        <w:rPr>
          <w:rFonts w:ascii="Arial" w:hAnsi="Arial" w:cs="Arial"/>
          <w:i/>
          <w:iCs/>
          <w:noProof/>
        </w:rPr>
        <w:t>2018 41st International Convention on Information and Communication Technology, Electronics and Microelectronics, MIPRO 2018 - Proceedings</w:t>
      </w:r>
      <w:r w:rsidRPr="009717CF">
        <w:rPr>
          <w:rFonts w:ascii="Arial" w:hAnsi="Arial" w:cs="Arial"/>
          <w:noProof/>
        </w:rPr>
        <w:t xml:space="preserve"> (pp. 1394–1399). Institute of Electrical and Electronics Engineers Inc. https://doi.org/10.23919/MIPRO.2018.8400251</w:t>
      </w:r>
    </w:p>
    <w:p w14:paraId="0F65F78B"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Saeedikiya, M., Salunke, S., &amp; Kowalkiewicz, M. (2025). The nexus of digital transformation and innovation: A multilevel framework and research agenda. </w:t>
      </w:r>
      <w:r w:rsidRPr="009717CF">
        <w:rPr>
          <w:rFonts w:ascii="Arial" w:hAnsi="Arial" w:cs="Arial"/>
          <w:i/>
          <w:iCs/>
          <w:noProof/>
        </w:rPr>
        <w:t>Journal of Innovation &amp; Knowledge</w:t>
      </w:r>
      <w:r w:rsidRPr="009717CF">
        <w:rPr>
          <w:rFonts w:ascii="Arial" w:hAnsi="Arial" w:cs="Arial"/>
          <w:noProof/>
        </w:rPr>
        <w:t xml:space="preserve">, </w:t>
      </w:r>
      <w:r w:rsidRPr="009717CF">
        <w:rPr>
          <w:rFonts w:ascii="Arial" w:hAnsi="Arial" w:cs="Arial"/>
          <w:i/>
          <w:iCs/>
          <w:noProof/>
        </w:rPr>
        <w:t>10</w:t>
      </w:r>
      <w:r w:rsidRPr="009717CF">
        <w:rPr>
          <w:rFonts w:ascii="Arial" w:hAnsi="Arial" w:cs="Arial"/>
          <w:noProof/>
        </w:rPr>
        <w:t>(1), 100640. https://doi.org/10.1016/j.jik.2024.100640</w:t>
      </w:r>
    </w:p>
    <w:p w14:paraId="55D645F8"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Sarafis, D., Karamitsios, K., &amp; Kravari, K. (2025). AI and Civic Engagement: A Brief Exploration of Applications and Opportunities. </w:t>
      </w:r>
      <w:r w:rsidRPr="009717CF">
        <w:rPr>
          <w:rFonts w:ascii="Arial" w:hAnsi="Arial" w:cs="Arial"/>
          <w:i/>
          <w:iCs/>
          <w:noProof/>
        </w:rPr>
        <w:t>ICADEIS 2025 - 2025 International Conference on Advancement in Data Science, E-Learning and Information System: Integrating Data Science and Information System, Proceeding</w:t>
      </w:r>
      <w:r w:rsidRPr="009717CF">
        <w:rPr>
          <w:rFonts w:ascii="Arial" w:hAnsi="Arial" w:cs="Arial"/>
          <w:noProof/>
        </w:rPr>
        <w:t>. https://doi.org/10.1109/ICADEIS65852.2025.10933183</w:t>
      </w:r>
    </w:p>
    <w:p w14:paraId="184716F5"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Setyarto, D. B., Alimuddin, Mulyaningsih, &amp; Judijanto, L. (2025). The role of e-government in increasing transparency and accountability of public administration in the digital era. </w:t>
      </w:r>
      <w:r w:rsidRPr="009717CF">
        <w:rPr>
          <w:rFonts w:ascii="Arial" w:hAnsi="Arial" w:cs="Arial"/>
          <w:i/>
          <w:iCs/>
          <w:noProof/>
        </w:rPr>
        <w:t>Edelweiss Applied Science and Technology</w:t>
      </w:r>
      <w:r w:rsidRPr="009717CF">
        <w:rPr>
          <w:rFonts w:ascii="Arial" w:hAnsi="Arial" w:cs="Arial"/>
          <w:noProof/>
        </w:rPr>
        <w:t xml:space="preserve">, </w:t>
      </w:r>
      <w:r w:rsidRPr="009717CF">
        <w:rPr>
          <w:rFonts w:ascii="Arial" w:hAnsi="Arial" w:cs="Arial"/>
          <w:i/>
          <w:iCs/>
          <w:noProof/>
        </w:rPr>
        <w:t>9</w:t>
      </w:r>
      <w:r w:rsidRPr="009717CF">
        <w:rPr>
          <w:rFonts w:ascii="Arial" w:hAnsi="Arial" w:cs="Arial"/>
          <w:noProof/>
        </w:rPr>
        <w:t>(2), 1771–1783. https://doi.org/10.55214/25768484.v9i2.4908</w:t>
      </w:r>
    </w:p>
    <w:p w14:paraId="7A488300"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Shamsuzzoha, A., Nieminen, J., Piya, S., &amp; Rutledge, K. (2021). Smart city for sustainable environment: A comparison of participatory strategies from Helsinki, Singapore and London. </w:t>
      </w:r>
      <w:r w:rsidRPr="009717CF">
        <w:rPr>
          <w:rFonts w:ascii="Arial" w:hAnsi="Arial" w:cs="Arial"/>
          <w:i/>
          <w:iCs/>
          <w:noProof/>
        </w:rPr>
        <w:t>Cities</w:t>
      </w:r>
      <w:r w:rsidRPr="009717CF">
        <w:rPr>
          <w:rFonts w:ascii="Arial" w:hAnsi="Arial" w:cs="Arial"/>
          <w:noProof/>
        </w:rPr>
        <w:t xml:space="preserve">, </w:t>
      </w:r>
      <w:r w:rsidRPr="009717CF">
        <w:rPr>
          <w:rFonts w:ascii="Arial" w:hAnsi="Arial" w:cs="Arial"/>
          <w:i/>
          <w:iCs/>
          <w:noProof/>
        </w:rPr>
        <w:t>114</w:t>
      </w:r>
      <w:r w:rsidRPr="009717CF">
        <w:rPr>
          <w:rFonts w:ascii="Arial" w:hAnsi="Arial" w:cs="Arial"/>
          <w:noProof/>
        </w:rPr>
        <w:t>, 103194. https://doi.org/10.1016/j.cities.2021.103194</w:t>
      </w:r>
    </w:p>
    <w:p w14:paraId="4AD69A93"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Smolinski, J. (2024). Navigating the Digital Frontier: Emerging Trends in Digital Innovation Management for 2023 and Beyond. </w:t>
      </w:r>
      <w:r w:rsidRPr="009717CF">
        <w:rPr>
          <w:rFonts w:ascii="Arial" w:hAnsi="Arial" w:cs="Arial"/>
          <w:i/>
          <w:iCs/>
          <w:noProof/>
        </w:rPr>
        <w:t>International Journal of Innovation and Technology Management</w:t>
      </w:r>
      <w:r w:rsidRPr="009717CF">
        <w:rPr>
          <w:rFonts w:ascii="Arial" w:hAnsi="Arial" w:cs="Arial"/>
          <w:noProof/>
        </w:rPr>
        <w:t xml:space="preserve">, </w:t>
      </w:r>
      <w:r w:rsidRPr="009717CF">
        <w:rPr>
          <w:rFonts w:ascii="Arial" w:hAnsi="Arial" w:cs="Arial"/>
          <w:i/>
          <w:iCs/>
          <w:noProof/>
        </w:rPr>
        <w:t>21</w:t>
      </w:r>
      <w:r w:rsidRPr="009717CF">
        <w:rPr>
          <w:rFonts w:ascii="Arial" w:hAnsi="Arial" w:cs="Arial"/>
          <w:noProof/>
        </w:rPr>
        <w:t>(4). https://doi.org/10.1142/S0219877024500329</w:t>
      </w:r>
    </w:p>
    <w:p w14:paraId="25F4D1BF" w14:textId="77777777" w:rsidR="009717CF" w:rsidRPr="00F94379" w:rsidRDefault="009717CF" w:rsidP="009717CF">
      <w:pPr>
        <w:widowControl w:val="0"/>
        <w:autoSpaceDE w:val="0"/>
        <w:autoSpaceDN w:val="0"/>
        <w:adjustRightInd w:val="0"/>
        <w:spacing w:before="120" w:after="0" w:line="240" w:lineRule="auto"/>
        <w:ind w:left="480" w:hanging="480"/>
        <w:rPr>
          <w:rFonts w:ascii="Arial" w:hAnsi="Arial" w:cs="Arial"/>
          <w:noProof/>
          <w:lang w:val="pt-BR"/>
        </w:rPr>
      </w:pPr>
      <w:r w:rsidRPr="009717CF">
        <w:rPr>
          <w:rFonts w:ascii="Arial" w:hAnsi="Arial" w:cs="Arial"/>
          <w:noProof/>
        </w:rPr>
        <w:t xml:space="preserve">Sontiwanich, P., Boonchai, C., &amp; Beeton, R. J. S. (2022). An Unsustainable Smart City: Lessons from Uneven Citizen Education and Engagement in Thailand. </w:t>
      </w:r>
      <w:r w:rsidRPr="00F94379">
        <w:rPr>
          <w:rFonts w:ascii="Arial" w:hAnsi="Arial" w:cs="Arial"/>
          <w:i/>
          <w:iCs/>
          <w:noProof/>
          <w:lang w:val="pt-BR"/>
        </w:rPr>
        <w:t>Sustainability</w:t>
      </w:r>
      <w:r w:rsidRPr="00F94379">
        <w:rPr>
          <w:rFonts w:ascii="Arial" w:hAnsi="Arial" w:cs="Arial"/>
          <w:noProof/>
          <w:lang w:val="pt-BR"/>
        </w:rPr>
        <w:t xml:space="preserve">, </w:t>
      </w:r>
      <w:r w:rsidRPr="00F94379">
        <w:rPr>
          <w:rFonts w:ascii="Arial" w:hAnsi="Arial" w:cs="Arial"/>
          <w:i/>
          <w:iCs/>
          <w:noProof/>
          <w:lang w:val="pt-BR"/>
        </w:rPr>
        <w:t>14</w:t>
      </w:r>
      <w:r w:rsidRPr="00F94379">
        <w:rPr>
          <w:rFonts w:ascii="Arial" w:hAnsi="Arial" w:cs="Arial"/>
          <w:noProof/>
          <w:lang w:val="pt-BR"/>
        </w:rPr>
        <w:t>(20), 13315. https://doi.org/10.3390/su142013315</w:t>
      </w:r>
    </w:p>
    <w:p w14:paraId="3C1F45C8"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F94379">
        <w:rPr>
          <w:rFonts w:ascii="Arial" w:hAnsi="Arial" w:cs="Arial"/>
          <w:noProof/>
          <w:lang w:val="pt-BR"/>
        </w:rPr>
        <w:t xml:space="preserve">Sucupira Furtado, L., da Silva, T. L. C., Ferreira, M. G. F., de Macedo, J. A. F., &amp; de Melo Lima Cavalcanti Moreira, J. K. (2023). </w:t>
      </w:r>
      <w:r w:rsidRPr="009717CF">
        <w:rPr>
          <w:rFonts w:ascii="Arial" w:hAnsi="Arial" w:cs="Arial"/>
          <w:noProof/>
        </w:rPr>
        <w:t xml:space="preserve">A framework for Digital Transformation towards Smart Governance: using big data tools to target SDGs in Ceará, Brazil. </w:t>
      </w:r>
      <w:r w:rsidRPr="009717CF">
        <w:rPr>
          <w:rFonts w:ascii="Arial" w:hAnsi="Arial" w:cs="Arial"/>
          <w:i/>
          <w:iCs/>
          <w:noProof/>
        </w:rPr>
        <w:t>Journal of Urban Management</w:t>
      </w:r>
      <w:r w:rsidRPr="009717CF">
        <w:rPr>
          <w:rFonts w:ascii="Arial" w:hAnsi="Arial" w:cs="Arial"/>
          <w:noProof/>
        </w:rPr>
        <w:t xml:space="preserve">, </w:t>
      </w:r>
      <w:r w:rsidRPr="009717CF">
        <w:rPr>
          <w:rFonts w:ascii="Arial" w:hAnsi="Arial" w:cs="Arial"/>
          <w:i/>
          <w:iCs/>
          <w:noProof/>
        </w:rPr>
        <w:t>12</w:t>
      </w:r>
      <w:r w:rsidRPr="009717CF">
        <w:rPr>
          <w:rFonts w:ascii="Arial" w:hAnsi="Arial" w:cs="Arial"/>
          <w:noProof/>
        </w:rPr>
        <w:t>(1), 74–87. https://doi.org/10.1016/j.jum.2023.01.003</w:t>
      </w:r>
    </w:p>
    <w:p w14:paraId="16C4E8BE"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Syah, A. F., Sacipto, R., Yasin, A., Maemunah, S., Nuryadin, D., &amp; Mutaqin, M. (2024). Smart City Implementation in Indonesian Regions: Juridical and Empirical Review. In M. D., A. M., C. D., S. J., S. M., R. A., S. P., &amp; N. A. (Eds.), </w:t>
      </w:r>
      <w:r w:rsidRPr="009717CF">
        <w:rPr>
          <w:rFonts w:ascii="Arial" w:hAnsi="Arial" w:cs="Arial"/>
          <w:i/>
          <w:iCs/>
          <w:noProof/>
        </w:rPr>
        <w:t>E3S Web of Conferences</w:t>
      </w:r>
      <w:r w:rsidRPr="009717CF">
        <w:rPr>
          <w:rFonts w:ascii="Arial" w:hAnsi="Arial" w:cs="Arial"/>
          <w:noProof/>
        </w:rPr>
        <w:t xml:space="preserve"> (Vol. 594). EDP Sciences. https://doi.org/10.1051/e3sconf/202459404004</w:t>
      </w:r>
    </w:p>
    <w:p w14:paraId="1B2187C2"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Syahputra, D. I., Nurmandi, A., &amp; Subekti, D. (2023). Bibliometric Analysis of Research Publication Trends on the ICT Use in Government Institutions from 2015–2022. In </w:t>
      </w:r>
      <w:r w:rsidRPr="009717CF">
        <w:rPr>
          <w:rFonts w:ascii="Arial" w:hAnsi="Arial" w:cs="Arial"/>
          <w:i/>
          <w:iCs/>
          <w:noProof/>
        </w:rPr>
        <w:t>Lecture Notes in Networks and Systems: Vol. 624 LNNS</w:t>
      </w:r>
      <w:r w:rsidRPr="009717CF">
        <w:rPr>
          <w:rFonts w:ascii="Arial" w:hAnsi="Arial" w:cs="Arial"/>
          <w:noProof/>
        </w:rPr>
        <w:t xml:space="preserve"> (pp. 54–67). Springer. https://doi.org/10.1007/978-3-031-25344-7_6</w:t>
      </w:r>
    </w:p>
    <w:p w14:paraId="7061E2EF"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Thamjaroenporn, P., &amp; Achalakul, T. (2020). Big Data Analytics Framework for Digital Government. </w:t>
      </w:r>
      <w:r w:rsidRPr="009717CF">
        <w:rPr>
          <w:rFonts w:ascii="Arial" w:hAnsi="Arial" w:cs="Arial"/>
          <w:i/>
          <w:iCs/>
          <w:noProof/>
        </w:rPr>
        <w:t>2020 1st International Conference on Big Data Analytics and Practices, IBDAP 2020</w:t>
      </w:r>
      <w:r w:rsidRPr="009717CF">
        <w:rPr>
          <w:rFonts w:ascii="Arial" w:hAnsi="Arial" w:cs="Arial"/>
          <w:noProof/>
        </w:rPr>
        <w:t>, 1–6. https://doi.org/10.1109/IBDAP50342.2020.9245461</w:t>
      </w:r>
    </w:p>
    <w:p w14:paraId="764BD345"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Turk, N. (2021). Methodology of systematic reviews. </w:t>
      </w:r>
      <w:r w:rsidRPr="009717CF">
        <w:rPr>
          <w:rFonts w:ascii="Arial" w:hAnsi="Arial" w:cs="Arial"/>
          <w:i/>
          <w:iCs/>
          <w:noProof/>
        </w:rPr>
        <w:t>Zdravniski Vestnik</w:t>
      </w:r>
      <w:r w:rsidRPr="009717CF">
        <w:rPr>
          <w:rFonts w:ascii="Arial" w:hAnsi="Arial" w:cs="Arial"/>
          <w:noProof/>
        </w:rPr>
        <w:t xml:space="preserve">, </w:t>
      </w:r>
      <w:r w:rsidRPr="009717CF">
        <w:rPr>
          <w:rFonts w:ascii="Arial" w:hAnsi="Arial" w:cs="Arial"/>
          <w:i/>
          <w:iCs/>
          <w:noProof/>
        </w:rPr>
        <w:t>90</w:t>
      </w:r>
      <w:r w:rsidRPr="009717CF">
        <w:rPr>
          <w:rFonts w:ascii="Arial" w:hAnsi="Arial" w:cs="Arial"/>
          <w:noProof/>
        </w:rPr>
        <w:t>(7–8), 432–442. https://doi.org/10.6016/ZdravVestn.3138</w:t>
      </w:r>
    </w:p>
    <w:p w14:paraId="55F5065C"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Wang, J., Sun, W., Zhang, X., &amp; Yang, L. (2023). Interdisciplinarity Measurement Method of Scientific Research Papers based on Adaptive Feature Selection. </w:t>
      </w:r>
      <w:r w:rsidRPr="009717CF">
        <w:rPr>
          <w:rFonts w:ascii="Arial" w:hAnsi="Arial" w:cs="Arial"/>
          <w:i/>
          <w:iCs/>
          <w:noProof/>
        </w:rPr>
        <w:t>Journal of Library and Information Science in Agriculture</w:t>
      </w:r>
      <w:r w:rsidRPr="009717CF">
        <w:rPr>
          <w:rFonts w:ascii="Arial" w:hAnsi="Arial" w:cs="Arial"/>
          <w:noProof/>
        </w:rPr>
        <w:t xml:space="preserve">, </w:t>
      </w:r>
      <w:r w:rsidRPr="009717CF">
        <w:rPr>
          <w:rFonts w:ascii="Arial" w:hAnsi="Arial" w:cs="Arial"/>
          <w:i/>
          <w:iCs/>
          <w:noProof/>
        </w:rPr>
        <w:t>35</w:t>
      </w:r>
      <w:r w:rsidRPr="009717CF">
        <w:rPr>
          <w:rFonts w:ascii="Arial" w:hAnsi="Arial" w:cs="Arial"/>
          <w:noProof/>
        </w:rPr>
        <w:t>(3), 52–70. https://doi.org/10.13998/j.cnki.issn1002-1248.23-0214</w:t>
      </w:r>
    </w:p>
    <w:p w14:paraId="3401E0D9"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Wang, S., Cheah, J.-H., Wong, C. Y., &amp; Ramayah, T. (2024). Progress in partial least squares structural equation modeling use in logistics and supply chain management in the last decade: a structured literature review. </w:t>
      </w:r>
      <w:r w:rsidRPr="009717CF">
        <w:rPr>
          <w:rFonts w:ascii="Arial" w:hAnsi="Arial" w:cs="Arial"/>
          <w:i/>
          <w:iCs/>
          <w:noProof/>
        </w:rPr>
        <w:t>International Journal of Physical Distribution &amp; Logistics Management</w:t>
      </w:r>
      <w:r w:rsidRPr="009717CF">
        <w:rPr>
          <w:rFonts w:ascii="Arial" w:hAnsi="Arial" w:cs="Arial"/>
          <w:noProof/>
        </w:rPr>
        <w:t xml:space="preserve">, </w:t>
      </w:r>
      <w:r w:rsidRPr="009717CF">
        <w:rPr>
          <w:rFonts w:ascii="Arial" w:hAnsi="Arial" w:cs="Arial"/>
          <w:i/>
          <w:iCs/>
          <w:noProof/>
        </w:rPr>
        <w:t>54</w:t>
      </w:r>
      <w:r w:rsidRPr="009717CF">
        <w:rPr>
          <w:rFonts w:ascii="Arial" w:hAnsi="Arial" w:cs="Arial"/>
          <w:noProof/>
        </w:rPr>
        <w:t>(7/8), 673–704. https://doi.org/10.1108/IJPDLM-06-2023-0200</w:t>
      </w:r>
    </w:p>
    <w:p w14:paraId="471BAE1D"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Zhang, M., &amp; Kaur, M. (2024). Toward a theory of e-government: Challenges and opportunities, a literature review. </w:t>
      </w:r>
      <w:r w:rsidRPr="009717CF">
        <w:rPr>
          <w:rFonts w:ascii="Arial" w:hAnsi="Arial" w:cs="Arial"/>
          <w:i/>
          <w:iCs/>
          <w:noProof/>
        </w:rPr>
        <w:t>Journal of Infrastructure, Policy and Development</w:t>
      </w:r>
      <w:r w:rsidRPr="009717CF">
        <w:rPr>
          <w:rFonts w:ascii="Arial" w:hAnsi="Arial" w:cs="Arial"/>
          <w:noProof/>
        </w:rPr>
        <w:t xml:space="preserve">, </w:t>
      </w:r>
      <w:r w:rsidRPr="009717CF">
        <w:rPr>
          <w:rFonts w:ascii="Arial" w:hAnsi="Arial" w:cs="Arial"/>
          <w:i/>
          <w:iCs/>
          <w:noProof/>
        </w:rPr>
        <w:t>8</w:t>
      </w:r>
      <w:r w:rsidRPr="009717CF">
        <w:rPr>
          <w:rFonts w:ascii="Arial" w:hAnsi="Arial" w:cs="Arial"/>
          <w:noProof/>
        </w:rPr>
        <w:t>(10), 7707. https://doi.org/10.24294/jipd.v8i10.7707</w:t>
      </w:r>
    </w:p>
    <w:p w14:paraId="0BF35ABE"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Ziehl, M., Herzog, R., Degkwitz, T., Niggemann, M. H., Ziemer, G., &amp; Thoneick, R. (2023). Transformative Research in Digital Twins for Integrated Urban Development. </w:t>
      </w:r>
      <w:r w:rsidRPr="009717CF">
        <w:rPr>
          <w:rFonts w:ascii="Arial" w:hAnsi="Arial" w:cs="Arial"/>
          <w:i/>
          <w:iCs/>
          <w:noProof/>
        </w:rPr>
        <w:t>International Journal of E-Planning Research</w:t>
      </w:r>
      <w:r w:rsidRPr="009717CF">
        <w:rPr>
          <w:rFonts w:ascii="Arial" w:hAnsi="Arial" w:cs="Arial"/>
          <w:noProof/>
        </w:rPr>
        <w:t xml:space="preserve">, </w:t>
      </w:r>
      <w:r w:rsidRPr="009717CF">
        <w:rPr>
          <w:rFonts w:ascii="Arial" w:hAnsi="Arial" w:cs="Arial"/>
          <w:i/>
          <w:iCs/>
          <w:noProof/>
        </w:rPr>
        <w:t>12</w:t>
      </w:r>
      <w:r w:rsidRPr="009717CF">
        <w:rPr>
          <w:rFonts w:ascii="Arial" w:hAnsi="Arial" w:cs="Arial"/>
          <w:noProof/>
        </w:rPr>
        <w:t>(1), 1–18. https://doi.org/10.4018/IJEPR.333851</w:t>
      </w:r>
    </w:p>
    <w:p w14:paraId="11ECD416" w14:textId="77777777" w:rsidR="009717CF" w:rsidRPr="009717CF" w:rsidRDefault="009717CF" w:rsidP="009717CF">
      <w:pPr>
        <w:widowControl w:val="0"/>
        <w:autoSpaceDE w:val="0"/>
        <w:autoSpaceDN w:val="0"/>
        <w:adjustRightInd w:val="0"/>
        <w:spacing w:before="120" w:after="0" w:line="240" w:lineRule="auto"/>
        <w:ind w:left="480" w:hanging="480"/>
        <w:rPr>
          <w:rFonts w:ascii="Arial" w:hAnsi="Arial" w:cs="Arial"/>
          <w:noProof/>
        </w:rPr>
      </w:pPr>
      <w:r w:rsidRPr="009717CF">
        <w:rPr>
          <w:rFonts w:ascii="Arial" w:hAnsi="Arial" w:cs="Arial"/>
          <w:noProof/>
        </w:rPr>
        <w:t xml:space="preserve">Zukarnain, Z. A., Sudin, R., Rahman, N. A., &amp; Jamaludin, M. (2020). Exploring the potential of smart city in Kota Bharu. </w:t>
      </w:r>
      <w:r w:rsidRPr="009717CF">
        <w:rPr>
          <w:rFonts w:ascii="Arial" w:hAnsi="Arial" w:cs="Arial"/>
          <w:i/>
          <w:iCs/>
          <w:noProof/>
        </w:rPr>
        <w:t>International Journal of Engineering Trends and Technology</w:t>
      </w:r>
      <w:r w:rsidRPr="009717CF">
        <w:rPr>
          <w:rFonts w:ascii="Arial" w:hAnsi="Arial" w:cs="Arial"/>
          <w:noProof/>
        </w:rPr>
        <w:t xml:space="preserve">, </w:t>
      </w:r>
      <w:r w:rsidRPr="009717CF">
        <w:rPr>
          <w:rFonts w:ascii="Arial" w:hAnsi="Arial" w:cs="Arial"/>
          <w:i/>
          <w:iCs/>
          <w:noProof/>
        </w:rPr>
        <w:t>1</w:t>
      </w:r>
      <w:r w:rsidRPr="009717CF">
        <w:rPr>
          <w:rFonts w:ascii="Arial" w:hAnsi="Arial" w:cs="Arial"/>
          <w:noProof/>
        </w:rPr>
        <w:t>, 114–119. https://doi.org/10.14445/22315381/CATI1P221</w:t>
      </w:r>
    </w:p>
    <w:p w14:paraId="6AEAC678" w14:textId="2DC402A4" w:rsidR="00916449" w:rsidRPr="001F34B8" w:rsidRDefault="004D5D1F" w:rsidP="00464E57">
      <w:pPr>
        <w:spacing w:before="120" w:after="0" w:line="276" w:lineRule="auto"/>
        <w:ind w:left="720" w:hanging="720"/>
        <w:jc w:val="both"/>
        <w:rPr>
          <w:rFonts w:ascii="Arial" w:eastAsia="Calibri" w:hAnsi="Arial" w:cs="Arial"/>
        </w:rPr>
      </w:pPr>
      <w:r w:rsidRPr="00CC2B2F">
        <w:rPr>
          <w:rFonts w:ascii="Arial" w:eastAsia="Calibri" w:hAnsi="Arial" w:cs="Arial"/>
        </w:rPr>
        <w:fldChar w:fldCharType="end"/>
      </w:r>
    </w:p>
    <w:p w14:paraId="6064E2AC" w14:textId="77777777" w:rsidR="003328B1" w:rsidRPr="00761E7E" w:rsidRDefault="003328B1" w:rsidP="00464E57">
      <w:pPr>
        <w:spacing w:after="0" w:line="240" w:lineRule="auto"/>
        <w:jc w:val="both"/>
        <w:rPr>
          <w:rFonts w:ascii="Arial" w:hAnsi="Arial" w:cs="Arial"/>
        </w:rPr>
      </w:pPr>
    </w:p>
    <w:sectPr w:rsidR="003328B1" w:rsidRPr="00761E7E" w:rsidSect="00801D8F">
      <w:headerReference w:type="default" r:id="rId14"/>
      <w:footerReference w:type="default" r:id="rId15"/>
      <w:headerReference w:type="first" r:id="rId16"/>
      <w:footerReference w:type="first" r:id="rId17"/>
      <w:pgSz w:w="11907" w:h="16840" w:code="9"/>
      <w:pgMar w:top="1701" w:right="1701" w:bottom="1560" w:left="2268" w:header="709"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93CEB" w14:textId="77777777" w:rsidR="00771F73" w:rsidRDefault="00771F73" w:rsidP="00C27709">
      <w:pPr>
        <w:spacing w:after="0" w:line="240" w:lineRule="auto"/>
      </w:pPr>
      <w:r>
        <w:separator/>
      </w:r>
    </w:p>
  </w:endnote>
  <w:endnote w:type="continuationSeparator" w:id="0">
    <w:p w14:paraId="22ACEBE6" w14:textId="77777777" w:rsidR="00771F73" w:rsidRDefault="00771F73" w:rsidP="00C277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B4E76" w14:textId="0EB9D273" w:rsidR="00C27709" w:rsidRPr="003328B1" w:rsidRDefault="003353A2" w:rsidP="003328B1">
    <w:pPr>
      <w:tabs>
        <w:tab w:val="center" w:pos="4513"/>
        <w:tab w:val="right" w:pos="9026"/>
      </w:tabs>
      <w:spacing w:after="0" w:line="240" w:lineRule="auto"/>
      <w:jc w:val="center"/>
      <w:rPr>
        <w:rFonts w:ascii="Calibri" w:eastAsia="Calibri" w:hAnsi="Calibri" w:cs="Times New Roman"/>
        <w:lang w:val="id-ID"/>
      </w:rPr>
    </w:pPr>
    <w:r w:rsidRPr="00761E7E">
      <w:rPr>
        <w:rFonts w:ascii="Arial" w:eastAsia="Calibri" w:hAnsi="Arial" w:cs="Arial"/>
        <w:noProof/>
        <w:lang w:val="id-ID"/>
      </w:rPr>
      <mc:AlternateContent>
        <mc:Choice Requires="wps">
          <w:drawing>
            <wp:anchor distT="0" distB="0" distL="114300" distR="114300" simplePos="0" relativeHeight="251673600" behindDoc="0" locked="0" layoutInCell="1" allowOverlap="1" wp14:anchorId="59EA957D" wp14:editId="3C2FFA0B">
              <wp:simplePos x="0" y="0"/>
              <wp:positionH relativeFrom="margin">
                <wp:align>right</wp:align>
              </wp:positionH>
              <wp:positionV relativeFrom="paragraph">
                <wp:posOffset>-667385</wp:posOffset>
              </wp:positionV>
              <wp:extent cx="5040000" cy="18000"/>
              <wp:effectExtent l="0" t="0" r="0" b="0"/>
              <wp:wrapNone/>
              <wp:docPr id="29" name="Rectangle 29"/>
              <wp:cNvGraphicFramePr/>
              <a:graphic xmlns:a="http://schemas.openxmlformats.org/drawingml/2006/main">
                <a:graphicData uri="http://schemas.microsoft.com/office/word/2010/wordprocessingShape">
                  <wps:wsp>
                    <wps:cNvSpPr/>
                    <wps:spPr>
                      <a:xfrm>
                        <a:off x="0" y="0"/>
                        <a:ext cx="5040000" cy="1800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F116B" id="Rectangle 29" o:spid="_x0000_s1026" style="position:absolute;margin-left:345.65pt;margin-top:-52.55pt;width:396.85pt;height:1.4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" fillcolor="#c00000" stroked="f" strokeweight="1pt">
              <w10:wrap anchorx="margin"/>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F921E6" w14:textId="61FF7E59" w:rsidR="006E3511" w:rsidRPr="00761E7E" w:rsidRDefault="00801D8F" w:rsidP="006E3511">
    <w:pPr>
      <w:rPr>
        <w:rFonts w:ascii="Arial" w:eastAsia="Calibri" w:hAnsi="Arial" w:cs="Arial"/>
        <w:lang w:val="id-ID"/>
      </w:rPr>
    </w:pPr>
    <w:r w:rsidRPr="00761E7E">
      <w:rPr>
        <w:rFonts w:ascii="Arial" w:eastAsia="Calibri" w:hAnsi="Arial" w:cs="Arial"/>
        <w:noProof/>
        <w:lang w:val="id-ID"/>
      </w:rPr>
      <mc:AlternateContent>
        <mc:Choice Requires="wps">
          <w:drawing>
            <wp:anchor distT="0" distB="0" distL="114300" distR="114300" simplePos="0" relativeHeight="251679744" behindDoc="0" locked="0" layoutInCell="1" allowOverlap="1" wp14:anchorId="587E214A" wp14:editId="219F04B6">
              <wp:simplePos x="0" y="0"/>
              <wp:positionH relativeFrom="margin">
                <wp:align>right</wp:align>
              </wp:positionH>
              <wp:positionV relativeFrom="paragraph">
                <wp:posOffset>219804</wp:posOffset>
              </wp:positionV>
              <wp:extent cx="5040000" cy="18000"/>
              <wp:effectExtent l="0" t="0" r="0" b="0"/>
              <wp:wrapNone/>
              <wp:docPr id="33" name="Rectangle 33"/>
              <wp:cNvGraphicFramePr/>
              <a:graphic xmlns:a="http://schemas.openxmlformats.org/drawingml/2006/main">
                <a:graphicData uri="http://schemas.microsoft.com/office/word/2010/wordprocessingShape">
                  <wps:wsp>
                    <wps:cNvSpPr/>
                    <wps:spPr>
                      <a:xfrm>
                        <a:off x="0" y="0"/>
                        <a:ext cx="5040000" cy="1800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BB8F74" id="Rectangle 33" o:spid="_x0000_s1026" style="position:absolute;margin-left:345.65pt;margin-top:17.3pt;width:396.85pt;height:1.4pt;z-index:2516797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" fillcolor="#c00000" stroked="f" strokeweight="1pt">
              <w10:wrap anchorx="margin"/>
            </v:rect>
          </w:pict>
        </mc:Fallback>
      </mc:AlternateContent>
    </w:r>
  </w:p>
  <w:tbl>
    <w:tblPr>
      <w:tblStyle w:val="TableGrid"/>
      <w:tblpPr w:leftFromText="180" w:rightFromText="180" w:vertAnchor="text" w:horzAnchor="margin" w:tblpY="202"/>
      <w:tblW w:w="793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tblGrid>
    <w:tr w:rsidR="006E3511" w14:paraId="3AEEA586" w14:textId="77777777" w:rsidTr="00801D8F">
      <w:tc>
        <w:tcPr>
          <w:tcW w:w="7933" w:type="dxa"/>
          <w:vAlign w:val="center"/>
        </w:tcPr>
        <w:p w14:paraId="4C963EA9" w14:textId="77777777" w:rsidR="006E3511" w:rsidRPr="00A02FC5" w:rsidRDefault="006E3511" w:rsidP="00801D8F">
          <w:pPr>
            <w:pStyle w:val="Footer"/>
            <w:tabs>
              <w:tab w:val="left" w:pos="6015"/>
            </w:tabs>
            <w:ind w:left="976" w:hanging="976"/>
            <w:jc w:val="both"/>
            <w:rPr>
              <w:rFonts w:ascii="Arial" w:hAnsi="Arial" w:cs="Arial"/>
              <w:sz w:val="18"/>
              <w:szCs w:val="18"/>
            </w:rPr>
          </w:pPr>
          <w:r w:rsidRPr="00A02FC5">
            <w:rPr>
              <w:rFonts w:ascii="Arial" w:eastAsia="Calibri" w:hAnsi="Arial" w:cs="Arial"/>
              <w:b/>
              <w:sz w:val="18"/>
              <w:szCs w:val="18"/>
            </w:rPr>
            <w:t xml:space="preserve">Citation:       </w:t>
          </w:r>
          <w:r w:rsidRPr="00A02FC5">
            <w:rPr>
              <w:rFonts w:ascii="Arial" w:hAnsi="Arial" w:cs="Arial"/>
              <w:sz w:val="18"/>
              <w:szCs w:val="18"/>
            </w:rPr>
            <w:t xml:space="preserve">Author, F.M. (Publication year). </w:t>
          </w:r>
          <w:r w:rsidRPr="00A02FC5">
            <w:rPr>
              <w:rFonts w:ascii="Arial" w:hAnsi="Arial" w:cs="Arial"/>
              <w:i/>
              <w:sz w:val="18"/>
              <w:szCs w:val="18"/>
            </w:rPr>
            <w:t>Article Title</w:t>
          </w:r>
          <w:r w:rsidRPr="00A02FC5">
            <w:rPr>
              <w:rFonts w:ascii="Arial" w:hAnsi="Arial" w:cs="Arial"/>
              <w:sz w:val="18"/>
              <w:szCs w:val="18"/>
            </w:rPr>
            <w:t xml:space="preserve">. Journal of Government and Civil Society, Vol. 1, No. 1, </w:t>
          </w:r>
          <w:proofErr w:type="spellStart"/>
          <w:r w:rsidRPr="00A02FC5">
            <w:rPr>
              <w:rFonts w:ascii="Arial" w:hAnsi="Arial" w:cs="Arial"/>
              <w:sz w:val="18"/>
              <w:szCs w:val="18"/>
            </w:rPr>
            <w:t>pp.pp</w:t>
          </w:r>
          <w:proofErr w:type="spellEnd"/>
          <w:r w:rsidRPr="00A02FC5">
            <w:rPr>
              <w:rFonts w:ascii="Arial" w:hAnsi="Arial" w:cs="Arial"/>
              <w:sz w:val="18"/>
              <w:szCs w:val="18"/>
            </w:rPr>
            <w:t xml:space="preserve">. </w:t>
          </w:r>
        </w:p>
      </w:tc>
    </w:tr>
    <w:tr w:rsidR="006E3511" w14:paraId="6700E0FD" w14:textId="77777777" w:rsidTr="00801D8F">
      <w:trPr>
        <w:trHeight w:val="635"/>
      </w:trPr>
      <w:tc>
        <w:tcPr>
          <w:tcW w:w="7933" w:type="dxa"/>
          <w:vAlign w:val="center"/>
        </w:tcPr>
        <w:p w14:paraId="7050CE22" w14:textId="77777777" w:rsidR="006E3511" w:rsidRPr="00A02FC5" w:rsidRDefault="006E3511" w:rsidP="00801D8F">
          <w:pPr>
            <w:spacing w:line="276" w:lineRule="auto"/>
            <w:jc w:val="both"/>
            <w:rPr>
              <w:rFonts w:ascii="Arial" w:eastAsia="Calibri" w:hAnsi="Arial" w:cs="Arial"/>
              <w:b/>
              <w:sz w:val="18"/>
              <w:szCs w:val="18"/>
              <w:lang w:val="id-ID"/>
            </w:rPr>
          </w:pPr>
          <w:r w:rsidRPr="00A02FC5">
            <w:rPr>
              <w:rFonts w:ascii="Arial" w:eastAsia="Calibri" w:hAnsi="Arial" w:cs="Arial"/>
              <w:b/>
              <w:noProof/>
              <w:sz w:val="18"/>
              <w:szCs w:val="18"/>
            </w:rPr>
            <w:drawing>
              <wp:anchor distT="0" distB="0" distL="114300" distR="114300" simplePos="0" relativeHeight="251681792" behindDoc="1" locked="0" layoutInCell="1" allowOverlap="1" wp14:anchorId="27C446D1" wp14:editId="6BE30FB1">
                <wp:simplePos x="0" y="0"/>
                <wp:positionH relativeFrom="column">
                  <wp:posOffset>-631825</wp:posOffset>
                </wp:positionH>
                <wp:positionV relativeFrom="paragraph">
                  <wp:posOffset>10160</wp:posOffset>
                </wp:positionV>
                <wp:extent cx="567055" cy="200025"/>
                <wp:effectExtent l="0" t="0" r="4445" b="9525"/>
                <wp:wrapSquare wrapText="bothSides"/>
                <wp:docPr id="461305368" name="Picture 461305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055" cy="200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02FC5">
            <w:rPr>
              <w:rFonts w:ascii="Arial" w:eastAsia="Calibri" w:hAnsi="Arial" w:cs="Arial"/>
              <w:bCs/>
              <w:sz w:val="18"/>
              <w:szCs w:val="18"/>
            </w:rPr>
            <w:t>Journal of Government and Civil Society is licensed under a Creative Commons Attribution-</w:t>
          </w:r>
          <w:proofErr w:type="spellStart"/>
          <w:r w:rsidRPr="00A02FC5">
            <w:rPr>
              <w:rFonts w:ascii="Arial" w:eastAsia="Calibri" w:hAnsi="Arial" w:cs="Arial"/>
              <w:bCs/>
              <w:sz w:val="18"/>
              <w:szCs w:val="18"/>
            </w:rPr>
            <w:t>ShareAlike</w:t>
          </w:r>
          <w:proofErr w:type="spellEnd"/>
          <w:r w:rsidRPr="00A02FC5">
            <w:rPr>
              <w:rFonts w:ascii="Arial" w:eastAsia="Calibri" w:hAnsi="Arial" w:cs="Arial"/>
              <w:bCs/>
              <w:sz w:val="18"/>
              <w:szCs w:val="18"/>
            </w:rPr>
            <w:t xml:space="preserve"> 4.0 International License</w:t>
          </w:r>
        </w:p>
      </w:tc>
    </w:tr>
  </w:tbl>
  <w:p w14:paraId="795B291E" w14:textId="3921D545" w:rsidR="00C259CE" w:rsidRDefault="00C259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20567C" w14:textId="77777777" w:rsidR="00771F73" w:rsidRDefault="00771F73" w:rsidP="00C27709">
      <w:pPr>
        <w:spacing w:after="0" w:line="240" w:lineRule="auto"/>
      </w:pPr>
      <w:r>
        <w:separator/>
      </w:r>
    </w:p>
  </w:footnote>
  <w:footnote w:type="continuationSeparator" w:id="0">
    <w:p w14:paraId="4A87A0E1" w14:textId="77777777" w:rsidR="00771F73" w:rsidRDefault="00771F73" w:rsidP="00C277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2E3FC" w14:textId="77777777" w:rsidR="003328B1" w:rsidRDefault="003328B1" w:rsidP="00C27709">
    <w:pPr>
      <w:tabs>
        <w:tab w:val="center" w:pos="4513"/>
        <w:tab w:val="right" w:pos="9026"/>
      </w:tabs>
      <w:spacing w:after="0" w:line="240" w:lineRule="auto"/>
      <w:rPr>
        <w:rFonts w:ascii="Book Antiqua" w:eastAsia="Calibri" w:hAnsi="Book Antiqua" w:cs="Times New Roman"/>
        <w:b/>
        <w:sz w:val="20"/>
        <w:szCs w:val="20"/>
        <w:lang w:val="id-ID"/>
      </w:rPr>
    </w:pPr>
  </w:p>
  <w:p w14:paraId="034F86D8" w14:textId="77777777" w:rsidR="006E3511" w:rsidRDefault="006E3511" w:rsidP="00C67855">
    <w:pPr>
      <w:tabs>
        <w:tab w:val="center" w:pos="4513"/>
        <w:tab w:val="right" w:pos="9026"/>
      </w:tabs>
      <w:spacing w:after="0" w:line="240" w:lineRule="auto"/>
      <w:jc w:val="right"/>
      <w:rPr>
        <w:rFonts w:ascii="Trebuchet MS" w:hAnsi="Trebuchet MS"/>
        <w:sz w:val="21"/>
        <w:szCs w:val="21"/>
      </w:rPr>
    </w:pPr>
  </w:p>
  <w:p w14:paraId="3D9665F2" w14:textId="2FE8714E" w:rsidR="003328B1" w:rsidRPr="00BF0A22" w:rsidRDefault="00C67855" w:rsidP="00C67855">
    <w:pPr>
      <w:tabs>
        <w:tab w:val="center" w:pos="4513"/>
        <w:tab w:val="right" w:pos="9026"/>
      </w:tabs>
      <w:spacing w:after="0" w:line="240" w:lineRule="auto"/>
      <w:jc w:val="right"/>
      <w:rPr>
        <w:rFonts w:ascii="Arial" w:eastAsia="Calibri" w:hAnsi="Arial" w:cs="Arial"/>
        <w:b/>
        <w:sz w:val="18"/>
        <w:szCs w:val="18"/>
        <w:lang w:val="id-ID"/>
      </w:rPr>
    </w:pPr>
    <w:r w:rsidRPr="00BF0A22">
      <w:rPr>
        <w:rFonts w:ascii="Arial" w:hAnsi="Arial" w:cs="Arial"/>
        <w:sz w:val="18"/>
        <w:szCs w:val="18"/>
      </w:rPr>
      <w:t xml:space="preserve">P-ISSN: </w:t>
    </w:r>
    <w:hyperlink r:id="rId1" w:tgtFrame="_blank" w:history="1">
      <w:r w:rsidRPr="00BF0A22">
        <w:rPr>
          <w:rStyle w:val="Hyperlink"/>
          <w:rFonts w:ascii="Arial" w:hAnsi="Arial" w:cs="Arial"/>
          <w:sz w:val="18"/>
          <w:szCs w:val="18"/>
        </w:rPr>
        <w:t>2579-4396</w:t>
      </w:r>
    </w:hyperlink>
    <w:r w:rsidRPr="00BF0A22">
      <w:rPr>
        <w:rFonts w:ascii="Arial" w:hAnsi="Arial" w:cs="Arial"/>
        <w:sz w:val="18"/>
        <w:szCs w:val="18"/>
      </w:rPr>
      <w:t xml:space="preserve"> |E-ISSN: </w:t>
    </w:r>
    <w:hyperlink r:id="rId2" w:tgtFrame="_blank" w:history="1">
      <w:r w:rsidRPr="00BF0A22">
        <w:rPr>
          <w:rStyle w:val="Hyperlink"/>
          <w:rFonts w:ascii="Arial" w:hAnsi="Arial" w:cs="Arial"/>
          <w:sz w:val="18"/>
          <w:szCs w:val="18"/>
        </w:rPr>
        <w:t>2579-440X</w:t>
      </w:r>
    </w:hyperlink>
  </w:p>
  <w:p w14:paraId="0676C276" w14:textId="294AB726" w:rsidR="003328B1" w:rsidRDefault="006E3511" w:rsidP="00C27709">
    <w:pPr>
      <w:tabs>
        <w:tab w:val="center" w:pos="4513"/>
        <w:tab w:val="right" w:pos="9026"/>
      </w:tabs>
      <w:spacing w:after="0" w:line="240" w:lineRule="auto"/>
      <w:rPr>
        <w:rFonts w:ascii="Book Antiqua" w:eastAsia="Calibri" w:hAnsi="Book Antiqua" w:cs="Times New Roman"/>
        <w:b/>
        <w:sz w:val="20"/>
        <w:szCs w:val="20"/>
        <w:lang w:val="id-ID"/>
      </w:rPr>
    </w:pPr>
    <w:r w:rsidRPr="00761E7E">
      <w:rPr>
        <w:rFonts w:ascii="Arial" w:eastAsia="Calibri" w:hAnsi="Arial" w:cs="Arial"/>
        <w:noProof/>
        <w:lang w:val="id-ID"/>
      </w:rPr>
      <mc:AlternateContent>
        <mc:Choice Requires="wps">
          <w:drawing>
            <wp:anchor distT="0" distB="0" distL="114300" distR="114300" simplePos="0" relativeHeight="251671552" behindDoc="0" locked="0" layoutInCell="1" allowOverlap="1" wp14:anchorId="0F7279BC" wp14:editId="251A61F6">
              <wp:simplePos x="0" y="0"/>
              <wp:positionH relativeFrom="margin">
                <wp:align>right</wp:align>
              </wp:positionH>
              <wp:positionV relativeFrom="paragraph">
                <wp:posOffset>139065</wp:posOffset>
              </wp:positionV>
              <wp:extent cx="5040000" cy="18000"/>
              <wp:effectExtent l="0" t="0" r="0" b="0"/>
              <wp:wrapNone/>
              <wp:docPr id="28" name="Rectangle 28"/>
              <wp:cNvGraphicFramePr/>
              <a:graphic xmlns:a="http://schemas.openxmlformats.org/drawingml/2006/main">
                <a:graphicData uri="http://schemas.microsoft.com/office/word/2010/wordprocessingShape">
                  <wps:wsp>
                    <wps:cNvSpPr/>
                    <wps:spPr>
                      <a:xfrm>
                        <a:off x="0" y="0"/>
                        <a:ext cx="5040000" cy="1800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0642F" id="Rectangle 28" o:spid="_x0000_s1026" style="position:absolute;margin-left:345.65pt;margin-top:10.95pt;width:396.85pt;height:1.4pt;z-index:25167155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" fillcolor="#c00000" stroked="f" strokeweight="1pt">
              <w10:wrap anchorx="margin"/>
            </v:rect>
          </w:pict>
        </mc:Fallback>
      </mc:AlternateContent>
    </w:r>
  </w:p>
  <w:p w14:paraId="4B8E9B07" w14:textId="23164B12" w:rsidR="00C27709" w:rsidRPr="00C27709" w:rsidRDefault="00C27709" w:rsidP="00C27709">
    <w:pPr>
      <w:tabs>
        <w:tab w:val="center" w:pos="4513"/>
        <w:tab w:val="right" w:pos="9026"/>
      </w:tabs>
      <w:spacing w:after="0" w:line="240" w:lineRule="auto"/>
      <w:rPr>
        <w:rFonts w:ascii="Calibri" w:eastAsia="Calibri" w:hAnsi="Calibri" w:cs="Times New Roman"/>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CF23D" w14:textId="098A03B8" w:rsidR="009338E6" w:rsidRPr="004E74BA" w:rsidRDefault="009338E6" w:rsidP="003328B1">
    <w:pPr>
      <w:tabs>
        <w:tab w:val="center" w:pos="4513"/>
        <w:tab w:val="right" w:pos="9026"/>
      </w:tabs>
      <w:spacing w:after="0" w:line="240" w:lineRule="auto"/>
      <w:rPr>
        <w:rFonts w:ascii="Franklin Gothic Book" w:eastAsia="Calibri" w:hAnsi="Franklin Gothic Book" w:cs="Times New Roman"/>
        <w:sz w:val="16"/>
        <w:szCs w:val="16"/>
      </w:rPr>
    </w:pPr>
    <w:r w:rsidRPr="004E74BA">
      <w:rPr>
        <w:rFonts w:ascii="Franklin Gothic Book" w:eastAsia="Calibri" w:hAnsi="Franklin Gothic Book" w:cs="Times New Roman"/>
        <w:noProof/>
        <w:sz w:val="16"/>
        <w:szCs w:val="16"/>
        <w:lang w:val="id-ID"/>
      </w:rPr>
      <w:drawing>
        <wp:anchor distT="0" distB="0" distL="114300" distR="114300" simplePos="0" relativeHeight="251668480" behindDoc="0" locked="0" layoutInCell="1" allowOverlap="1" wp14:anchorId="45EF18B7" wp14:editId="7BA1DC3E">
          <wp:simplePos x="0" y="0"/>
          <wp:positionH relativeFrom="margin">
            <wp:posOffset>-55390</wp:posOffset>
          </wp:positionH>
          <wp:positionV relativeFrom="paragraph">
            <wp:posOffset>-581660</wp:posOffset>
          </wp:positionV>
          <wp:extent cx="5100235" cy="952500"/>
          <wp:effectExtent l="0" t="0" r="5715" b="0"/>
          <wp:wrapNone/>
          <wp:docPr id="308010420" name="Picture 308010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BEBA8EAE-BF5A-486C-A8C5-ECC9F3942E4B}">
                        <a14:imgProps xmlns:a14="http://schemas.microsoft.com/office/drawing/2010/main">
                          <a14:imgLayer r:embed="rId2">
                            <a14:imgEffect>
                              <a14:sharpenSoften amount="50000"/>
                            </a14:imgEffect>
                            <a14:imgEffect>
                              <a14:colorTemperature colorTemp="5900"/>
                            </a14:imgEffect>
                          </a14:imgLayer>
                        </a14:imgProps>
                      </a:ext>
                      <a:ext uri="{28A0092B-C50C-407E-A947-70E740481C1C}">
                        <a14:useLocalDpi xmlns:a14="http://schemas.microsoft.com/office/drawing/2010/main" val="0"/>
                      </a:ext>
                    </a:extLst>
                  </a:blip>
                  <a:stretch>
                    <a:fillRect/>
                  </a:stretch>
                </pic:blipFill>
                <pic:spPr>
                  <a:xfrm>
                    <a:off x="0" y="0"/>
                    <a:ext cx="5125406" cy="957201"/>
                  </a:xfrm>
                  <a:prstGeom prst="rect">
                    <a:avLst/>
                  </a:prstGeom>
                </pic:spPr>
              </pic:pic>
            </a:graphicData>
          </a:graphic>
          <wp14:sizeRelH relativeFrom="margin">
            <wp14:pctWidth>0</wp14:pctWidth>
          </wp14:sizeRelH>
          <wp14:sizeRelV relativeFrom="margin">
            <wp14:pctHeight>0</wp14:pctHeight>
          </wp14:sizeRelV>
        </wp:anchor>
      </w:drawing>
    </w:r>
  </w:p>
  <w:p w14:paraId="7E094338" w14:textId="097EAB85" w:rsidR="004E74BA" w:rsidRDefault="004E74BA" w:rsidP="003328B1">
    <w:pPr>
      <w:tabs>
        <w:tab w:val="center" w:pos="4513"/>
        <w:tab w:val="right" w:pos="9026"/>
      </w:tabs>
      <w:spacing w:after="0" w:line="240" w:lineRule="auto"/>
      <w:rPr>
        <w:rFonts w:ascii="Arial" w:eastAsia="Calibri" w:hAnsi="Arial" w:cs="Arial"/>
        <w:sz w:val="16"/>
        <w:szCs w:val="16"/>
      </w:rPr>
    </w:pPr>
    <w:r w:rsidRPr="004E74BA">
      <w:rPr>
        <w:rFonts w:ascii="Arial" w:eastAsia="Calibri" w:hAnsi="Arial" w:cs="Arial"/>
        <w:sz w:val="16"/>
        <w:szCs w:val="16"/>
      </w:rPr>
      <w:t>.</w:t>
    </w:r>
  </w:p>
  <w:p w14:paraId="5B86D0AD" w14:textId="0285303D" w:rsidR="00FE15DA" w:rsidRDefault="00FE15DA" w:rsidP="003328B1">
    <w:pPr>
      <w:tabs>
        <w:tab w:val="center" w:pos="4513"/>
        <w:tab w:val="right" w:pos="9026"/>
      </w:tabs>
      <w:spacing w:after="0" w:line="240" w:lineRule="auto"/>
      <w:rPr>
        <w:rFonts w:ascii="Arial" w:eastAsia="Calibri" w:hAnsi="Arial" w:cs="Arial"/>
        <w:sz w:val="16"/>
        <w:szCs w:val="16"/>
      </w:rPr>
    </w:pPr>
  </w:p>
  <w:p w14:paraId="4FBC7C15" w14:textId="5E2C6E96" w:rsidR="00FE15DA" w:rsidRDefault="00FE15DA" w:rsidP="003328B1">
    <w:pPr>
      <w:tabs>
        <w:tab w:val="center" w:pos="4513"/>
        <w:tab w:val="right" w:pos="9026"/>
      </w:tabs>
      <w:spacing w:after="0" w:line="240" w:lineRule="auto"/>
      <w:rPr>
        <w:rFonts w:ascii="Arial" w:eastAsia="Calibri" w:hAnsi="Arial" w:cs="Arial"/>
        <w:sz w:val="16"/>
        <w:szCs w:val="16"/>
      </w:rPr>
    </w:pPr>
  </w:p>
  <w:p w14:paraId="309D268E" w14:textId="16EBC85C" w:rsidR="00FE15DA" w:rsidRPr="00A86074" w:rsidRDefault="000F18ED" w:rsidP="00FE15DA">
    <w:pPr>
      <w:tabs>
        <w:tab w:val="center" w:pos="4860"/>
        <w:tab w:val="right" w:pos="9026"/>
      </w:tabs>
      <w:rPr>
        <w:rFonts w:ascii="Arial" w:eastAsia="Calibri" w:hAnsi="Arial" w:cs="Arial"/>
        <w:sz w:val="16"/>
        <w:szCs w:val="16"/>
      </w:rPr>
    </w:pPr>
    <w:r w:rsidRPr="00761E7E">
      <w:rPr>
        <w:rFonts w:ascii="Arial" w:eastAsia="Calibri" w:hAnsi="Arial" w:cs="Arial"/>
        <w:noProof/>
        <w:lang w:val="id-ID"/>
      </w:rPr>
      <mc:AlternateContent>
        <mc:Choice Requires="wps">
          <w:drawing>
            <wp:anchor distT="0" distB="0" distL="114300" distR="114300" simplePos="0" relativeHeight="251677696" behindDoc="0" locked="0" layoutInCell="1" allowOverlap="1" wp14:anchorId="2CC54355" wp14:editId="2E3D1A85">
              <wp:simplePos x="0" y="0"/>
              <wp:positionH relativeFrom="margin">
                <wp:align>right</wp:align>
              </wp:positionH>
              <wp:positionV relativeFrom="paragraph">
                <wp:posOffset>184784</wp:posOffset>
              </wp:positionV>
              <wp:extent cx="5038725" cy="18000"/>
              <wp:effectExtent l="0" t="0" r="0" b="0"/>
              <wp:wrapNone/>
              <wp:docPr id="32" name="Rectangle 32"/>
              <wp:cNvGraphicFramePr/>
              <a:graphic xmlns:a="http://schemas.openxmlformats.org/drawingml/2006/main">
                <a:graphicData uri="http://schemas.microsoft.com/office/word/2010/wordprocessingShape">
                  <wps:wsp>
                    <wps:cNvSpPr/>
                    <wps:spPr>
                      <a:xfrm flipV="1">
                        <a:off x="0" y="0"/>
                        <a:ext cx="5038725" cy="18000"/>
                      </a:xfrm>
                      <a:prstGeom prst="rect">
                        <a:avLst/>
                      </a:prstGeom>
                      <a:solidFill>
                        <a:srgbClr val="C0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978C75" id="Rectangle 32" o:spid="_x0000_s1026" style="position:absolute;margin-left:345.55pt;margin-top:14.55pt;width:396.75pt;height:1.4pt;flip:y;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" fillcolor="#c00000" stroked="f" strokeweight="1pt">
              <w10:wrap anchorx="margin"/>
            </v:rect>
          </w:pict>
        </mc:Fallback>
      </mc:AlternateContent>
    </w:r>
    <w:r w:rsidR="00FE15DA" w:rsidRPr="00A86074">
      <w:rPr>
        <w:rFonts w:ascii="Arial" w:eastAsia="Calibri" w:hAnsi="Arial" w:cs="Arial"/>
        <w:sz w:val="16"/>
        <w:szCs w:val="16"/>
      </w:rPr>
      <w:t xml:space="preserve">Vol. 9 No. 1 </w:t>
    </w:r>
    <w:r w:rsidR="00FE15DA">
      <w:rPr>
        <w:rFonts w:ascii="Arial" w:eastAsia="Calibri" w:hAnsi="Arial" w:cs="Arial"/>
        <w:sz w:val="16"/>
        <w:szCs w:val="16"/>
      </w:rPr>
      <w:t xml:space="preserve">April </w:t>
    </w:r>
    <w:r w:rsidR="00FE15DA" w:rsidRPr="00A86074">
      <w:rPr>
        <w:rFonts w:ascii="Arial" w:eastAsia="Calibri" w:hAnsi="Arial" w:cs="Arial"/>
        <w:sz w:val="16"/>
        <w:szCs w:val="16"/>
      </w:rPr>
      <w:t>202</w:t>
    </w:r>
    <w:r>
      <w:rPr>
        <w:rFonts w:ascii="Arial" w:eastAsia="Calibri" w:hAnsi="Arial" w:cs="Arial"/>
        <w:sz w:val="16"/>
        <w:szCs w:val="16"/>
      </w:rPr>
      <w:t>5. Pp 11-21</w:t>
    </w:r>
    <w:r>
      <w:rPr>
        <w:rFonts w:ascii="Arial" w:eastAsia="Calibri" w:hAnsi="Arial" w:cs="Arial"/>
        <w:sz w:val="16"/>
        <w:szCs w:val="16"/>
      </w:rPr>
      <w:tab/>
    </w:r>
    <w:r>
      <w:rPr>
        <w:rFonts w:ascii="Arial" w:eastAsia="Calibri" w:hAnsi="Arial" w:cs="Arial"/>
        <w:sz w:val="16"/>
        <w:szCs w:val="16"/>
      </w:rPr>
      <w:tab/>
    </w:r>
    <w:r w:rsidR="00FE15DA" w:rsidRPr="00FE15DA">
      <w:rPr>
        <w:rFonts w:ascii="Arial" w:eastAsia="Calibri" w:hAnsi="Arial" w:cs="Arial"/>
        <w:sz w:val="16"/>
        <w:szCs w:val="16"/>
      </w:rPr>
      <w:t>https://doi.org/10.31000/jgcs.v8i2.9752</w:t>
    </w:r>
  </w:p>
  <w:p w14:paraId="78F6993B" w14:textId="766835FB" w:rsidR="00FE15DA" w:rsidRPr="004E74BA" w:rsidRDefault="00FE15DA" w:rsidP="003328B1">
    <w:pPr>
      <w:tabs>
        <w:tab w:val="center" w:pos="4513"/>
        <w:tab w:val="right" w:pos="9026"/>
      </w:tabs>
      <w:spacing w:after="0" w:line="240" w:lineRule="auto"/>
      <w:rPr>
        <w:rFonts w:ascii="Arial" w:eastAsia="Calibri" w:hAnsi="Arial"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FC4CC3"/>
    <w:multiLevelType w:val="hybridMultilevel"/>
    <w:tmpl w:val="01381FDA"/>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 w15:restartNumberingAfterBreak="0">
    <w:nsid w:val="61B813D5"/>
    <w:multiLevelType w:val="multilevel"/>
    <w:tmpl w:val="C2664152"/>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77542652"/>
    <w:multiLevelType w:val="hybridMultilevel"/>
    <w:tmpl w:val="3A08CC8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1187409869">
    <w:abstractNumId w:val="0"/>
  </w:num>
  <w:num w:numId="2" w16cid:durableId="989988529">
    <w:abstractNumId w:val="2"/>
  </w:num>
  <w:num w:numId="3" w16cid:durableId="2645045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Y3MDE0NDQ1NDYxNrFQ0lEKTi0uzszPAykwrAUA/Z2LJiwAAAA="/>
  </w:docVars>
  <w:rsids>
    <w:rsidRoot w:val="00C27709"/>
    <w:rsid w:val="00000D65"/>
    <w:rsid w:val="00022A8F"/>
    <w:rsid w:val="00025CB0"/>
    <w:rsid w:val="00034436"/>
    <w:rsid w:val="00061813"/>
    <w:rsid w:val="0007695D"/>
    <w:rsid w:val="00081EDE"/>
    <w:rsid w:val="000B2BF3"/>
    <w:rsid w:val="000F18ED"/>
    <w:rsid w:val="001010B8"/>
    <w:rsid w:val="00134D6C"/>
    <w:rsid w:val="001A15C7"/>
    <w:rsid w:val="001C5D10"/>
    <w:rsid w:val="001F34B8"/>
    <w:rsid w:val="00241CC2"/>
    <w:rsid w:val="0026291F"/>
    <w:rsid w:val="002A2ACC"/>
    <w:rsid w:val="002F40B4"/>
    <w:rsid w:val="0030722A"/>
    <w:rsid w:val="003328B1"/>
    <w:rsid w:val="003353A2"/>
    <w:rsid w:val="003848FC"/>
    <w:rsid w:val="003C7BB0"/>
    <w:rsid w:val="00400652"/>
    <w:rsid w:val="00454A75"/>
    <w:rsid w:val="00464E57"/>
    <w:rsid w:val="004715E2"/>
    <w:rsid w:val="0049590C"/>
    <w:rsid w:val="004A6EC6"/>
    <w:rsid w:val="004D5D1F"/>
    <w:rsid w:val="004E0D19"/>
    <w:rsid w:val="004E74BA"/>
    <w:rsid w:val="004F2B90"/>
    <w:rsid w:val="00565AA6"/>
    <w:rsid w:val="0059063D"/>
    <w:rsid w:val="005957A2"/>
    <w:rsid w:val="006131EA"/>
    <w:rsid w:val="006938F4"/>
    <w:rsid w:val="006A1B0C"/>
    <w:rsid w:val="006C4A2A"/>
    <w:rsid w:val="006E3511"/>
    <w:rsid w:val="00732E96"/>
    <w:rsid w:val="00761E7E"/>
    <w:rsid w:val="007702BD"/>
    <w:rsid w:val="00771F73"/>
    <w:rsid w:val="007C5148"/>
    <w:rsid w:val="007D6528"/>
    <w:rsid w:val="00801D8F"/>
    <w:rsid w:val="00811609"/>
    <w:rsid w:val="00832205"/>
    <w:rsid w:val="008422DE"/>
    <w:rsid w:val="0088302C"/>
    <w:rsid w:val="0088526A"/>
    <w:rsid w:val="00886B5B"/>
    <w:rsid w:val="008D4F4F"/>
    <w:rsid w:val="008E19FA"/>
    <w:rsid w:val="00916449"/>
    <w:rsid w:val="00920447"/>
    <w:rsid w:val="009338E6"/>
    <w:rsid w:val="009441C1"/>
    <w:rsid w:val="009717CF"/>
    <w:rsid w:val="009B5926"/>
    <w:rsid w:val="009D217F"/>
    <w:rsid w:val="009D43AA"/>
    <w:rsid w:val="009F728E"/>
    <w:rsid w:val="00A02FC5"/>
    <w:rsid w:val="00A26D0A"/>
    <w:rsid w:val="00A86074"/>
    <w:rsid w:val="00AC2DED"/>
    <w:rsid w:val="00AC58D3"/>
    <w:rsid w:val="00B31356"/>
    <w:rsid w:val="00BD2099"/>
    <w:rsid w:val="00BF0A22"/>
    <w:rsid w:val="00BF4D67"/>
    <w:rsid w:val="00C048B5"/>
    <w:rsid w:val="00C236CF"/>
    <w:rsid w:val="00C259CE"/>
    <w:rsid w:val="00C27709"/>
    <w:rsid w:val="00C56875"/>
    <w:rsid w:val="00C676A5"/>
    <w:rsid w:val="00C67855"/>
    <w:rsid w:val="00CB6B35"/>
    <w:rsid w:val="00CC2B2F"/>
    <w:rsid w:val="00CC61E5"/>
    <w:rsid w:val="00CE64A0"/>
    <w:rsid w:val="00D61553"/>
    <w:rsid w:val="00D64833"/>
    <w:rsid w:val="00D806CC"/>
    <w:rsid w:val="00D93CCB"/>
    <w:rsid w:val="00DC4D13"/>
    <w:rsid w:val="00DF294D"/>
    <w:rsid w:val="00E03E15"/>
    <w:rsid w:val="00E15DFB"/>
    <w:rsid w:val="00E56E3C"/>
    <w:rsid w:val="00E716B9"/>
    <w:rsid w:val="00F31101"/>
    <w:rsid w:val="00F84AA0"/>
    <w:rsid w:val="00F94379"/>
    <w:rsid w:val="00F95316"/>
    <w:rsid w:val="00FE15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F9CD50"/>
  <w15:chartTrackingRefBased/>
  <w15:docId w15:val="{7138DCF3-1A3F-488B-BA09-5CEF521E7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28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77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7709"/>
  </w:style>
  <w:style w:type="paragraph" w:styleId="Footer">
    <w:name w:val="footer"/>
    <w:basedOn w:val="Normal"/>
    <w:link w:val="FooterChar"/>
    <w:uiPriority w:val="99"/>
    <w:unhideWhenUsed/>
    <w:rsid w:val="00C277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7709"/>
  </w:style>
  <w:style w:type="table" w:styleId="TableGrid">
    <w:name w:val="Table Grid"/>
    <w:basedOn w:val="TableNormal"/>
    <w:uiPriority w:val="39"/>
    <w:rsid w:val="00C27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C5D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C5D10"/>
    <w:rPr>
      <w:rFonts w:ascii="Segoe UI" w:hAnsi="Segoe UI" w:cs="Segoe UI"/>
      <w:sz w:val="18"/>
      <w:szCs w:val="18"/>
    </w:rPr>
  </w:style>
  <w:style w:type="table" w:customStyle="1" w:styleId="TableGrid1">
    <w:name w:val="Table Grid1"/>
    <w:basedOn w:val="TableNormal"/>
    <w:next w:val="TableGrid"/>
    <w:uiPriority w:val="39"/>
    <w:rsid w:val="00332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16449"/>
    <w:rPr>
      <w:color w:val="0563C1" w:themeColor="hyperlink"/>
      <w:u w:val="single"/>
    </w:rPr>
  </w:style>
  <w:style w:type="character" w:styleId="UnresolvedMention">
    <w:name w:val="Unresolved Mention"/>
    <w:basedOn w:val="DefaultParagraphFont"/>
    <w:uiPriority w:val="99"/>
    <w:semiHidden/>
    <w:unhideWhenUsed/>
    <w:rsid w:val="00916449"/>
    <w:rPr>
      <w:color w:val="605E5C"/>
      <w:shd w:val="clear" w:color="auto" w:fill="E1DFDD"/>
    </w:rPr>
  </w:style>
  <w:style w:type="paragraph" w:styleId="ListParagraph">
    <w:name w:val="List Paragraph"/>
    <w:basedOn w:val="Normal"/>
    <w:uiPriority w:val="34"/>
    <w:qFormat/>
    <w:rsid w:val="009D217F"/>
    <w:pPr>
      <w:ind w:left="720"/>
      <w:contextualSpacing/>
    </w:pPr>
    <w:rPr>
      <w:rFonts w:eastAsiaTheme="minorEastAsia"/>
      <w:noProof/>
      <w:kern w:val="2"/>
      <w:lang w:val="id-ID" w:eastAsia="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7734829">
      <w:bodyDiv w:val="1"/>
      <w:marLeft w:val="0"/>
      <w:marRight w:val="0"/>
      <w:marTop w:val="0"/>
      <w:marBottom w:val="0"/>
      <w:divBdr>
        <w:top w:val="none" w:sz="0" w:space="0" w:color="auto"/>
        <w:left w:val="none" w:sz="0" w:space="0" w:color="auto"/>
        <w:bottom w:val="none" w:sz="0" w:space="0" w:color="auto"/>
        <w:right w:val="none" w:sz="0" w:space="0" w:color="auto"/>
      </w:divBdr>
    </w:div>
    <w:div w:id="2076704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hyperlink" Target="https://portal.issn.org/resource/ISSN/2579-440X" TargetMode="External"/><Relationship Id="rId1" Type="http://schemas.openxmlformats.org/officeDocument/2006/relationships/hyperlink" Target="https://portal.issn.org/resource/ISSN/2579-4396" TargetMode="Externa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5261B3-C87A-448F-B8E4-75162CBB52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22</Pages>
  <Words>55012</Words>
  <Characters>313570</Characters>
  <Application>Microsoft Office Word</Application>
  <DocSecurity>0</DocSecurity>
  <Lines>2613</Lines>
  <Paragraphs>735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7</cp:lastModifiedBy>
  <cp:revision>4</cp:revision>
  <cp:lastPrinted>2025-04-24T06:20:00Z</cp:lastPrinted>
  <dcterms:created xsi:type="dcterms:W3CDTF">2025-07-16T07:52:00Z</dcterms:created>
  <dcterms:modified xsi:type="dcterms:W3CDTF">2025-07-16T08:04:00Z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2025-07-15T09:15:05Z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7e3baae8-ad25-4622-9334-ba869580cec6</vt:lpwstr>
  </property>
  <property fmtid="{D5CDD505-2E9C-101B-9397-08002B2CF9AE}" pid="7" name="MSIP_Label_defa4170-0d19-0005-0004-bc88714345d2_ActionId">
    <vt:lpwstr>a1ee5b67-8848-4a10-b3dd-3abacf448e88</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y fmtid="{D5CDD505-2E9C-101B-9397-08002B2CF9AE}" pid="10" name="Mendeley Recent Style Id 0_1">
    <vt:lpwstr>http://www.zotero.org/styles/american-medical-association</vt:lpwstr>
  </property>
  <property fmtid="{D5CDD505-2E9C-101B-9397-08002B2CF9AE}" pid="11" name="Mendeley Recent Style Name 0_1">
    <vt:lpwstr>American Medical Association 11th edition</vt:lpwstr>
  </property>
  <property fmtid="{D5CDD505-2E9C-101B-9397-08002B2CF9AE}" pid="12" name="Mendeley Recent Style Id 1_1">
    <vt:lpwstr>http://www.zotero.org/styles/american-political-science-association</vt:lpwstr>
  </property>
  <property fmtid="{D5CDD505-2E9C-101B-9397-08002B2CF9AE}" pid="13" name="Mendeley Recent Style Name 1_1">
    <vt:lpwstr>American Political Science Association</vt:lpwstr>
  </property>
  <property fmtid="{D5CDD505-2E9C-101B-9397-08002B2CF9AE}" pid="14" name="Mendeley Recent Style Id 2_1">
    <vt:lpwstr>http://www.zotero.org/styles/apa-6th-edition</vt:lpwstr>
  </property>
  <property fmtid="{D5CDD505-2E9C-101B-9397-08002B2CF9AE}" pid="15" name="Mendeley Recent Style Name 2_1">
    <vt:lpwstr>American Psychological Association 6th edition</vt:lpwstr>
  </property>
  <property fmtid="{D5CDD505-2E9C-101B-9397-08002B2CF9AE}" pid="16" name="Mendeley Recent Style Id 3_1">
    <vt:lpwstr>http://www.zotero.org/styles/apa</vt:lpwstr>
  </property>
  <property fmtid="{D5CDD505-2E9C-101B-9397-08002B2CF9AE}" pid="17" name="Mendeley Recent Style Name 3_1">
    <vt:lpwstr>American Psychological Association 7th edition</vt:lpwstr>
  </property>
  <property fmtid="{D5CDD505-2E9C-101B-9397-08002B2CF9AE}" pid="18" name="Mendeley Recent Style Id 4_1">
    <vt:lpwstr>http://csl.mendeley.com/styles/565703431/american-sociological-association</vt:lpwstr>
  </property>
  <property fmtid="{D5CDD505-2E9C-101B-9397-08002B2CF9AE}" pid="19" name="Mendeley Recent Style Name 4_1">
    <vt:lpwstr>American Sociological Association 6th edition - Muhammad Naim04 - Muhammad Naim</vt:lpwstr>
  </property>
  <property fmtid="{D5CDD505-2E9C-101B-9397-08002B2CF9AE}" pid="20" name="Mendeley Recent Style Id 5_1">
    <vt:lpwstr>http://www.zotero.org/styles/chicago-author-date</vt:lpwstr>
  </property>
  <property fmtid="{D5CDD505-2E9C-101B-9397-08002B2CF9AE}" pid="21" name="Mendeley Recent Style Name 5_1">
    <vt:lpwstr>Chicago Manual of Style 17th edition (author-date)</vt:lpwstr>
  </property>
  <property fmtid="{D5CDD505-2E9C-101B-9397-08002B2CF9AE}" pid="22" name="Mendeley Recent Style Id 6_1">
    <vt:lpwstr>http://www.zotero.org/styles/harvard-cite-them-right</vt:lpwstr>
  </property>
  <property fmtid="{D5CDD505-2E9C-101B-9397-08002B2CF9AE}" pid="23" name="Mendeley Recent Style Name 6_1">
    <vt:lpwstr>Cite Them Right 12th edition - Harvard</vt:lpwstr>
  </property>
  <property fmtid="{D5CDD505-2E9C-101B-9397-08002B2CF9AE}" pid="24" name="Mendeley Recent Style Id 7_1">
    <vt:lpwstr>http://www.zotero.org/styles/harvard1</vt:lpwstr>
  </property>
  <property fmtid="{D5CDD505-2E9C-101B-9397-08002B2CF9AE}" pid="25" name="Mendeley Recent Style Name 7_1">
    <vt:lpwstr>Harvard reference format 1 (deprecated)</vt:lpwstr>
  </property>
  <property fmtid="{D5CDD505-2E9C-101B-9397-08002B2CF9AE}" pid="26" name="Mendeley Recent Style Id 8_1">
    <vt:lpwstr>http://www.zotero.org/styles/ieee</vt:lpwstr>
  </property>
  <property fmtid="{D5CDD505-2E9C-101B-9397-08002B2CF9AE}" pid="27" name="Mendeley Recent Style Name 8_1">
    <vt:lpwstr>IEEE</vt:lpwstr>
  </property>
  <property fmtid="{D5CDD505-2E9C-101B-9397-08002B2CF9AE}" pid="28" name="Mendeley Recent Style Id 9_1">
    <vt:lpwstr>http://www.zotero.org/styles/vancouver</vt:lpwstr>
  </property>
  <property fmtid="{D5CDD505-2E9C-101B-9397-08002B2CF9AE}" pid="29" name="Mendeley Recent Style Name 9_1">
    <vt:lpwstr>Vancouver</vt:lpwstr>
  </property>
  <property fmtid="{D5CDD505-2E9C-101B-9397-08002B2CF9AE}" pid="30" name="Mendeley Document_1">
    <vt:lpwstr>True</vt:lpwstr>
  </property>
  <property fmtid="{D5CDD505-2E9C-101B-9397-08002B2CF9AE}" pid="31" name="Mendeley Unique User Id_1">
    <vt:lpwstr>3a04a280-077b-3394-983f-02394dae1ae5</vt:lpwstr>
  </property>
  <property fmtid="{D5CDD505-2E9C-101B-9397-08002B2CF9AE}" pid="32" name="Mendeley Citation Style_1">
    <vt:lpwstr>http://www.zotero.org/styles/apa</vt:lpwstr>
  </property>
</Properties>
</file>