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7133D" w14:textId="77777777" w:rsidR="003328B1" w:rsidRDefault="003328B1"/>
    <w:p w14:paraId="6AA94DD6" w14:textId="67936B24" w:rsidR="00C27709" w:rsidRDefault="00840003" w:rsidP="003328B1">
      <w:pPr>
        <w:spacing w:after="0" w:line="240" w:lineRule="auto"/>
        <w:jc w:val="center"/>
        <w:rPr>
          <w:rFonts w:ascii="Book Antiqua" w:eastAsia="Times New Roman" w:hAnsi="Book Antiqua" w:cs="Arial"/>
          <w:b/>
          <w:bCs/>
          <w:sz w:val="20"/>
          <w:szCs w:val="28"/>
          <w:lang w:val="id-ID"/>
        </w:rPr>
      </w:pPr>
      <w:r w:rsidRPr="00840003">
        <w:rPr>
          <w:rFonts w:ascii="Book Antiqua" w:eastAsia="Times New Roman" w:hAnsi="Book Antiqua" w:cs="Arial"/>
          <w:b/>
          <w:bCs/>
          <w:sz w:val="28"/>
          <w:szCs w:val="28"/>
          <w:lang w:val="id-ID"/>
        </w:rPr>
        <w:t>LAND ADMINISTRATION POLICY IN BANTUL AND SLEMAN DIST</w:t>
      </w:r>
      <w:bookmarkStart w:id="0" w:name="_GoBack"/>
      <w:bookmarkEnd w:id="0"/>
      <w:r w:rsidRPr="00840003">
        <w:rPr>
          <w:rFonts w:ascii="Book Antiqua" w:eastAsia="Times New Roman" w:hAnsi="Book Antiqua" w:cs="Arial"/>
          <w:b/>
          <w:bCs/>
          <w:sz w:val="28"/>
          <w:szCs w:val="28"/>
          <w:lang w:val="id-ID"/>
        </w:rPr>
        <w:t>RICTS</w:t>
      </w:r>
    </w:p>
    <w:p w14:paraId="2B042C4A" w14:textId="5A23D7BE" w:rsidR="003328B1" w:rsidRDefault="003328B1" w:rsidP="00400652">
      <w:pPr>
        <w:spacing w:after="0" w:line="240" w:lineRule="auto"/>
        <w:rPr>
          <w:rFonts w:ascii="Book Antiqua" w:eastAsia="Times New Roman" w:hAnsi="Book Antiqua" w:cs="Arial"/>
          <w:b/>
          <w:bCs/>
          <w:sz w:val="20"/>
          <w:szCs w:val="28"/>
          <w:lang w:val="id-ID"/>
        </w:rPr>
      </w:pPr>
    </w:p>
    <w:p w14:paraId="33B6F32E" w14:textId="77777777" w:rsidR="00BC2D42" w:rsidRPr="00BC2D42" w:rsidRDefault="00BC2D42" w:rsidP="00BC2D42">
      <w:pPr>
        <w:spacing w:after="0" w:line="240" w:lineRule="auto"/>
        <w:jc w:val="center"/>
        <w:rPr>
          <w:rFonts w:ascii="Book Antiqua" w:eastAsia="Times New Roman" w:hAnsi="Book Antiqua" w:cs="Arial"/>
          <w:b/>
          <w:bCs/>
          <w:i/>
          <w:iCs/>
          <w:sz w:val="24"/>
          <w:szCs w:val="24"/>
          <w:lang w:val="id-ID"/>
        </w:rPr>
      </w:pPr>
      <w:r w:rsidRPr="00BC2D42">
        <w:rPr>
          <w:rFonts w:ascii="Book Antiqua" w:eastAsia="Times New Roman" w:hAnsi="Book Antiqua" w:cs="Arial"/>
          <w:b/>
          <w:bCs/>
          <w:i/>
          <w:iCs/>
          <w:sz w:val="24"/>
          <w:szCs w:val="24"/>
          <w:lang w:val="id-ID"/>
        </w:rPr>
        <w:t>KEBIJAKAN PENATAAN ADMINISTRASI PERTANAHAN DI KAWASAN BERKESINAMBUNGAN DI KABUPATEN BANTUL DAN SLEMAN</w:t>
      </w:r>
    </w:p>
    <w:p w14:paraId="2C186B17" w14:textId="2322DCBE" w:rsidR="003328B1" w:rsidRDefault="00BC2D42" w:rsidP="00BC2D42">
      <w:pPr>
        <w:spacing w:after="0" w:line="240" w:lineRule="auto"/>
        <w:jc w:val="center"/>
        <w:rPr>
          <w:rFonts w:ascii="Book Antiqua" w:eastAsia="Times New Roman" w:hAnsi="Book Antiqua" w:cs="Arial"/>
          <w:b/>
          <w:bCs/>
          <w:i/>
          <w:iCs/>
          <w:sz w:val="24"/>
          <w:szCs w:val="24"/>
          <w:lang w:val="id-ID"/>
        </w:rPr>
      </w:pPr>
      <w:r w:rsidRPr="00BC2D42">
        <w:rPr>
          <w:rFonts w:ascii="Book Antiqua" w:eastAsia="Times New Roman" w:hAnsi="Book Antiqua" w:cs="Arial"/>
          <w:b/>
          <w:bCs/>
          <w:i/>
          <w:iCs/>
          <w:sz w:val="24"/>
          <w:szCs w:val="24"/>
          <w:lang w:val="id-ID"/>
        </w:rPr>
        <w:t xml:space="preserve"> </w:t>
      </w:r>
      <w:r w:rsidR="003328B1" w:rsidRPr="006F0F22">
        <w:rPr>
          <w:rFonts w:ascii="Book Antiqua" w:eastAsia="Times New Roman" w:hAnsi="Book Antiqua" w:cs="Times New Roman"/>
          <w:bCs/>
          <w:noProof/>
          <w:sz w:val="28"/>
          <w:szCs w:val="24"/>
          <w:lang w:val="id-ID"/>
        </w:rPr>
        <w:t xml:space="preserve"> </w:t>
      </w:r>
      <w:r w:rsidR="003328B1" w:rsidRPr="006F0F22">
        <w:rPr>
          <w:rFonts w:ascii="Book Antiqua" w:eastAsia="Times New Roman" w:hAnsi="Book Antiqua" w:cs="Arial"/>
          <w:b/>
          <w:bCs/>
          <w:i/>
          <w:iCs/>
          <w:sz w:val="24"/>
          <w:szCs w:val="24"/>
          <w:lang w:val="id-ID"/>
        </w:rPr>
        <w:t xml:space="preserve"> </w:t>
      </w:r>
    </w:p>
    <w:p w14:paraId="23DCF0FE" w14:textId="6E16165D" w:rsidR="003328B1" w:rsidRDefault="003328B1" w:rsidP="00400652">
      <w:pPr>
        <w:spacing w:after="0" w:line="240" w:lineRule="auto"/>
        <w:rPr>
          <w:rFonts w:ascii="Book Antiqua" w:eastAsia="Times New Roman" w:hAnsi="Book Antiqua" w:cs="Arial"/>
          <w:b/>
          <w:bCs/>
          <w:i/>
          <w:iCs/>
          <w:sz w:val="24"/>
          <w:szCs w:val="24"/>
          <w:lang w:val="id-ID"/>
        </w:rPr>
      </w:pPr>
    </w:p>
    <w:p w14:paraId="741EDA62" w14:textId="415C45AE" w:rsidR="003328B1" w:rsidRDefault="00BC2D42" w:rsidP="00916449">
      <w:pPr>
        <w:spacing w:after="0" w:line="240" w:lineRule="auto"/>
        <w:jc w:val="center"/>
        <w:rPr>
          <w:rFonts w:ascii="Book Antiqua" w:hAnsi="Book Antiqua"/>
        </w:rPr>
      </w:pPr>
      <w:r>
        <w:rPr>
          <w:rFonts w:ascii="Book Antiqua" w:hAnsi="Book Antiqua"/>
          <w:b/>
        </w:rPr>
        <w:t>Subekti Widiyasno</w:t>
      </w:r>
      <w:r w:rsidR="003328B1" w:rsidRPr="006F0F22">
        <w:rPr>
          <w:rFonts w:ascii="Book Antiqua" w:hAnsi="Book Antiqua"/>
          <w:b/>
          <w:vertAlign w:val="superscript"/>
        </w:rPr>
        <w:t>1*</w:t>
      </w:r>
      <w:r>
        <w:rPr>
          <w:rFonts w:ascii="Book Antiqua" w:hAnsi="Book Antiqua"/>
          <w:b/>
        </w:rPr>
        <w:t>, Dyah Mutiarin</w:t>
      </w:r>
      <w:r w:rsidR="003328B1" w:rsidRPr="006F0F22">
        <w:rPr>
          <w:rFonts w:ascii="Book Antiqua" w:hAnsi="Book Antiqua"/>
          <w:b/>
          <w:vertAlign w:val="superscript"/>
        </w:rPr>
        <w:t xml:space="preserve"> 2</w:t>
      </w:r>
      <w:r>
        <w:rPr>
          <w:rFonts w:ascii="Book Antiqua" w:hAnsi="Book Antiqua"/>
          <w:b/>
        </w:rPr>
        <w:t>, Herdin Arie Saputra</w:t>
      </w:r>
      <w:r w:rsidR="003328B1" w:rsidRPr="006F0F22">
        <w:rPr>
          <w:rFonts w:ascii="Book Antiqua" w:hAnsi="Book Antiqua"/>
          <w:b/>
          <w:vertAlign w:val="superscript"/>
        </w:rPr>
        <w:t>3</w:t>
      </w:r>
      <w:r>
        <w:rPr>
          <w:rFonts w:ascii="Book Antiqua" w:hAnsi="Book Antiqua"/>
          <w:b/>
          <w:lang w:val="id-ID"/>
        </w:rPr>
        <w:t>, Ikhwan Rahmatika Latif</w:t>
      </w:r>
      <w:r>
        <w:rPr>
          <w:rFonts w:ascii="Book Antiqua" w:hAnsi="Book Antiqua"/>
          <w:b/>
          <w:vertAlign w:val="superscript"/>
          <w:lang w:val="id-ID"/>
        </w:rPr>
        <w:t>4</w:t>
      </w:r>
    </w:p>
    <w:p w14:paraId="7763B98A" w14:textId="770F2498" w:rsidR="00916449" w:rsidRPr="00BC2D42" w:rsidRDefault="00916449" w:rsidP="00BC2D42">
      <w:pPr>
        <w:spacing w:after="0" w:line="240" w:lineRule="auto"/>
        <w:jc w:val="center"/>
        <w:rPr>
          <w:rFonts w:ascii="Book Antiqua" w:eastAsia="Calibri" w:hAnsi="Book Antiqua" w:cs="Times New Roman"/>
          <w:sz w:val="18"/>
          <w:szCs w:val="18"/>
          <w:lang w:val="id-ID"/>
        </w:rPr>
      </w:pPr>
      <w:r w:rsidRPr="006F0F22">
        <w:rPr>
          <w:rFonts w:ascii="Book Antiqua" w:eastAsia="Calibri" w:hAnsi="Book Antiqua" w:cs="Times New Roman"/>
          <w:sz w:val="18"/>
          <w:szCs w:val="18"/>
          <w:vertAlign w:val="superscript"/>
          <w:lang w:val="id-ID"/>
        </w:rPr>
        <w:t>1</w:t>
      </w:r>
      <w:r w:rsidR="00BC2D42">
        <w:rPr>
          <w:rFonts w:ascii="Book Antiqua" w:eastAsia="Calibri" w:hAnsi="Book Antiqua" w:cs="Times New Roman"/>
          <w:sz w:val="18"/>
          <w:szCs w:val="18"/>
          <w:vertAlign w:val="superscript"/>
          <w:lang w:val="id-ID"/>
        </w:rPr>
        <w:t>,2,3,4</w:t>
      </w:r>
      <w:r w:rsidRPr="006F0F22">
        <w:rPr>
          <w:rFonts w:ascii="Book Antiqua" w:eastAsia="Calibri" w:hAnsi="Book Antiqua" w:cs="Times New Roman"/>
          <w:sz w:val="18"/>
          <w:szCs w:val="18"/>
          <w:vertAlign w:val="superscript"/>
          <w:lang w:val="id-ID"/>
        </w:rPr>
        <w:t xml:space="preserve"> </w:t>
      </w:r>
      <w:r w:rsidR="00BC2D42" w:rsidRPr="00BC2D42">
        <w:rPr>
          <w:rFonts w:ascii="Book Antiqua" w:eastAsia="Calibri" w:hAnsi="Book Antiqua" w:cs="Times New Roman"/>
          <w:sz w:val="18"/>
          <w:szCs w:val="18"/>
        </w:rPr>
        <w:t>D</w:t>
      </w:r>
      <w:r w:rsidR="00BC2D42" w:rsidRPr="00BC2D42">
        <w:rPr>
          <w:rFonts w:ascii="Book Antiqua" w:eastAsia="Calibri" w:hAnsi="Book Antiqua" w:cs="Times New Roman"/>
          <w:sz w:val="18"/>
          <w:szCs w:val="18"/>
          <w:lang w:val="id-ID"/>
        </w:rPr>
        <w:t>epartment of Government Affairs and Administration</w:t>
      </w:r>
      <w:r w:rsidR="00BC2D42" w:rsidRPr="00BC2D42">
        <w:rPr>
          <w:rFonts w:ascii="Book Antiqua" w:eastAsia="Calibri" w:hAnsi="Book Antiqua" w:cs="Times New Roman"/>
          <w:sz w:val="18"/>
          <w:szCs w:val="18"/>
        </w:rPr>
        <w:t>, Muhammadiyah</w:t>
      </w:r>
      <w:r w:rsidR="00BC2D42" w:rsidRPr="00BC2D42">
        <w:rPr>
          <w:rFonts w:ascii="Book Antiqua" w:eastAsia="Calibri" w:hAnsi="Book Antiqua" w:cs="Times New Roman"/>
          <w:sz w:val="18"/>
          <w:szCs w:val="18"/>
          <w:lang w:val="id-ID"/>
        </w:rPr>
        <w:t xml:space="preserve"> University of</w:t>
      </w:r>
      <w:r w:rsidR="00BC2D42" w:rsidRPr="00BC2D42">
        <w:rPr>
          <w:rFonts w:ascii="Book Antiqua" w:eastAsia="Calibri" w:hAnsi="Book Antiqua" w:cs="Times New Roman"/>
          <w:sz w:val="18"/>
          <w:szCs w:val="18"/>
        </w:rPr>
        <w:t xml:space="preserve"> Yogyakarta</w:t>
      </w:r>
      <w:r w:rsidR="00BC2D42">
        <w:rPr>
          <w:rFonts w:ascii="Book Antiqua" w:eastAsia="Calibri" w:hAnsi="Book Antiqua" w:cs="Times New Roman"/>
          <w:sz w:val="18"/>
          <w:szCs w:val="18"/>
          <w:lang w:val="id-ID"/>
        </w:rPr>
        <w:t xml:space="preserve">, Indonesia </w:t>
      </w:r>
    </w:p>
    <w:p w14:paraId="56EC0FF1" w14:textId="11C1BD07" w:rsidR="00916449" w:rsidRPr="006F0F22" w:rsidRDefault="00916449" w:rsidP="00BC2D42">
      <w:pPr>
        <w:spacing w:after="0" w:line="240" w:lineRule="auto"/>
        <w:jc w:val="center"/>
        <w:rPr>
          <w:rFonts w:ascii="Book Antiqua" w:eastAsia="Calibri" w:hAnsi="Book Antiqua" w:cs="Times New Roman"/>
          <w:sz w:val="18"/>
          <w:szCs w:val="18"/>
          <w:lang w:val="id-ID"/>
        </w:rPr>
      </w:pPr>
    </w:p>
    <w:p w14:paraId="2842DA50" w14:textId="54713897" w:rsidR="003328B1" w:rsidRDefault="00916449" w:rsidP="00916449">
      <w:pPr>
        <w:jc w:val="center"/>
        <w:rPr>
          <w:rFonts w:ascii="Book Antiqua" w:eastAsia="Calibri" w:hAnsi="Book Antiqua" w:cs="Arial"/>
          <w:lang w:val="id-ID"/>
        </w:rPr>
      </w:pPr>
      <w:r w:rsidRPr="006F0F22">
        <w:rPr>
          <w:rFonts w:ascii="Book Antiqua" w:eastAsia="Calibri" w:hAnsi="Book Antiqua" w:cs="Arial"/>
          <w:sz w:val="18"/>
          <w:szCs w:val="18"/>
          <w:lang w:val="id-ID"/>
        </w:rPr>
        <w:t>Email</w:t>
      </w:r>
      <w:r w:rsidRPr="006F0F22">
        <w:rPr>
          <w:rFonts w:ascii="Book Antiqua" w:eastAsia="Calibri" w:hAnsi="Book Antiqua" w:cs="Arial"/>
          <w:sz w:val="18"/>
          <w:szCs w:val="18"/>
        </w:rPr>
        <w:t xml:space="preserve"> correcpondence</w:t>
      </w:r>
      <w:r w:rsidRPr="006F0F22">
        <w:rPr>
          <w:rFonts w:ascii="Book Antiqua" w:eastAsia="Calibri" w:hAnsi="Book Antiqua" w:cs="Arial"/>
          <w:sz w:val="18"/>
          <w:szCs w:val="18"/>
          <w:lang w:val="id-ID"/>
        </w:rPr>
        <w:t xml:space="preserve">: </w:t>
      </w:r>
      <w:hyperlink r:id="rId8" w:history="1">
        <w:r w:rsidR="00BC2D42" w:rsidRPr="00BC2D42">
          <w:rPr>
            <w:rStyle w:val="Hyperlink"/>
            <w:rFonts w:ascii="Book Antiqua" w:eastAsia="Calibri" w:hAnsi="Book Antiqua" w:cs="Arial"/>
            <w:sz w:val="18"/>
            <w:szCs w:val="18"/>
            <w:lang w:val="id-ID"/>
          </w:rPr>
          <w:t>mutiarin@yahoo.com</w:t>
        </w:r>
      </w:hyperlink>
    </w:p>
    <w:p w14:paraId="74AE6D56" w14:textId="0031D7F0" w:rsidR="00916449" w:rsidRDefault="00916449" w:rsidP="00916449">
      <w:pPr>
        <w:jc w:val="center"/>
        <w:rPr>
          <w:rFonts w:ascii="Book Antiqua" w:eastAsia="Calibri" w:hAnsi="Book Antiqua" w:cs="Arial"/>
          <w:lang w:val="id-ID"/>
        </w:rPr>
      </w:pPr>
    </w:p>
    <w:p w14:paraId="2DD64E9C" w14:textId="77777777" w:rsidR="00916449" w:rsidRPr="00916449" w:rsidRDefault="00916449" w:rsidP="00916449">
      <w:pPr>
        <w:spacing w:after="0" w:line="240" w:lineRule="auto"/>
        <w:jc w:val="center"/>
        <w:rPr>
          <w:rFonts w:ascii="Book Antiqua" w:eastAsia="Calibri" w:hAnsi="Book Antiqua" w:cs="Arial"/>
          <w:b/>
          <w:bCs/>
          <w:sz w:val="20"/>
          <w:szCs w:val="20"/>
          <w:lang w:val="id-ID"/>
        </w:rPr>
      </w:pPr>
      <w:r w:rsidRPr="00916449">
        <w:rPr>
          <w:rFonts w:ascii="Book Antiqua" w:eastAsia="Calibri" w:hAnsi="Book Antiqua" w:cs="Arial"/>
          <w:b/>
          <w:bCs/>
          <w:sz w:val="20"/>
          <w:szCs w:val="20"/>
          <w:lang w:val="id-ID"/>
        </w:rPr>
        <w:t>Abstract</w:t>
      </w:r>
    </w:p>
    <w:p w14:paraId="242EEC97" w14:textId="77777777" w:rsidR="00367E1E" w:rsidRPr="00367E1E" w:rsidRDefault="00367E1E" w:rsidP="00367E1E">
      <w:pPr>
        <w:spacing w:after="0" w:line="240" w:lineRule="auto"/>
        <w:jc w:val="both"/>
        <w:rPr>
          <w:rFonts w:ascii="Book Antiqua" w:eastAsia="Calibri" w:hAnsi="Book Antiqua" w:cs="Arial"/>
          <w:sz w:val="20"/>
          <w:szCs w:val="20"/>
          <w:lang w:val="id-ID"/>
        </w:rPr>
      </w:pPr>
      <w:r w:rsidRPr="00367E1E">
        <w:rPr>
          <w:rFonts w:ascii="Book Antiqua" w:eastAsia="Calibri" w:hAnsi="Book Antiqua" w:cs="Arial"/>
          <w:sz w:val="20"/>
          <w:szCs w:val="20"/>
          <w:lang w:val="id-ID"/>
        </w:rPr>
        <w:t>The collection of land belonging to the Yogyakarta Palace or Sultan Ground (SG) and the Paku Alaman Duchy or Paku Alam Ground (PAG) land has been slow due to overlapping regulations. The collection of Sultan Ground and Paku Alam Ground land which is regulated in the Privileges Act is hampered by changes in the status of land ownership at the village level which belongs to the state and individuals. The certification process by the National Land Agency cannot be carried out yet. This data collection is based on Special Region Regulation No. 1 of 2017 concerning Management and Utilization of Sultanate Land and Duchy Land. The purpose of this study was to analyze land management policies in sustainable areas in the regencies (four) villages in Bantul Regency and Sleman Regency. This type of research conducted by the author is a mixed/mixed research (mixed methodology). Data analysis techniques in this study used the Nvivo 12 Plus software, processing by using the Crosstab Query Analysis, Cluster Analysis, Comparasis Diagram Analysis features. The results of research in land management are still not done well and evenly, eventually, disputes arose between people who could discuss the conflict.</w:t>
      </w:r>
    </w:p>
    <w:p w14:paraId="1146572D" w14:textId="77777777" w:rsidR="00916449" w:rsidRPr="00916449" w:rsidRDefault="00916449" w:rsidP="00916449">
      <w:pPr>
        <w:spacing w:after="0" w:line="240" w:lineRule="auto"/>
        <w:jc w:val="both"/>
        <w:rPr>
          <w:rFonts w:ascii="Book Antiqua" w:eastAsia="Calibri" w:hAnsi="Book Antiqua" w:cs="Arial"/>
          <w:b/>
          <w:bCs/>
          <w:sz w:val="20"/>
          <w:szCs w:val="20"/>
          <w:lang w:val="id-ID"/>
        </w:rPr>
      </w:pPr>
    </w:p>
    <w:p w14:paraId="61CEFDFB" w14:textId="13548D61" w:rsidR="00916449" w:rsidRDefault="00916449" w:rsidP="00916449">
      <w:pPr>
        <w:jc w:val="both"/>
        <w:rPr>
          <w:rFonts w:ascii="Book Antiqua" w:eastAsia="Calibri" w:hAnsi="Book Antiqua" w:cs="Arial"/>
          <w:sz w:val="20"/>
          <w:szCs w:val="20"/>
          <w:lang w:val="id-ID"/>
        </w:rPr>
      </w:pPr>
      <w:r w:rsidRPr="00916449">
        <w:rPr>
          <w:rFonts w:ascii="Book Antiqua" w:eastAsia="Calibri" w:hAnsi="Book Antiqua" w:cs="Arial"/>
          <w:b/>
          <w:bCs/>
          <w:sz w:val="20"/>
          <w:szCs w:val="20"/>
          <w:lang w:val="id-ID"/>
        </w:rPr>
        <w:t>Keywords</w:t>
      </w:r>
      <w:r w:rsidRPr="00916449">
        <w:rPr>
          <w:rFonts w:ascii="Book Antiqua" w:eastAsia="Calibri" w:hAnsi="Book Antiqua" w:cs="Arial"/>
          <w:sz w:val="20"/>
          <w:szCs w:val="20"/>
          <w:lang w:val="id-ID"/>
        </w:rPr>
        <w:t xml:space="preserve">: </w:t>
      </w:r>
      <w:r w:rsidR="00367E1E" w:rsidRPr="00367E1E">
        <w:rPr>
          <w:rFonts w:ascii="Book Antiqua" w:eastAsia="Calibri" w:hAnsi="Book Antiqua" w:cs="Arial"/>
          <w:sz w:val="20"/>
          <w:szCs w:val="20"/>
          <w:lang w:val="id-ID"/>
        </w:rPr>
        <w:t>Policy; Land Arrangement; Development; Sustainable Areas</w:t>
      </w:r>
      <w:r w:rsidR="00367E1E">
        <w:rPr>
          <w:rFonts w:ascii="Book Antiqua" w:eastAsia="Calibri" w:hAnsi="Book Antiqua" w:cs="Arial"/>
          <w:sz w:val="20"/>
          <w:szCs w:val="20"/>
          <w:lang w:val="id-ID"/>
        </w:rPr>
        <w:t>.</w:t>
      </w:r>
    </w:p>
    <w:p w14:paraId="4A250CE4" w14:textId="0A6C6145" w:rsidR="00916449" w:rsidRDefault="00916449" w:rsidP="00916449">
      <w:pPr>
        <w:jc w:val="both"/>
        <w:rPr>
          <w:rFonts w:ascii="Book Antiqua" w:eastAsia="Calibri" w:hAnsi="Book Antiqua" w:cs="Arial"/>
          <w:sz w:val="20"/>
          <w:szCs w:val="20"/>
          <w:lang w:val="id-ID"/>
        </w:rPr>
      </w:pPr>
    </w:p>
    <w:p w14:paraId="7ADC50C1" w14:textId="383A69E6" w:rsidR="00916449" w:rsidRPr="00916449" w:rsidRDefault="00916449" w:rsidP="00916449">
      <w:pPr>
        <w:spacing w:after="0" w:line="240" w:lineRule="auto"/>
        <w:jc w:val="center"/>
        <w:rPr>
          <w:rFonts w:ascii="Book Antiqua" w:eastAsia="Calibri" w:hAnsi="Book Antiqua" w:cs="Arial"/>
          <w:b/>
          <w:bCs/>
          <w:sz w:val="20"/>
          <w:szCs w:val="20"/>
        </w:rPr>
      </w:pPr>
      <w:r w:rsidRPr="00916449">
        <w:rPr>
          <w:rFonts w:ascii="Book Antiqua" w:eastAsia="Calibri" w:hAnsi="Book Antiqua" w:cs="Arial"/>
          <w:b/>
          <w:bCs/>
          <w:sz w:val="20"/>
          <w:szCs w:val="20"/>
        </w:rPr>
        <w:t>Abstrak</w:t>
      </w:r>
    </w:p>
    <w:p w14:paraId="5C9392BC" w14:textId="6C65D67D" w:rsidR="00916449" w:rsidRPr="00916449" w:rsidRDefault="00367E1E" w:rsidP="00916449">
      <w:pPr>
        <w:spacing w:after="0" w:line="240" w:lineRule="auto"/>
        <w:jc w:val="both"/>
        <w:rPr>
          <w:rFonts w:ascii="Book Antiqua" w:eastAsia="Calibri" w:hAnsi="Book Antiqua" w:cs="Arial"/>
          <w:sz w:val="20"/>
          <w:szCs w:val="20"/>
          <w:lang w:val="id-ID"/>
        </w:rPr>
      </w:pPr>
      <w:r w:rsidRPr="00367E1E">
        <w:rPr>
          <w:rFonts w:ascii="Book Antiqua" w:eastAsia="Calibri" w:hAnsi="Book Antiqua" w:cs="Arial"/>
          <w:sz w:val="20"/>
          <w:szCs w:val="20"/>
        </w:rPr>
        <w:t>Pendataan tanah milik Keraton Yogyakarta atau Sultan Ground (SG) dan tanah Kadipaten Paku Alaman atau Paku Alam Ground (PAG) berjalan lambat karena terkendala aturan yang tumpang tindih</w:t>
      </w:r>
      <w:r w:rsidRPr="00367E1E">
        <w:rPr>
          <w:rFonts w:ascii="Book Antiqua" w:eastAsia="Calibri" w:hAnsi="Book Antiqua" w:cs="Arial"/>
          <w:sz w:val="20"/>
          <w:szCs w:val="20"/>
          <w:lang w:val="id-ID"/>
        </w:rPr>
        <w:t>. P</w:t>
      </w:r>
      <w:r w:rsidRPr="00367E1E">
        <w:rPr>
          <w:rFonts w:ascii="Book Antiqua" w:eastAsia="Calibri" w:hAnsi="Book Antiqua" w:cs="Arial"/>
          <w:sz w:val="20"/>
          <w:szCs w:val="20"/>
        </w:rPr>
        <w:t>endataan tanah S</w:t>
      </w:r>
      <w:r w:rsidRPr="00367E1E">
        <w:rPr>
          <w:rFonts w:ascii="Book Antiqua" w:eastAsia="Calibri" w:hAnsi="Book Antiqua" w:cs="Arial"/>
          <w:sz w:val="20"/>
          <w:szCs w:val="20"/>
          <w:lang w:val="id-ID"/>
        </w:rPr>
        <w:t xml:space="preserve">ultan </w:t>
      </w:r>
      <w:r w:rsidRPr="00367E1E">
        <w:rPr>
          <w:rFonts w:ascii="Book Antiqua" w:eastAsia="Calibri" w:hAnsi="Book Antiqua" w:cs="Arial"/>
          <w:sz w:val="20"/>
          <w:szCs w:val="20"/>
        </w:rPr>
        <w:t>G</w:t>
      </w:r>
      <w:r w:rsidRPr="00367E1E">
        <w:rPr>
          <w:rFonts w:ascii="Book Antiqua" w:eastAsia="Calibri" w:hAnsi="Book Antiqua" w:cs="Arial"/>
          <w:sz w:val="20"/>
          <w:szCs w:val="20"/>
          <w:lang w:val="id-ID"/>
        </w:rPr>
        <w:t>round</w:t>
      </w:r>
      <w:r w:rsidRPr="00367E1E">
        <w:rPr>
          <w:rFonts w:ascii="Book Antiqua" w:eastAsia="Calibri" w:hAnsi="Book Antiqua" w:cs="Arial"/>
          <w:sz w:val="20"/>
          <w:szCs w:val="20"/>
        </w:rPr>
        <w:t xml:space="preserve"> dan P</w:t>
      </w:r>
      <w:r w:rsidRPr="00367E1E">
        <w:rPr>
          <w:rFonts w:ascii="Book Antiqua" w:eastAsia="Calibri" w:hAnsi="Book Antiqua" w:cs="Arial"/>
          <w:sz w:val="20"/>
          <w:szCs w:val="20"/>
          <w:lang w:val="id-ID"/>
        </w:rPr>
        <w:t xml:space="preserve">aku </w:t>
      </w:r>
      <w:r w:rsidRPr="00367E1E">
        <w:rPr>
          <w:rFonts w:ascii="Book Antiqua" w:eastAsia="Calibri" w:hAnsi="Book Antiqua" w:cs="Arial"/>
          <w:sz w:val="20"/>
          <w:szCs w:val="20"/>
        </w:rPr>
        <w:t>A</w:t>
      </w:r>
      <w:r w:rsidRPr="00367E1E">
        <w:rPr>
          <w:rFonts w:ascii="Book Antiqua" w:eastAsia="Calibri" w:hAnsi="Book Antiqua" w:cs="Arial"/>
          <w:sz w:val="20"/>
          <w:szCs w:val="20"/>
          <w:lang w:val="id-ID"/>
        </w:rPr>
        <w:t xml:space="preserve">lam </w:t>
      </w:r>
      <w:r w:rsidRPr="00367E1E">
        <w:rPr>
          <w:rFonts w:ascii="Book Antiqua" w:eastAsia="Calibri" w:hAnsi="Book Antiqua" w:cs="Arial"/>
          <w:sz w:val="20"/>
          <w:szCs w:val="20"/>
        </w:rPr>
        <w:t>G</w:t>
      </w:r>
      <w:r w:rsidRPr="00367E1E">
        <w:rPr>
          <w:rFonts w:ascii="Book Antiqua" w:eastAsia="Calibri" w:hAnsi="Book Antiqua" w:cs="Arial"/>
          <w:sz w:val="20"/>
          <w:szCs w:val="20"/>
          <w:lang w:val="id-ID"/>
        </w:rPr>
        <w:t>round</w:t>
      </w:r>
      <w:r w:rsidRPr="00367E1E">
        <w:rPr>
          <w:rFonts w:ascii="Book Antiqua" w:eastAsia="Calibri" w:hAnsi="Book Antiqua" w:cs="Arial"/>
          <w:sz w:val="20"/>
          <w:szCs w:val="20"/>
        </w:rPr>
        <w:t xml:space="preserve"> yang diatur dalam U</w:t>
      </w:r>
      <w:r w:rsidRPr="00367E1E">
        <w:rPr>
          <w:rFonts w:ascii="Book Antiqua" w:eastAsia="Calibri" w:hAnsi="Book Antiqua" w:cs="Arial"/>
          <w:sz w:val="20"/>
          <w:szCs w:val="20"/>
          <w:lang w:val="id-ID"/>
        </w:rPr>
        <w:t xml:space="preserve">ndang-Undang </w:t>
      </w:r>
      <w:r w:rsidRPr="00367E1E">
        <w:rPr>
          <w:rFonts w:ascii="Book Antiqua" w:eastAsia="Calibri" w:hAnsi="Book Antiqua" w:cs="Arial"/>
          <w:sz w:val="20"/>
          <w:szCs w:val="20"/>
        </w:rPr>
        <w:t>K</w:t>
      </w:r>
      <w:r w:rsidRPr="00367E1E">
        <w:rPr>
          <w:rFonts w:ascii="Book Antiqua" w:eastAsia="Calibri" w:hAnsi="Book Antiqua" w:cs="Arial"/>
          <w:sz w:val="20"/>
          <w:szCs w:val="20"/>
          <w:lang w:val="id-ID"/>
        </w:rPr>
        <w:t>eistimewaan</w:t>
      </w:r>
      <w:r w:rsidRPr="00367E1E">
        <w:rPr>
          <w:rFonts w:ascii="Book Antiqua" w:eastAsia="Calibri" w:hAnsi="Book Antiqua" w:cs="Arial"/>
          <w:sz w:val="20"/>
          <w:szCs w:val="20"/>
        </w:rPr>
        <w:t xml:space="preserve"> terganjal oleh perubahan status kepemilikan tanah di tingkat desa yang menjadi milik negara dan perorangan. Akibatnya proses sertifikasi oleh B</w:t>
      </w:r>
      <w:r w:rsidRPr="00367E1E">
        <w:rPr>
          <w:rFonts w:ascii="Book Antiqua" w:eastAsia="Calibri" w:hAnsi="Book Antiqua" w:cs="Arial"/>
          <w:sz w:val="20"/>
          <w:szCs w:val="20"/>
          <w:lang w:val="id-ID"/>
        </w:rPr>
        <w:t xml:space="preserve">adan </w:t>
      </w:r>
      <w:r w:rsidRPr="00367E1E">
        <w:rPr>
          <w:rFonts w:ascii="Book Antiqua" w:eastAsia="Calibri" w:hAnsi="Book Antiqua" w:cs="Arial"/>
          <w:sz w:val="20"/>
          <w:szCs w:val="20"/>
        </w:rPr>
        <w:t>P</w:t>
      </w:r>
      <w:r w:rsidRPr="00367E1E">
        <w:rPr>
          <w:rFonts w:ascii="Book Antiqua" w:eastAsia="Calibri" w:hAnsi="Book Antiqua" w:cs="Arial"/>
          <w:sz w:val="20"/>
          <w:szCs w:val="20"/>
          <w:lang w:val="id-ID"/>
        </w:rPr>
        <w:t xml:space="preserve">ertanahan </w:t>
      </w:r>
      <w:r w:rsidRPr="00367E1E">
        <w:rPr>
          <w:rFonts w:ascii="Book Antiqua" w:eastAsia="Calibri" w:hAnsi="Book Antiqua" w:cs="Arial"/>
          <w:sz w:val="20"/>
          <w:szCs w:val="20"/>
        </w:rPr>
        <w:t>N</w:t>
      </w:r>
      <w:r w:rsidRPr="00367E1E">
        <w:rPr>
          <w:rFonts w:ascii="Book Antiqua" w:eastAsia="Calibri" w:hAnsi="Book Antiqua" w:cs="Arial"/>
          <w:sz w:val="20"/>
          <w:szCs w:val="20"/>
          <w:lang w:val="id-ID"/>
        </w:rPr>
        <w:t>asional</w:t>
      </w:r>
      <w:r w:rsidRPr="00367E1E">
        <w:rPr>
          <w:rFonts w:ascii="Book Antiqua" w:eastAsia="Calibri" w:hAnsi="Book Antiqua" w:cs="Arial"/>
          <w:sz w:val="20"/>
          <w:szCs w:val="20"/>
        </w:rPr>
        <w:t xml:space="preserve"> belum bisa dilakukan.</w:t>
      </w:r>
      <w:r w:rsidRPr="00367E1E">
        <w:rPr>
          <w:rFonts w:ascii="Book Antiqua" w:eastAsia="Calibri" w:hAnsi="Book Antiqua" w:cs="Arial"/>
          <w:sz w:val="20"/>
          <w:szCs w:val="20"/>
          <w:lang w:val="id-ID"/>
        </w:rPr>
        <w:t xml:space="preserve"> Pendataan ini dilandasi Peraturan Daerah Istimewa No 1 Tahun 2017 </w:t>
      </w:r>
      <w:r w:rsidRPr="00367E1E">
        <w:rPr>
          <w:rFonts w:ascii="Book Antiqua" w:eastAsia="Calibri" w:hAnsi="Book Antiqua" w:cs="Arial"/>
          <w:sz w:val="20"/>
          <w:szCs w:val="20"/>
        </w:rPr>
        <w:t>tentang Pengelolaan dan Pemanfaatan Tanah Kasultanan dan Tanah Kadipaten</w:t>
      </w:r>
      <w:r w:rsidRPr="00367E1E">
        <w:rPr>
          <w:rFonts w:ascii="Book Antiqua" w:eastAsia="Calibri" w:hAnsi="Book Antiqua" w:cs="Arial"/>
          <w:sz w:val="20"/>
          <w:szCs w:val="20"/>
          <w:lang w:val="id-ID"/>
        </w:rPr>
        <w:t xml:space="preserve">. Tujuan penelitian ini untuk menganalisis </w:t>
      </w:r>
      <w:r w:rsidRPr="00367E1E">
        <w:rPr>
          <w:rFonts w:ascii="Book Antiqua" w:eastAsia="Calibri" w:hAnsi="Book Antiqua" w:cs="Arial"/>
          <w:sz w:val="20"/>
          <w:szCs w:val="20"/>
        </w:rPr>
        <w:t xml:space="preserve">kebijakan penataan pertanahan di </w:t>
      </w:r>
      <w:r w:rsidRPr="00367E1E">
        <w:rPr>
          <w:rFonts w:ascii="Book Antiqua" w:eastAsia="Calibri" w:hAnsi="Book Antiqua" w:cs="Arial"/>
          <w:sz w:val="20"/>
          <w:szCs w:val="20"/>
        </w:rPr>
        <w:lastRenderedPageBreak/>
        <w:t>kawasan berkesinambungan di 4 (empat) desa di Kabupaten Bantul dan Kabupaten Sleman.</w:t>
      </w:r>
      <w:r w:rsidRPr="00367E1E">
        <w:rPr>
          <w:rFonts w:ascii="Book Antiqua" w:eastAsia="Calibri" w:hAnsi="Book Antiqua" w:cs="Arial"/>
          <w:sz w:val="20"/>
          <w:szCs w:val="20"/>
          <w:lang w:val="id-ID"/>
        </w:rPr>
        <w:t xml:space="preserve"> </w:t>
      </w:r>
      <w:r w:rsidRPr="00367E1E">
        <w:rPr>
          <w:rFonts w:ascii="Book Antiqua" w:eastAsia="Calibri" w:hAnsi="Book Antiqua" w:cs="Arial"/>
          <w:sz w:val="20"/>
          <w:szCs w:val="20"/>
        </w:rPr>
        <w:t>Jenis penelitian yang dilakukan oleh penulis adalah penelitian campuran/kombinasi (</w:t>
      </w:r>
      <w:r w:rsidRPr="00367E1E">
        <w:rPr>
          <w:rFonts w:ascii="Book Antiqua" w:eastAsia="Calibri" w:hAnsi="Book Antiqua" w:cs="Arial"/>
          <w:i/>
          <w:sz w:val="20"/>
          <w:szCs w:val="20"/>
        </w:rPr>
        <w:t>mixed methodology</w:t>
      </w:r>
      <w:r w:rsidRPr="00367E1E">
        <w:rPr>
          <w:rFonts w:ascii="Book Antiqua" w:eastAsia="Calibri" w:hAnsi="Book Antiqua" w:cs="Arial"/>
          <w:sz w:val="20"/>
          <w:szCs w:val="20"/>
        </w:rPr>
        <w:t>).</w:t>
      </w:r>
      <w:r w:rsidRPr="00367E1E">
        <w:rPr>
          <w:rFonts w:ascii="Book Antiqua" w:eastAsia="Calibri" w:hAnsi="Book Antiqua" w:cs="Arial"/>
          <w:sz w:val="20"/>
          <w:szCs w:val="20"/>
          <w:lang w:val="id-ID"/>
        </w:rPr>
        <w:t xml:space="preserve"> Teknik analisis data dalam penelitian ini menggunakan software Nvivo 12 Plus, mengolah dengan menggunkan fitur  Crosstab Query Analysis, Cluster Analysis, Comparasison Diagram Analysis. Hasil penelitian adalah dalam penataan pertanahan masih belum dilakukan secara baik dan merata, akhirnya muncul perselisihan antara masyarakat yang bisa berpotensi konflik.</w:t>
      </w:r>
    </w:p>
    <w:p w14:paraId="1335BF5F" w14:textId="6C75DB60" w:rsidR="00916449" w:rsidRPr="00916449" w:rsidRDefault="00916449" w:rsidP="00916449">
      <w:pPr>
        <w:spacing w:after="0" w:line="240" w:lineRule="auto"/>
        <w:jc w:val="both"/>
        <w:rPr>
          <w:rFonts w:ascii="Book Antiqua" w:eastAsia="Calibri" w:hAnsi="Book Antiqua" w:cs="Arial"/>
          <w:sz w:val="20"/>
          <w:szCs w:val="20"/>
          <w:lang w:val="id-ID"/>
        </w:rPr>
      </w:pPr>
      <w:r w:rsidRPr="00916449">
        <w:rPr>
          <w:rFonts w:ascii="Book Antiqua" w:eastAsia="Calibri" w:hAnsi="Book Antiqua" w:cs="Arial"/>
          <w:b/>
          <w:bCs/>
          <w:sz w:val="20"/>
          <w:szCs w:val="20"/>
          <w:lang w:val="id-ID"/>
        </w:rPr>
        <w:t>Kata Kunci</w:t>
      </w:r>
      <w:r w:rsidRPr="00916449">
        <w:rPr>
          <w:rFonts w:ascii="Book Antiqua" w:eastAsia="Calibri" w:hAnsi="Book Antiqua" w:cs="Arial"/>
          <w:sz w:val="20"/>
          <w:szCs w:val="20"/>
          <w:lang w:val="id-ID"/>
        </w:rPr>
        <w:t xml:space="preserve">: </w:t>
      </w:r>
      <w:r w:rsidR="00367E1E" w:rsidRPr="00367E1E">
        <w:rPr>
          <w:rFonts w:ascii="Book Antiqua" w:eastAsia="Calibri" w:hAnsi="Book Antiqua" w:cs="Arial"/>
          <w:sz w:val="20"/>
          <w:szCs w:val="20"/>
          <w:lang w:val="id-ID"/>
        </w:rPr>
        <w:t>Kebijakan; Penataan Tanah; Pembangunan; Kawasan Berkesinambungan</w:t>
      </w:r>
      <w:r w:rsidRPr="00916449">
        <w:rPr>
          <w:rFonts w:ascii="Book Antiqua" w:eastAsia="Calibri" w:hAnsi="Book Antiqua" w:cs="Arial"/>
          <w:sz w:val="20"/>
          <w:szCs w:val="20"/>
          <w:lang w:val="id-ID"/>
        </w:rPr>
        <w:t>.</w:t>
      </w:r>
    </w:p>
    <w:p w14:paraId="7F9E8A70" w14:textId="33FD660F" w:rsidR="00916449" w:rsidRDefault="00916449" w:rsidP="00916449">
      <w:pPr>
        <w:jc w:val="center"/>
        <w:rPr>
          <w:rFonts w:ascii="Book Antiqua" w:eastAsia="Calibri" w:hAnsi="Book Antiqua" w:cs="Arial"/>
          <w:lang w:val="id-ID"/>
        </w:rPr>
      </w:pPr>
    </w:p>
    <w:p w14:paraId="1B412E8F" w14:textId="431C4085" w:rsidR="00916449" w:rsidRDefault="00367E1E" w:rsidP="00916449">
      <w:pPr>
        <w:spacing w:after="0" w:line="276" w:lineRule="auto"/>
        <w:jc w:val="both"/>
        <w:rPr>
          <w:rFonts w:ascii="Book Antiqua" w:eastAsia="Calibri" w:hAnsi="Book Antiqua" w:cs="Times New Roman"/>
          <w:lang w:val="id-ID"/>
        </w:rPr>
      </w:pPr>
      <w:r>
        <w:rPr>
          <w:rFonts w:ascii="Book Antiqua" w:eastAsia="Calibri" w:hAnsi="Book Antiqua" w:cs="Times New Roman"/>
          <w:b/>
          <w:lang w:val="id-ID"/>
        </w:rPr>
        <w:t>PENDAHULUAN</w:t>
      </w:r>
      <w:r>
        <w:rPr>
          <w:rFonts w:ascii="Book Antiqua" w:eastAsia="Calibri" w:hAnsi="Book Antiqua" w:cs="Times New Roman"/>
          <w:lang w:val="id-ID"/>
        </w:rPr>
        <w:t xml:space="preserve"> </w:t>
      </w:r>
    </w:p>
    <w:p w14:paraId="52FFCAE1" w14:textId="77777777"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lang w:val="id-ID"/>
        </w:rPr>
        <w:t xml:space="preserve">Pembangunan kawasan pemukiman pada saat ini tidak memperhatikan jumlah luas tanah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{"citationItems":[{"id":"ITEM-1","itemData":{"DOI":"10.31292/jb.v2i2.73","ISSN":"2442-6954","abstract":"Abstract : ASEAN Economic Community (AEC) has the aims to transform ASEAN into a stable, prosperous, and highly competitive region through equitable economic development, poverty reduction and socio-economic disparities. As a consequence, since 2015, ASEAN becomes region with free trade of goods, services, investment, and skilled labor. The impact of the implementation of MEA is shown by the price and quality of goods and services that become competitive, affecting domestic products and services from Small and Medium Enterprises (SMEs), as well as farmers. The government has sought to support SMEs and farmers through direct and indirect assistance. Land is the sector that has the most influential effect among other sectors to provoke economic growth of SMEs and farmers, because land has the function as natural resource as well as work location. To optimize this, land policies are needed to regulate land use arrangement, land asset legalization, control of land utilization and community empowerment through access reform. Asset legalization for SMEs and farmers, as well as asset legalization for infrastructures. Land use and land utilization control was implemented to optimize large-scale agricultural area by set up cooperation scheme with local people. Community empowerment was implemented through access reform, prioritized to the regions that have leading commodities or products. Keywords : competition, land use arrangement, assets legalization, land utilization, community empowermentIntisari : Pembentukan Masyarakat Ekonomi ASEAN (MEA) bertujuan untuk mentransformasikan ASEAN menjadi kawasan yang stabil, makmur, dan sangat kompetitif melalui ekonomi pembangunan yang adil, berkurangnya kemiskinan dan kesenjangan sosial-ekonomi. Sebagai konsekuensinya, ASEAN menjadi daerah dengan pergerakan bebas barang, jasa, investasi, tenaga kerja terampil, dan aliran modal sejak tahun 2015.Dampak pemberlakuan MEA adalah terjadinya persaingan harga dan kualitas barang dan jasa yang berpengaruh terhadap produk dan jasa domestik yang umumnya dilakukan oleh pelaku Usaha Kecil dan Menengah (UKM) dan petani. Pemerintah telah berupaya membantu pelaku UKM dan petani melalui bantuan langsung dan tidak langsung. Sektor pertanahan adalah sektor yang paling berpengaruh terhadap tumbuhnya perekonomian pelaku UKM dan petani. Hal tersebut karena tanah merupakan sumberdaya alam sekaligus ruang tempat berusaha. Agar dapat membantu pelaku UKM dan petani diperlukan langkah–langkah kebi…","author":[{"dropping-particle":"","family":"Arnowo","given":"Hadi","non-dropping-particle":"","parse-names":false,"suffix":""},{"dropping-particle":"","family":"Handayani","given":"Djudjuk Tri","non-dropping-particle":"","parse-names":false,"suffix":""}],"container-title":"BHUMI: Jurnal Agraria dan Pertanahan","id":"ITEM-1","issue":"2","issued":{"date-parts":[["2016"]]},"page":"227","title":"Kebijakan Pertanahan pada Era Masyarakat Ekonomi Asean (MEA)","type":"article-journal","volume":"2"},"uris":["http://www.mendeley.com/documents/?uuid=2f0be6b5-907e-4f8f-94b3-a61a41fd01ef"]}],"mendeley":{"formattedCitation":"(Arnowo and Handayani, 2016)","plainTextFormattedCitation":"(Arnowo and Handayani, 2016)","previouslyFormattedCitation":"(Arnowo and Handayani, 2016)"},"properties":{"noteIndex":0},"schema":"https://github.com/citation-style-language/schema/raw/master/csl-citation.json"}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(Arnowo and Handayani, 2016)</w:t>
      </w:r>
      <w:r w:rsidRPr="00367E1E">
        <w:rPr>
          <w:rFonts w:ascii="Book Antiqua" w:hAnsi="Book Antiqua"/>
          <w:szCs w:val="20"/>
        </w:rPr>
        <w:fldChar w:fldCharType="end"/>
      </w:r>
      <w:r w:rsidRPr="00367E1E">
        <w:rPr>
          <w:rFonts w:ascii="Book Antiqua" w:hAnsi="Book Antiqua"/>
          <w:szCs w:val="20"/>
          <w:lang w:val="id-ID"/>
        </w:rPr>
        <w:t xml:space="preserve">. Hal ini menyebabkan permasalahan terkait tanah semakin kompleks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approach.","author":[{"dropping-particle":"","family":"Chayani","given":"Dwi Anggun","non-dropping-particle":"","parse-names":false,"suffix":""},{"dropping-particle":"","family":"Yuliani","given":"Febri","non-dropping-particle":"","parse-names":false,"suffix":""}],"container-title":"Journal of Chemical Information and Modeling","id":"ITEM-1","issue":"9","issued":{"date-parts":[["2013"]]},"page":"1689-1699","title":"IMPLEMENTASI KEBIJAKAN PERTANAHAN (STUDI KASUS PADA BAGIAN PENDAFTARAN TANAH di KECAMATAN TAMPAN KOTA PEKENBARU)","type":"article-journal","volume":"53"},"uris":["http://www.mendeley.com/documents/?uuid=9ba51205-bec8-47fe-b587-dab9a63f18b8"]}],"mendeley":{"formattedCitation":"(Chayani and Yuliani, 2013)","plainTextFormattedCitation":"(Chayani and Yuliani, 2013)","previouslyFormattedCitation":"(Chayani and Yuliani, 2013)"},"properties":{"noteIndex":0},"schema":"https://github.com/citation-style-language/schema/raw/master/csl-citation.json"}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(Chayani and Yuliani, 2013)</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approach.","author":[{"dropping-particle":"","family":"Marsella","given":"","non-dropping-particle":"","parse-names":false,"suffix":""}],"container-title":"Journal of Chemical Information and Modeling","id":"ITEM-1","issue":"9","issued":{"date-parts":[["2015"]]},"page":"1689-1699","title":"PERSPEKTIF PENANGANAN SENGKETA PERTANAHAN DI BADAN PERTANAHAN NASIONAL","type":"article-journal","volume":"53"},"uris":["http://www.mendeley.com/documents/?uuid=c767249a-13d0-4749-9c02-d8c939d69ee0"]}],"mendeley":{"formattedCitation":"(Marsella, 2015)","plainTextFormattedCitation":"(Marsella, 2015)","previouslyFormattedCitation":"(Marsella, 2015)"},"properties":{"noteIndex":0},"schema":"https://github.com/citation-style-language/schema/raw/master/csl-citation.json"}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(Marsella, 2015)</w:t>
      </w:r>
      <w:r w:rsidRPr="00367E1E">
        <w:rPr>
          <w:rFonts w:ascii="Book Antiqua" w:hAnsi="Book Antiqua"/>
          <w:szCs w:val="20"/>
        </w:rPr>
        <w:fldChar w:fldCharType="end"/>
      </w:r>
      <w:r w:rsidRPr="00367E1E">
        <w:rPr>
          <w:rFonts w:ascii="Book Antiqua" w:hAnsi="Book Antiqua"/>
          <w:szCs w:val="20"/>
          <w:lang w:val="id-ID"/>
        </w:rPr>
        <w:t xml:space="preserve">. Oleh karena itu perlu adanya kebijakan penataan tanah yang terintegrasi antara Badan Pertanahan Nasional dengan masyarakat. Tingginya pembangunan kawasan pemukiman ditengarai tidak diimbangi dengan peningkatan infrastruktur yang memadai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{"citationItems":[{"id":"ITEM-1","itemData":{"author":[{"dropping-particle":"","family":"Nugroho","given":"Wahyu","non-dropping-particle":"","parse-names":false,"suffix":""}],"id":"ITEM-1","issued":{"date-parts":[["2015"]]},"page":"1-19","title":"REORIENTASI KEBIJAKAN PEMERINTAH DAERAH DALAM PENERAPAN OTONOMI DAERAH DI BIDANG PERTANAHAN DAN PENATAAN RUANG (THE REORIENTATION OF LOCAL GOVERNMENT POLICY ON IMPLEMENTATION OF THE REGIONAL AUTONOMY IN THE FIELD OF LAND AND LAND USE)","type":"article-journal"},"uris":["http://www.mendeley.com/documents/?uuid=20074bbe-5cac-4280-8e0c-61c1e4f16f1a"]}],"mendeley":{"formattedCitation":"(Nugroho, 2015)","manualFormatting":"(Pinuji, 2016; Nugroho, 2015)","plainTextFormattedCitation":"(Nugroho, 2015)","previouslyFormattedCitation":"(Nugroho, 2015)"},"properties":{"noteIndex":0},"schema":"https://github.com/citation-style-language/schema/raw/master/csl-citation.json"}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(Pinuji, 2016; Nugroho, 2015)</w:t>
      </w:r>
      <w:r w:rsidRPr="00367E1E">
        <w:rPr>
          <w:rFonts w:ascii="Book Antiqua" w:hAnsi="Book Antiqua"/>
          <w:szCs w:val="20"/>
        </w:rPr>
        <w:fldChar w:fldCharType="end"/>
      </w:r>
      <w:r w:rsidRPr="00367E1E">
        <w:rPr>
          <w:rFonts w:ascii="Book Antiqua" w:hAnsi="Book Antiqua"/>
          <w:szCs w:val="20"/>
          <w:lang w:val="id-ID"/>
        </w:rPr>
        <w:t xml:space="preserve">. Dalam hal ini, kebijakan penataan pertanahan perlu untuk dirujukan dengan kepentingan jangka panjang yaitu pembangunan kawasan berkelanjutan/ berkesinambungan. </w:t>
      </w:r>
    </w:p>
    <w:p w14:paraId="3A16EEC8"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Merujuk pada problem pembangunan kawasan di atas, maka pemanfaatan tanah perlu untuk dikelola secara optimal sesuai Undang-Undang Dasar 1945 Pasal 33 ayat (3) yang berbunyi: “Bumi, air dan kekayaan alam yang terkandung didalamnya dikuasai oleh negara dan dipergunakan sebesar-besarnya untuk kemakmuran rakyat”. Saat ini terdapat upaya untuk mengembalikan kebijakan pertanahan yang mendasarkan pada keseimbangan sesuai dengan UUPA, melalui penataan pertanahan.</w:t>
      </w:r>
    </w:p>
    <w:p w14:paraId="1CD34EB7"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lang w:val="id-ID"/>
        </w:rPr>
        <w:t xml:space="preserve">Implementasi </w:t>
      </w:r>
      <w:r w:rsidRPr="00367E1E">
        <w:rPr>
          <w:rFonts w:ascii="Book Antiqua" w:hAnsi="Book Antiqua"/>
          <w:szCs w:val="20"/>
        </w:rPr>
        <w:t xml:space="preserve">UU Penggunaan Tanah </w:t>
      </w:r>
      <w:r w:rsidRPr="00367E1E">
        <w:rPr>
          <w:rFonts w:ascii="Book Antiqua" w:hAnsi="Book Antiqua"/>
          <w:szCs w:val="20"/>
          <w:lang w:val="id-ID"/>
        </w:rPr>
        <w:t>tidak memiliki pengaruh yang signifikan terhadap kebijakan administrasi pertanahan</w:t>
      </w:r>
      <w:r w:rsidRPr="00367E1E">
        <w:rPr>
          <w:rFonts w:ascii="Book Antiqua" w:hAnsi="Book Antiqua"/>
          <w:szCs w:val="20"/>
        </w:rPr>
        <w:t xml:space="preserve">. Birokrasi dan kerangka kerja kelembagaan yang lemah untuk administrasinya telah menciptakan masalah </w:t>
      </w:r>
      <w:r w:rsidRPr="00367E1E">
        <w:rPr>
          <w:rFonts w:ascii="Book Antiqua" w:hAnsi="Book Antiqua"/>
          <w:szCs w:val="20"/>
          <w:lang w:val="id-ID"/>
        </w:rPr>
        <w:t xml:space="preserve">dalam tata kelolanya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{"citationItems":[{"id":"ITEM-1","itemData":{"ISBN":"978-978-960-812-6","abstract":"Land policy determines the structure and complexion of land ownership, development and use in any society. It is also a significant tool for the determination of rights, protection and transfer hence, the efficiency of any urban land delivery and management system is a function of an effective land policy. Land policies and management in Nigeria preceding independence in 1960 had regional formations and were regulated by several statutes and customary norms and conventions. All these policies determined the tenure structure and management systems in the country. The Land Use Act of 1978 was enacted as part of the nationalisation policy meant to harmonise the various land tenure regimes for ease of control and administration. Consequently, this Chapter assesses the main operation of Land Use Act of 1978 and how its impact on land delivery systems in Nigeria. It was found that the Land Use Act has not performed sufficiently in terms of creating viable and sustainable channels of land delivery. Bureaucracy and weak institutional framework for its administration has rather created multiples channels of land accessibility with their attendant problems. It is the recommendation of the paper that, more efforts should be made towards the current land reform agenda. The management of land should be decentralised and allow for effective participation by local authorities.","author":[{"dropping-particle":"","family":"Kuma","given":"S S","non-dropping-particle":"","parse-names":false,"suffix":""}],"container-title":"Emerging Issues in Urban Land Use and Development","id":"ITEM-1","issue":"December 2017","issued":{"date-parts":[["2018"]]},"page":"1-24","title":"Land Policy and Land Delivery System in Nigeria","type":"article-journal"},"uris":["http://www.mendeley.com/documents/?uuid=2d6939d0-b90b-435d-97fc-e187be9970a2"]}],"mendeley":{"formattedCitation":"(Kuma, 2018)","plainTextFormattedCitation":"(Kuma, 2018)","previouslyFormattedCitation":"(Kuma, 2018)"},"properties":{"noteIndex":0},"schema":"https://github.com/citation-style-language/schema/raw/master/csl-citation.json"}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(Kuma, 2018)</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rPr>
        <w:t>Permasalahan penataan administrasi pertanahan di DIY terkait dengan masih rendahnya kepemilikan sertifikat tanah masyarakat.</w:t>
      </w:r>
    </w:p>
    <w:p w14:paraId="717F9712" w14:textId="22B17237" w:rsid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rPr>
        <w:t>Penataan pertanahan di Daerah Istimewa Yogyakarta. Pendataan tanah milik Keraton Yogyakarta atau Sultan Ground (SG) dan tanah Kadipaten Paku Alaman atau Paku Alam Ground (PAG) berjalan lambat karena terkendala aturan yang tumpang tindih</w:t>
      </w:r>
      <w:r w:rsidRPr="00367E1E">
        <w:rPr>
          <w:rFonts w:ascii="Book Antiqua" w:hAnsi="Book Antiqua"/>
          <w:szCs w:val="20"/>
          <w:lang w:val="id-ID"/>
        </w:rPr>
        <w:t>. P</w:t>
      </w:r>
      <w:r w:rsidRPr="00367E1E">
        <w:rPr>
          <w:rFonts w:ascii="Book Antiqua" w:hAnsi="Book Antiqua"/>
          <w:szCs w:val="20"/>
        </w:rPr>
        <w:t>endataan tanah S</w:t>
      </w:r>
      <w:r w:rsidRPr="00367E1E">
        <w:rPr>
          <w:rFonts w:ascii="Book Antiqua" w:hAnsi="Book Antiqua"/>
          <w:szCs w:val="20"/>
          <w:lang w:val="id-ID"/>
        </w:rPr>
        <w:t xml:space="preserve">ultan </w:t>
      </w:r>
      <w:r w:rsidRPr="00367E1E">
        <w:rPr>
          <w:rFonts w:ascii="Book Antiqua" w:hAnsi="Book Antiqua"/>
          <w:szCs w:val="20"/>
        </w:rPr>
        <w:t>G</w:t>
      </w:r>
      <w:r w:rsidRPr="00367E1E">
        <w:rPr>
          <w:rFonts w:ascii="Book Antiqua" w:hAnsi="Book Antiqua"/>
          <w:szCs w:val="20"/>
          <w:lang w:val="id-ID"/>
        </w:rPr>
        <w:t>round</w:t>
      </w:r>
      <w:r w:rsidRPr="00367E1E">
        <w:rPr>
          <w:rFonts w:ascii="Book Antiqua" w:hAnsi="Book Antiqua"/>
          <w:szCs w:val="20"/>
        </w:rPr>
        <w:t xml:space="preserve"> dan P</w:t>
      </w:r>
      <w:r w:rsidRPr="00367E1E">
        <w:rPr>
          <w:rFonts w:ascii="Book Antiqua" w:hAnsi="Book Antiqua"/>
          <w:szCs w:val="20"/>
          <w:lang w:val="id-ID"/>
        </w:rPr>
        <w:t xml:space="preserve">aku </w:t>
      </w:r>
      <w:r w:rsidRPr="00367E1E">
        <w:rPr>
          <w:rFonts w:ascii="Book Antiqua" w:hAnsi="Book Antiqua"/>
          <w:szCs w:val="20"/>
        </w:rPr>
        <w:t>A</w:t>
      </w:r>
      <w:r w:rsidRPr="00367E1E">
        <w:rPr>
          <w:rFonts w:ascii="Book Antiqua" w:hAnsi="Book Antiqua"/>
          <w:szCs w:val="20"/>
          <w:lang w:val="id-ID"/>
        </w:rPr>
        <w:t xml:space="preserve">lam </w:t>
      </w:r>
      <w:r w:rsidRPr="00367E1E">
        <w:rPr>
          <w:rFonts w:ascii="Book Antiqua" w:hAnsi="Book Antiqua"/>
          <w:szCs w:val="20"/>
        </w:rPr>
        <w:t>G</w:t>
      </w:r>
      <w:r w:rsidRPr="00367E1E">
        <w:rPr>
          <w:rFonts w:ascii="Book Antiqua" w:hAnsi="Book Antiqua"/>
          <w:szCs w:val="20"/>
          <w:lang w:val="id-ID"/>
        </w:rPr>
        <w:t>round</w:t>
      </w:r>
      <w:r w:rsidRPr="00367E1E">
        <w:rPr>
          <w:rFonts w:ascii="Book Antiqua" w:hAnsi="Book Antiqua"/>
          <w:szCs w:val="20"/>
        </w:rPr>
        <w:t xml:space="preserve"> yang diatur dalam UUK terganjal oleh perubahan status kepemilikan tanah di tingkat desa yang menjadi milik negara dan perorangan. Akibatnya proses sertifikasi oleh BPN belum bisa dilakukan.</w:t>
      </w:r>
      <w:r w:rsidRPr="00367E1E">
        <w:rPr>
          <w:rFonts w:ascii="Book Antiqua" w:hAnsi="Book Antiqua"/>
          <w:szCs w:val="20"/>
          <w:lang w:val="id-ID"/>
        </w:rPr>
        <w:t xml:space="preserve"> Pendataan ini dilandasi Peraturan Daerah Istimewa No 1 Tahun 2017 </w:t>
      </w:r>
      <w:r w:rsidRPr="00367E1E">
        <w:rPr>
          <w:rFonts w:ascii="Book Antiqua" w:hAnsi="Book Antiqua"/>
          <w:szCs w:val="20"/>
        </w:rPr>
        <w:t>Peraturan Daerah Istimewa tentang Pengelolaan dan Pemanfaatan Tanah Kasultanan dan Tanah Kadipaten</w:t>
      </w:r>
      <w:r w:rsidRPr="00367E1E">
        <w:rPr>
          <w:rFonts w:ascii="Book Antiqua" w:hAnsi="Book Antiqua"/>
          <w:szCs w:val="20"/>
          <w:lang w:val="id-ID"/>
        </w:rPr>
        <w:t xml:space="preserve"> menginvetaris 27 persen atau 12.116 tanah kas desa yang </w:t>
      </w:r>
      <w:r w:rsidRPr="00367E1E">
        <w:rPr>
          <w:rFonts w:ascii="Book Antiqua" w:hAnsi="Book Antiqua"/>
          <w:szCs w:val="20"/>
          <w:lang w:val="id-ID"/>
        </w:rPr>
        <w:lastRenderedPageBreak/>
        <w:t xml:space="preserve">bersertifikat. Sedangkan 32.835 bidang atau 73 persen dari 44.951 bidang tanah kas desa belum bersertifikat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{"citationItems":[{"id":"ITEM-1","itemData":{"author":[{"dropping-particle":"","family":"Puri","given":"Widhiana Hestining","non-dropping-particle":"","parse-names":false,"suffix":""}],"id":"ITEM-1","issued":{"date-parts":[["2013"]]},"title":"KONTEKSTUALITAS AFFIRMATIVE ACTION DALAM KEBIJAKAN PERTANAHAN DI YOGYAKARTA","type":"article-journal"},"uris":["http://www.mendeley.com/documents/?uuid=b13f855e-49ca-4e5a-bd2e-93a63a3af40e"]}],"mendeley":{"formattedCitation":"(Puri, 2013)","plainTextFormattedCitation":"(Puri, 2013)","previouslyFormattedCitation":"(Puri, 2013)"},"properties":{"noteIndex":0},"schema":"https://github.com/citation-style-language/schema/raw/master/csl-citation.json"}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(Puri, 2013)</w:t>
      </w:r>
      <w:r w:rsidRPr="00367E1E">
        <w:rPr>
          <w:rFonts w:ascii="Book Antiqua" w:hAnsi="Book Antiqua"/>
          <w:szCs w:val="20"/>
        </w:rPr>
        <w:fldChar w:fldCharType="end"/>
      </w:r>
      <w:r w:rsidRPr="00367E1E">
        <w:rPr>
          <w:rFonts w:ascii="Book Antiqua" w:hAnsi="Book Antiqua"/>
          <w:szCs w:val="20"/>
          <w:lang w:val="id-ID"/>
        </w:rPr>
        <w:t>.</w:t>
      </w:r>
    </w:p>
    <w:p w14:paraId="0C7760DB" w14:textId="77777777" w:rsidR="000C0D45" w:rsidRDefault="000C0D45" w:rsidP="008579F2">
      <w:pPr>
        <w:spacing w:after="0" w:line="276" w:lineRule="auto"/>
        <w:ind w:firstLine="426"/>
        <w:jc w:val="both"/>
        <w:rPr>
          <w:rFonts w:ascii="Book Antiqua" w:hAnsi="Book Antiqua"/>
          <w:szCs w:val="20"/>
          <w:lang w:val="id-ID"/>
        </w:rPr>
      </w:pPr>
    </w:p>
    <w:p w14:paraId="64658E51" w14:textId="56F161FB" w:rsidR="008579F2" w:rsidRPr="008579F2" w:rsidRDefault="008579F2" w:rsidP="008579F2">
      <w:pPr>
        <w:spacing w:after="0" w:line="276" w:lineRule="auto"/>
        <w:jc w:val="both"/>
        <w:rPr>
          <w:rFonts w:ascii="Book Antiqua" w:hAnsi="Book Antiqua"/>
          <w:b/>
          <w:szCs w:val="20"/>
          <w:lang w:val="id-ID"/>
        </w:rPr>
      </w:pPr>
      <w:r w:rsidRPr="008579F2">
        <w:rPr>
          <w:rFonts w:ascii="Book Antiqua" w:hAnsi="Book Antiqua"/>
          <w:b/>
          <w:szCs w:val="20"/>
          <w:lang w:val="id-ID"/>
        </w:rPr>
        <w:t>METODE PENELITIAN</w:t>
      </w:r>
    </w:p>
    <w:p w14:paraId="46D39083" w14:textId="77777777" w:rsidR="00367E1E" w:rsidRPr="00367E1E" w:rsidRDefault="00367E1E" w:rsidP="008579F2">
      <w:pPr>
        <w:spacing w:after="0" w:line="276" w:lineRule="auto"/>
        <w:ind w:firstLine="426"/>
        <w:jc w:val="both"/>
        <w:rPr>
          <w:rFonts w:ascii="Book Antiqua" w:hAnsi="Book Antiqua"/>
          <w:b/>
          <w:bCs/>
          <w:szCs w:val="20"/>
        </w:rPr>
      </w:pPr>
      <w:r w:rsidRPr="00367E1E">
        <w:rPr>
          <w:rFonts w:ascii="Book Antiqua" w:hAnsi="Book Antiqua"/>
          <w:szCs w:val="20"/>
        </w:rPr>
        <w:t>Jenis penelitian yang dilakukan oleh penulis adalah penelitian campuran/kombinasi (</w:t>
      </w:r>
      <w:r w:rsidRPr="00367E1E">
        <w:rPr>
          <w:rFonts w:ascii="Book Antiqua" w:hAnsi="Book Antiqua"/>
          <w:i/>
          <w:szCs w:val="20"/>
        </w:rPr>
        <w:t>mixed methodology</w:t>
      </w:r>
      <w:r w:rsidRPr="00367E1E">
        <w:rPr>
          <w:rFonts w:ascii="Book Antiqua" w:hAnsi="Book Antiqua"/>
          <w:szCs w:val="20"/>
        </w:rPr>
        <w:t xml:space="preserve">). </w:t>
      </w:r>
      <w:r w:rsidRPr="00367E1E">
        <w:rPr>
          <w:rFonts w:ascii="Book Antiqua" w:hAnsi="Book Antiqua"/>
          <w:i/>
          <w:szCs w:val="20"/>
        </w:rPr>
        <w:t xml:space="preserve">Mixed Methods Research </w:t>
      </w:r>
      <w:r w:rsidRPr="00367E1E">
        <w:rPr>
          <w:rFonts w:ascii="Book Antiqua" w:hAnsi="Book Antiqua"/>
          <w:szCs w:val="20"/>
        </w:rPr>
        <w:t xml:space="preserve">adalah suatu desain penelitian yang didasari asumsi filosofis sebagaimana metoda inkuiri. </w:t>
      </w:r>
      <w:r w:rsidRPr="00367E1E">
        <w:rPr>
          <w:rFonts w:ascii="Book Antiqua" w:hAnsi="Book Antiqua"/>
          <w:i/>
          <w:szCs w:val="20"/>
        </w:rPr>
        <w:t xml:space="preserve">Mixed methods research </w:t>
      </w:r>
      <w:r w:rsidRPr="00367E1E">
        <w:rPr>
          <w:rFonts w:ascii="Book Antiqua" w:hAnsi="Book Antiqua"/>
          <w:szCs w:val="20"/>
        </w:rPr>
        <w:t xml:space="preserve">juga disebut sebagai sebuah metodologi yang memberikan asumsi filosofis dalam menunjukkan arah atau memberi petunjuk cara pengumpulan data dan menganalisis data serta perpaduan pendekatan kuantitatif dan kualitatif melalui beberapa fase proses penelitian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{"citationItems":[{"id":"ITEM-1","itemData":{"ISBN":"978-602-289-325-7","author":[{"dropping-particle":"","family":"Sugiyono","given":"","non-dropping-particle":"","parse-names":false,"suffix":""}],"edition":"Edisi ke-3","editor":[{"dropping-particle":"","family":"Suryandari","given":"Sofia Yustiyani","non-dropping-particle":"","parse-names":false,"suffix":""}],"id":"ITEM-1","issued":{"date-parts":[["2018"]]},"number-of-pages":"274","publisher":"ALFABETA","publisher-place":"Bandung","title":"Metode Penelitian Kualitatif: Untuk penelitian yang bersifat eksploratif, enterpretif, interaktif dan konstruktif","type":"book"},"uris":["http://www.mendeley.com/documents/?uuid=5f9d41a8-3c7e-476e-ba79-5bc6ec92e91f"]}],"mendeley":{"formattedCitation":"(Sugiyono, 2018)","plainTextFormattedCitation":"(Sugiyono, 2018)","previouslyFormattedCitation":"(Sugiyono, 2018)"},"properties":{"noteIndex":0},"schema":"https://github.com/citation-style-language/schema/raw/master/csl-citation.json"}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(Sugiyono, 2018)</w:t>
      </w:r>
      <w:r w:rsidRPr="00367E1E">
        <w:rPr>
          <w:rFonts w:ascii="Book Antiqua" w:hAnsi="Book Antiqua"/>
          <w:szCs w:val="20"/>
        </w:rPr>
        <w:fldChar w:fldCharType="end"/>
      </w:r>
      <w:r w:rsidRPr="00367E1E">
        <w:rPr>
          <w:rFonts w:ascii="Book Antiqua" w:hAnsi="Book Antiqua"/>
          <w:szCs w:val="20"/>
        </w:rPr>
        <w:t>. Penelitian ini menggunakan teknik campuran bertahap (</w:t>
      </w:r>
      <w:r w:rsidRPr="00367E1E">
        <w:rPr>
          <w:rFonts w:ascii="Book Antiqua" w:hAnsi="Book Antiqua"/>
          <w:i/>
          <w:szCs w:val="20"/>
        </w:rPr>
        <w:t>Sequential Mix Methode</w:t>
      </w:r>
      <w:r w:rsidRPr="00367E1E">
        <w:rPr>
          <w:rFonts w:ascii="Book Antiqua" w:hAnsi="Book Antiqua"/>
          <w:szCs w:val="20"/>
        </w:rPr>
        <w:t>) khususnya strategi eksplanatoris sekuensial yaitu mengumpulkan dan menganalisis data kuantitatif kemudian diikuti oleh pengumpulan dan menganalisis yang dibangun berdasarkan hasil awal kualitatif.</w:t>
      </w:r>
    </w:p>
    <w:p w14:paraId="3D5BDEE9" w14:textId="77777777"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lang w:val="id-ID"/>
        </w:rPr>
        <w:t xml:space="preserve">Teknik analisis data dalam penelitian ini menggunakan software Nvivo 12 Plus, mengolah dengan menggunkan fitur Crosstab Query Analysis, Cluster Analysis, Comparasison Diagram Analysis. Analisis yang dilakukan ada beberapa tahap, pertama yaitu mengumpulkan data sekunder dan data primer penelitian; tahap kedua adalah analisis dengan software Nvivo 12 Plus untuk membaca text, informasi yang memiliki kesamaan dengan data-data yang lain, menemukan item yang saling berkaitan, mencari makna, kata-kata, dan konteks yang saling berkaitan; tahap ketiga adalah pemaknaan atas informasi yang telah dianalisis. </w:t>
      </w:r>
    </w:p>
    <w:p w14:paraId="08836B03" w14:textId="77777777"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lang w:val="id-ID"/>
        </w:rPr>
        <w:t xml:space="preserve">Tujuan penelitian ini untuk menganalisis </w:t>
      </w:r>
      <w:r w:rsidRPr="00367E1E">
        <w:rPr>
          <w:rFonts w:ascii="Book Antiqua" w:hAnsi="Book Antiqua"/>
          <w:szCs w:val="20"/>
        </w:rPr>
        <w:t>kebijakan penataan pertanahan di kawasan berkesinambungan di 4 (empat) desa di Kabupaten Bantul dan Kabupaten Sleman. Tujuan lainnya adalah untuk mengetahui faktor-faktor kelembagaan kebijakan penataan pertanahan di Kabupaten Bantul dan Kabupaten Sleman</w:t>
      </w:r>
      <w:r w:rsidRPr="00367E1E">
        <w:rPr>
          <w:rFonts w:ascii="Book Antiqua" w:hAnsi="Book Antiqua"/>
          <w:szCs w:val="20"/>
          <w:lang w:val="id-ID"/>
        </w:rPr>
        <w:t xml:space="preserve">. </w:t>
      </w:r>
    </w:p>
    <w:p w14:paraId="34AD07D0" w14:textId="77777777"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rPr>
        <w:t xml:space="preserve">Pergeseran paradigma </w:t>
      </w:r>
      <w:r w:rsidRPr="00367E1E">
        <w:rPr>
          <w:rFonts w:ascii="Book Antiqua" w:hAnsi="Book Antiqua"/>
          <w:i/>
          <w:iCs/>
          <w:szCs w:val="20"/>
        </w:rPr>
        <w:t>Administration of Public </w:t>
      </w:r>
      <w:r w:rsidRPr="00367E1E">
        <w:rPr>
          <w:rFonts w:ascii="Book Antiqua" w:hAnsi="Book Antiqua"/>
          <w:szCs w:val="20"/>
        </w:rPr>
        <w:t>ke </w:t>
      </w:r>
      <w:r w:rsidRPr="00367E1E">
        <w:rPr>
          <w:rFonts w:ascii="Book Antiqua" w:hAnsi="Book Antiqua"/>
          <w:i/>
          <w:iCs/>
          <w:szCs w:val="20"/>
        </w:rPr>
        <w:t>Administration by Public </w:t>
      </w:r>
      <w:r w:rsidRPr="00367E1E">
        <w:rPr>
          <w:rFonts w:ascii="Book Antiqua" w:hAnsi="Book Antiqua"/>
          <w:szCs w:val="20"/>
        </w:rPr>
        <w:t>menempatkan pemerintah sebagai agen dalam menjalankan fungsi-fungsi lebih berfokus </w:t>
      </w:r>
      <w:r w:rsidRPr="00367E1E">
        <w:rPr>
          <w:rFonts w:ascii="Book Antiqua" w:hAnsi="Book Antiqua"/>
          <w:i/>
          <w:iCs/>
          <w:szCs w:val="20"/>
        </w:rPr>
        <w:t>public service (pelayanan publik) atau disebut Adminsitration for Public</w:t>
      </w:r>
      <w:r w:rsidRPr="00367E1E">
        <w:rPr>
          <w:rFonts w:ascii="Book Antiqua" w:hAnsi="Book Antiqua"/>
          <w:szCs w:val="20"/>
        </w:rPr>
        <w:t>. Bergesernya paradigma pelayanan ini, mengharuskan pemerintah sebagai agent yang mengatur urusan-urusan pelayanan public yang bersifat dasar</w:t>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{"citationItems":[{"id":"ITEM-1","itemData":{"ISBN":"9789251057537","ISSN":"02511894","abstract":"This article presents the framework, key thinking and conclusions of the recently published FAO guide on Good governance in land tenure and administration (FAO, 2007a). Land is the single greatest resource in most countries. However, land administration systems often fail as a result of weak governance. Failings in governance have adverse consequences for society as a whole. In contrast, good governance can help to achieve economic development and reduce poverty. Land administrators may be part of the overall problem of governance, or they can, and should, be part of the solution. Their role is critical. Achieving good governance in land tenure and administration is not easy but it is attainable.","author":[{"dropping-particle":"","family":"Grover","given":"Richard","non-dropping-particle":"","parse-names":false,"suffix":""},{"dropping-particle":"","family":"Törhönen","given":"Mika Petteri","non-dropping-particle":"","parse-names":false,"suffix":""},{"dropping-particle":"","family":"Palmer","given":"David","non-dropping-particle":"","parse-names":false,"suffix":""},{"dropping-particle":"","family":"Munro-Faure","given":"Paul","non-dropping-particle":"","parse-names":false,"suffix":""}],"container-title":"Land Reform, Land Settlement and Cooperatives","id":"ITEM-1","issue":"2","issued":{"date-parts":[["2007"]]},"number-of-pages":"6-17","title":"Good governance in land administration and land tenure","type":"book"},"uris":["http://www.mendeley.com/documents/?uuid=6715e227-6854-44f7-93d5-be6bc50d9d6a"]}],"mendeley":{"formattedCitation":"(Grover &lt;i&gt;et al.&lt;/i&gt;, 2007)","plainTextFormattedCitation":"(Grover et al., 2007)","previouslyFormattedCitation":"(Grover &lt;i&gt;et al.&lt;/i&gt;, 2007)"},"properties":{"noteIndex":0},"schema":"https://github.com/citation-style-language/schema/raw/master/csl-citation.json"}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 xml:space="preserve">(Grover </w:t>
      </w:r>
      <w:r w:rsidRPr="00367E1E">
        <w:rPr>
          <w:rFonts w:ascii="Book Antiqua" w:hAnsi="Book Antiqua"/>
          <w:i/>
          <w:szCs w:val="20"/>
          <w:lang w:val="id-ID"/>
        </w:rPr>
        <w:t>et al.</w:t>
      </w:r>
      <w:r w:rsidRPr="00367E1E">
        <w:rPr>
          <w:rFonts w:ascii="Book Antiqua" w:hAnsi="Book Antiqua"/>
          <w:szCs w:val="20"/>
          <w:lang w:val="id-ID"/>
        </w:rPr>
        <w:t>, 2007)</w:t>
      </w:r>
      <w:r w:rsidRPr="00367E1E">
        <w:rPr>
          <w:rFonts w:ascii="Book Antiqua" w:hAnsi="Book Antiqua"/>
          <w:szCs w:val="20"/>
        </w:rPr>
        <w:fldChar w:fldCharType="end"/>
      </w:r>
      <w:r w:rsidRPr="00367E1E">
        <w:rPr>
          <w:rFonts w:ascii="Book Antiqua" w:hAnsi="Book Antiqua"/>
          <w:szCs w:val="20"/>
        </w:rPr>
        <w:t>.</w:t>
      </w:r>
      <w:r w:rsidRPr="00367E1E">
        <w:rPr>
          <w:rFonts w:ascii="Book Antiqua" w:hAnsi="Book Antiqua"/>
          <w:szCs w:val="20"/>
          <w:lang w:val="id-ID"/>
        </w:rPr>
        <w:t xml:space="preserve"> </w:t>
      </w:r>
    </w:p>
    <w:p w14:paraId="6D119977"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Konsep kebijakan pertanahan adalah proses penentuan, pencatatan, dan penyebaran informasi tentang penguasaan, nilai dan penggunaan lahan ketika menerapkan kebijakan pengelolaan lahan</w:t>
      </w:r>
      <w:r w:rsidRPr="00367E1E">
        <w:rPr>
          <w:rFonts w:ascii="Book Antiqua" w:hAnsi="Book Antiqua"/>
          <w:b/>
          <w:bCs/>
          <w:szCs w:val="20"/>
        </w:rPr>
        <w:t xml:space="preserve">. </w:t>
      </w:r>
      <w:r w:rsidRPr="00367E1E">
        <w:rPr>
          <w:rFonts w:ascii="Book Antiqua" w:hAnsi="Book Antiqua"/>
          <w:szCs w:val="20"/>
        </w:rPr>
        <w:t xml:space="preserve">”Dengan demikian dapat mendukung pembangunan berkelanjutan melalui implementasi kebijakan pertanahan dan strategi pengelolaan lahan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{"citationItems":[{"id":"ITEM-1","itemData":{"abstract":"To enable investigation of nematode mitochondrial DNA evolution, methodology has been developed to amplify intact nematode mitochondrial genomes in preparative yields using a rolling circle replication strategy. Successful reactions were gener- ated from whole cell template DNA prepared by alkaline lysis of the rhabditid nematode Caenorhabditis elegans and a mermithid nematode, Thaumamermis cosgrovei. These taxa, representing the two major nematode classes Chromodorea and Enoplea, maintain mitochondrial genomes of 13.8 kb and 20.0 kb, respectively. Efficient amplifications were conducted on template DNA isolated from individual or pooled nematodes that were alive or stored at −80°C. Unexpectedly, these experiments revealed that multiple T. cosgrovei mitochondrial DNA haplotypes are maintained in our local population. Rolling circle amplification products can be used as templates for standard PCR reactions with specific primers that target mitochondrial genes or for direct DNA sequencing.","author":[{"dropping-particle":"","family":"Blake","given":"Cecille","non-dropping-particle":"","parse-names":false,"suffix":""}],"id":"ITEM-1","issue":"July","issued":{"date-parts":[["2015"]]},"page":"1-28","title":"The Application of Geospatial Information – Land Administration and Management","type":"article-journal"},"uris":["http://www.mendeley.com/documents/?uuid=f6641606-9c04-4a40-bfb5-97a2e0a67afb"]}],"mendeley":{"formattedCitation":"(Blake, 2015)","plainTextFormattedCitation":"(Blake, 2015)","previouslyFormattedCitation":"(Blake, 2015)"},"properties":{"noteIndex":0},"schema":"https://github.com/citation-style-language/schema/raw/master/csl-citation.json"}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(Blake, 2015)</w:t>
      </w:r>
      <w:r w:rsidRPr="00367E1E">
        <w:rPr>
          <w:rFonts w:ascii="Book Antiqua" w:hAnsi="Book Antiqua"/>
          <w:szCs w:val="20"/>
        </w:rPr>
        <w:fldChar w:fldCharType="end"/>
      </w:r>
      <w:r w:rsidRPr="00367E1E">
        <w:rPr>
          <w:rFonts w:ascii="Book Antiqua" w:hAnsi="Book Antiqua"/>
          <w:szCs w:val="20"/>
        </w:rPr>
        <w:t xml:space="preserve">. Seperti yang didefinisikan oleh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10.1007/978-1-4757-9883-8_82","author":[{"dropping-particle":"","family":"Davison","given":"Janet","non-dropping-particle":"","parse-names":false,"suffix":""},{"dropping-particle":"","family":"Osuch","given":"Doreen","non-dropping-particle":"","parse-names":false,"suffix":""}],"container-title":"Critical Issues in Systems Theory and Practice","id":"ITEM-1","issue":"February","issued":{"date-parts":[["2009"]]},"page":"541-544","title":"Land Administration Systems","type":"article-journal"},"uris":["http://www.mendeley.com/documents/?uuid=11923435-8db2-4d3f-8a04-4f4eda338522"]}],"mendeley":{"formattedCitation":"(Davison and Osuch, 2009)","plainTextFormattedCitation":"(Davison and Osuch, 2009)","previouslyFormattedCitation":"(Davison and Osuch, 2009)"},"properties":{"noteIndex":0},"schema":"https://github.com/citation-style-language/schema/raw/master/csl-citation.json"}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(Davison and Osuch, 2009)</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{"citationItems":[{"id":"ITEM-1","itemData":{"abstract":"SUMMARY Most developing countries have less than 30 percent cadastral coverage. This means that over 70 percent of the land in many countries is generally outside the land register. This has caused enormous problems for example in cities, where over one billion people live in slums without proper water, sanitation, community facilities, security of tenure or quality of life. This has also caused problems for countries in regard to food security and rural land management issues. The Global Land Tool Network (GLTN), a coalition of international partners, including FIG, has taken up this challenge and is supporting the development of pro poor land management tools, to address the technical gaps associated with unregistered land, the upgrading of slums and rural land management, among other things. The security of tenure of people in these areas relies on other forms of tenure, not individual freehold. Most rights and claims off register are based on social tenures. GLTN partners support a continuum of land rights, which includes rights that are documented, undocumented, individual and group, pastoralist, slums, legal, illegal and informal. This range of rights generally cannot be described relative to a parcel, and therefore new forms of spatial units and a domain model has been developed to accommodate these social tenures, termed the Social Tenure Domain Model (STDM) (Augustinus, Lemmen and van Oosterom: 2006). This is a pro poor land information management system which can be used to support the land systems of the poor in urban and rural areas, but which can also be linked to the cadastral system so that all information can be held on one system. This approach will open up new markets to the land industry and it will also be an opportunity to develop new skills and improve management skills. STDM could make it possible for all citizens to be covered by some form of land administration system, including the poor, thereby improving the land management capacity of the industry, as well as addressing upcoming challenges such as climate change. Also, STDM should contribute to poverty reduction, as the land rights and claims of the poor are brought into the formal system over time. It will improve their security of tenure, increase conflict resolution, limit forced evictions, and help the poor to engage with the land industry in undertaking land management such as city wide slum upgrading or rural land management. The pro poor land management approaches unde…","author":[{"dropping-particle":"","family":"Augustinus","given":"Clarissa","non-dropping-particle":"","parse-names":false,"suffix":""}],"id":"ITEM-1","issue":"April","issued":{"date-parts":[["2010"]]},"page":"11-16","title":"Social Tenure Domain Model: What It Can Mean for the Land Industry and for the Poor","type":"article-journal"},"uris":["http://www.mendeley.com/documents/?uuid=6f4324d4-ac4f-44a5-97a9-2ad4c1ec0e2a"]}],"mendeley":{"formattedCitation":"(Augustinus, 2010)","plainTextFormattedCitation":"(Augustinus, 2010)","previouslyFormattedCitation":"(Augustinus, 2010)"},"properties":{"noteIndex":0},"schema":"https://github.com/citation-style-language/schema/raw/master/csl-citation.json"}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(Augustinus, 2010)</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{"citationItems":[{"id":"ITEM-1","itemData":{"DOI":"10.1515/remav-2017-0008","ISSN":"23005289","abstract":"The global idea of building state Land Administration Systems was to determine the infrastructures for the implementation of land policies and land management strategies in support of sustainable development. This new paradigm in science has directed many studies towards the development of concepts for the integration of various spatial information systems in the framework of interoperable infrastructures. Each infrastructure includes institutional arrangements, a legal framework, processes, standards, land information, management and dissemination systems, and technologies required to support allocation, land markets, valuation, control of use, and development of interests in land. Many countries are in the process of developing Land Administration Systems (LAS). Databases of Land Information Systems (LIS), including cadastres, land registries, tax registries and land-use plans, are integrated to improve Land Information System functions and provide effective support for other systems and economic processes. This article analyzes the LAS construction process in Poland with particular emphasis on the functionality of the infrastructure supporting the widely understood sustainable development of land, the economy and society. The presented solution may be an important model (template) for other national infrastructures.","author":[{"dropping-particle":"","family":"Dawidowicz","given":"Agnieszka","non-dropping-particle":"","parse-names":false,"suffix":""},{"dropping-particle":"","family":"Źróbek","given":"Ryszard","non-dropping-particle":"","parse-names":false,"suffix":""}],"container-title":"Real Estate Management and Valuation","id":"ITEM-1","issue":"1","issued":{"date-parts":[["2017"]]},"page":"112-122","title":"Land Administration System for Sustainable Development - Case Study of Poland","type":"article-journal","volume":"25"},"uris":["http://www.mendeley.com/documents/?uuid=7dba449d-3ff7-4d60-8cec-ab81c8905873"]}],"mendeley":{"formattedCitation":"(Dawidowicz and Źróbek, 2017)","plainTextFormattedCitation":"(Dawidowicz and Źróbek, 2017)","previouslyFormattedCitation":"(Dawidowicz and Źróbek, 2017)"},"properties":{"noteIndex":0},"schema":"https://github.com/citation-style-language/schema/raw/master/csl-citation.json"}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(Dawidowicz and Źróbek, 2017)</w:t>
      </w:r>
      <w:r w:rsidRPr="00367E1E">
        <w:rPr>
          <w:rFonts w:ascii="Book Antiqua" w:hAnsi="Book Antiqua"/>
          <w:szCs w:val="20"/>
        </w:rPr>
        <w:fldChar w:fldCharType="end"/>
      </w:r>
      <w:r w:rsidRPr="00367E1E">
        <w:rPr>
          <w:rFonts w:ascii="Book Antiqua" w:hAnsi="Book Antiqua"/>
          <w:szCs w:val="20"/>
        </w:rPr>
        <w:t xml:space="preserve">, empat fungsi </w:t>
      </w:r>
      <w:r w:rsidRPr="00367E1E">
        <w:rPr>
          <w:rFonts w:ascii="Book Antiqua" w:hAnsi="Book Antiqua"/>
          <w:szCs w:val="20"/>
          <w:lang w:val="id-ID"/>
        </w:rPr>
        <w:t>kebijakan</w:t>
      </w:r>
      <w:r w:rsidRPr="00367E1E">
        <w:rPr>
          <w:rFonts w:ascii="Book Antiqua" w:hAnsi="Book Antiqua"/>
          <w:szCs w:val="20"/>
        </w:rPr>
        <w:t xml:space="preserve"> pertanahan adalah:</w:t>
      </w:r>
    </w:p>
    <w:p w14:paraId="57396171" w14:textId="77777777" w:rsidR="00367E1E" w:rsidRPr="00367E1E" w:rsidRDefault="00367E1E" w:rsidP="008579F2">
      <w:pPr>
        <w:numPr>
          <w:ilvl w:val="0"/>
          <w:numId w:val="1"/>
        </w:numPr>
        <w:spacing w:after="0" w:line="276" w:lineRule="auto"/>
        <w:ind w:left="851" w:firstLine="283"/>
        <w:jc w:val="both"/>
        <w:rPr>
          <w:rFonts w:ascii="Book Antiqua" w:hAnsi="Book Antiqua"/>
          <w:szCs w:val="20"/>
        </w:rPr>
      </w:pPr>
      <w:r w:rsidRPr="00367E1E">
        <w:rPr>
          <w:rFonts w:ascii="Book Antiqua" w:hAnsi="Book Antiqua"/>
          <w:szCs w:val="20"/>
          <w:lang w:val="id-ID"/>
        </w:rPr>
        <w:lastRenderedPageBreak/>
        <w:t xml:space="preserve">Kepemilikan Lahan </w:t>
      </w:r>
    </w:p>
    <w:p w14:paraId="4F5C0597"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Proses mengalokasikan dan mengamankan tanah; pemetaan kadaster dan menentukan batas-batas dari parsel; pengalihan harta atau penggunaan dari satu pihak ke pihak lain melalui penjualan, sewa, atau kredit; keamanan; sengketa kepemilikan dan perselisihan tentang hak dan batas tanah.</w:t>
      </w:r>
    </w:p>
    <w:p w14:paraId="184F4E05" w14:textId="77777777" w:rsidR="00367E1E" w:rsidRPr="00367E1E" w:rsidRDefault="00367E1E" w:rsidP="00367E1E">
      <w:pPr>
        <w:numPr>
          <w:ilvl w:val="0"/>
          <w:numId w:val="1"/>
        </w:numPr>
        <w:spacing w:after="0" w:line="276" w:lineRule="auto"/>
        <w:jc w:val="both"/>
        <w:rPr>
          <w:rFonts w:ascii="Book Antiqua" w:hAnsi="Book Antiqua"/>
          <w:szCs w:val="20"/>
          <w:lang w:val="id-ID"/>
        </w:rPr>
      </w:pPr>
      <w:r w:rsidRPr="00367E1E">
        <w:rPr>
          <w:rFonts w:ascii="Book Antiqua" w:hAnsi="Book Antiqua"/>
          <w:szCs w:val="20"/>
          <w:lang w:val="id-ID"/>
        </w:rPr>
        <w:t xml:space="preserve">Penilaian Tanah </w:t>
      </w:r>
    </w:p>
    <w:p w14:paraId="3570D954" w14:textId="77777777"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rPr>
        <w:t>Proses terkait dengan penilaian nilai tanah; perhitungan dan pengumpulan pendapatan melalui perpajakan; ajudikasi penilaian tanah dan sengketa perpajakan</w:t>
      </w:r>
      <w:r w:rsidRPr="00367E1E">
        <w:rPr>
          <w:rFonts w:ascii="Book Antiqua" w:hAnsi="Book Antiqua"/>
          <w:szCs w:val="20"/>
          <w:lang w:val="id-ID"/>
        </w:rPr>
        <w:t xml:space="preserve">. </w:t>
      </w:r>
    </w:p>
    <w:p w14:paraId="454E383E" w14:textId="77777777" w:rsidR="00367E1E" w:rsidRPr="00367E1E" w:rsidRDefault="00367E1E" w:rsidP="00367E1E">
      <w:pPr>
        <w:numPr>
          <w:ilvl w:val="0"/>
          <w:numId w:val="1"/>
        </w:numPr>
        <w:spacing w:after="0" w:line="276" w:lineRule="auto"/>
        <w:jc w:val="both"/>
        <w:rPr>
          <w:rFonts w:ascii="Book Antiqua" w:hAnsi="Book Antiqua"/>
          <w:szCs w:val="20"/>
          <w:lang w:val="id-ID"/>
        </w:rPr>
      </w:pPr>
      <w:r w:rsidRPr="00367E1E">
        <w:rPr>
          <w:rFonts w:ascii="Book Antiqua" w:hAnsi="Book Antiqua"/>
          <w:szCs w:val="20"/>
          <w:lang w:val="id-ID"/>
        </w:rPr>
        <w:t xml:space="preserve">Penggunaan Lahan </w:t>
      </w:r>
    </w:p>
    <w:p w14:paraId="2D3FCD75" w14:textId="33000A5A"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lang w:val="id-ID"/>
        </w:rPr>
        <w:t>Pengendalian penggunaan lahan melalui adopsi kebijakan perencanaan dan peraturan penggunaan lahan ditingkat nasional, regional, dan lokal.</w:t>
      </w:r>
    </w:p>
    <w:p w14:paraId="03B9DAE6" w14:textId="77777777" w:rsidR="00367E1E" w:rsidRPr="00367E1E" w:rsidRDefault="00367E1E" w:rsidP="00367E1E">
      <w:pPr>
        <w:numPr>
          <w:ilvl w:val="0"/>
          <w:numId w:val="1"/>
        </w:numPr>
        <w:spacing w:after="0" w:line="276" w:lineRule="auto"/>
        <w:jc w:val="both"/>
        <w:rPr>
          <w:rFonts w:ascii="Book Antiqua" w:hAnsi="Book Antiqua"/>
          <w:szCs w:val="20"/>
          <w:lang w:val="id-ID"/>
        </w:rPr>
      </w:pPr>
      <w:r w:rsidRPr="00367E1E">
        <w:rPr>
          <w:rFonts w:ascii="Book Antiqua" w:hAnsi="Book Antiqua"/>
          <w:szCs w:val="20"/>
          <w:lang w:val="id-ID"/>
        </w:rPr>
        <w:t xml:space="preserve">Pengembangan Lahan </w:t>
      </w:r>
    </w:p>
    <w:p w14:paraId="0C0F516C" w14:textId="77777777"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rPr>
        <w:t>Proses dan lembaga yang terkait dengan pembangunan infrastruktur dan utilitas fisik baru itu berupa pelaksanaan dari konstruksi perencanaan, perubahan prnggunaan tanah melalui pemberian izin konstruksi dan izin penggunaan lahan bangunan</w:t>
      </w:r>
      <w:r w:rsidRPr="00367E1E">
        <w:rPr>
          <w:rFonts w:ascii="Book Antiqua" w:hAnsi="Book Antiqua"/>
          <w:szCs w:val="20"/>
          <w:lang w:val="id-ID"/>
        </w:rPr>
        <w:t>.</w:t>
      </w:r>
    </w:p>
    <w:p w14:paraId="42B341A0"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 xml:space="preserve">Tata kelola yang baik dalam </w:t>
      </w:r>
      <w:r w:rsidRPr="00367E1E">
        <w:rPr>
          <w:rFonts w:ascii="Book Antiqua" w:hAnsi="Book Antiqua"/>
          <w:szCs w:val="20"/>
          <w:lang w:val="id-ID"/>
        </w:rPr>
        <w:t>kebijakan</w:t>
      </w:r>
      <w:r w:rsidRPr="00367E1E">
        <w:rPr>
          <w:rFonts w:ascii="Book Antiqua" w:hAnsi="Book Antiqua"/>
          <w:szCs w:val="20"/>
        </w:rPr>
        <w:t xml:space="preserve"> pertanahan dapat mengarah pada </w:t>
      </w:r>
      <w:r w:rsidRPr="00367E1E">
        <w:rPr>
          <w:rFonts w:ascii="Book Antiqua" w:hAnsi="Book Antiqua"/>
          <w:szCs w:val="20"/>
          <w:lang w:val="id-ID"/>
        </w:rPr>
        <w:t>kebijakan</w:t>
      </w:r>
      <w:r w:rsidRPr="00367E1E">
        <w:rPr>
          <w:rFonts w:ascii="Book Antiqua" w:hAnsi="Book Antiqua"/>
          <w:szCs w:val="20"/>
        </w:rPr>
        <w:t xml:space="preserve"> pertanahan yang tepat, efektif, dan efisien dan memperkuat perlindungan hak properti individu dan perusahaan</w:t>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{"citationItems":[{"id":"ITEM-1","itemData":{"DOI":"10.1179/1752270613Y.0000000080","ISSN":"17522706","abstract":"The real estate market (REM) concerns many difficult and complicated issues. The subject of interest is the specificity of market and the processes taking place in its plane. The complexity and heterogeneity of real estate, the multitude of actors and their behaviours and finally various factors of efficiency and effectiveness of the real estate market, all create many difficulties in analysing and describing it. In this context, it is important to build a comprehensive real estate information system (land administration system, LAS), which will provide the relevant information, acting as a decision support system. LAS functioning properly will allow spatial and statistical analysis, archiving and also data visualisation. The main goal of this article is a proposed algorithm determining the efficiency of real estate markets with help of LAS, using rough sets. © 2014 Survey Review Ltd.","author":[{"dropping-particle":"","family":"Dawidowicz","given":"A.","non-dropping-particle":"","parse-names":false,"suffix":""},{"dropping-particle":"","family":"Radzewicz","given":"A.","non-dropping-particle":"","parse-names":false,"suffix":""},{"dropping-particle":"","family":"Renigier-Biłozor","given":"M.","non-dropping-particle":"","parse-names":false,"suffix":""}],"container-title":"Survey Review","id":"ITEM-1","issue":"336","issued":{"date-parts":[["2014"]]},"page":"189-204","title":"Algorithm for purposes of determining real estate markets efficiency with help of land administration system","type":"article-journal","volume":"46"},"uris":["http://www.mendeley.com/documents/?uuid=3d117904-ecc2-4622-a54a-e9bfa6edc738"]}],"mendeley":{"formattedCitation":"(Dawidowicz, Radzewicz and Renigier-Biłozor, 2014)","plainTextFormattedCitation":"(Dawidowicz, Radzewicz and Renigier-Biłozor, 2014)","previouslyFormattedCitation":"(Dawidowicz, Radzewicz and Renigier-Biłozor, 2014)"},"properties":{"noteIndex":0},"schema":"https://github.com/citation-style-language/schema/raw/master/csl-citation.json"}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(Dawidowicz, Radzewicz and Renigier-Biłozor, 2014)</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{"citationItems":[{"id":"ITEM-1","itemData":{"DOI":"10.1016/j.landusepol.2015.02.011","ISSN":"02648377","abstract":"Land administration in different countries is carried out through various institutions or agencies. There are two institutions in Poland that perform these activities. They are cadastre and land registry. Cadastre scope concerns mostly spatial information, whereas land registry does generally the legal one. The Polish cadastral model is defined within sixteen diagrams and applying Unified Modelling Language (UML) notation. It results in fact, that it is possible to be understood by only small number of professionals. The construction of Polish cadastral profile based on ISO 19152 \"Geographic Information - Land Administration Domain Model (LADM)\" application was described in the paper. The resulting profile presents the main relationships within the Polish cadastral system. Since the profile is simpler in perception than the original cadastral model, it can be used by the wider public, and is therefore more beneficial for improving land administration in Poland. It can also help to reduce data redundancy and may facilitate cadastral data transfer and exchange between different countries.","author":[{"dropping-particle":"","family":"Bydłosz","given":"Jarosław","non-dropping-particle":"","parse-names":false,"suffix":""}],"container-title":"Land Use Policy","id":"ITEM-1","issued":{"date-parts":[["2015"]]},"page":"598-605","publisher":"Elsevier Ltd","title":"The application of the Land Administration Domain Model in building a country profile for the Polish cadastre","type":"article-journal","volume":"49"},"uris":["http://www.mendeley.com/documents/?uuid=2b2d4991-9e66-4467-90cb-4911033bc7fa"]}],"mendeley":{"formattedCitation":"(Bydłosz, 2015)","plainTextFormattedCitation":"(Bydłosz, 2015)","previouslyFormattedCitation":"(Bydłosz, 2015)"},"properties":{"noteIndex":0},"schema":"https://github.com/citation-style-language/schema/raw/master/csl-citation.json"}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(Bydłosz, 2015)</w:t>
      </w:r>
      <w:r w:rsidRPr="00367E1E">
        <w:rPr>
          <w:rFonts w:ascii="Book Antiqua" w:hAnsi="Book Antiqua"/>
          <w:szCs w:val="20"/>
        </w:rPr>
        <w:fldChar w:fldCharType="end"/>
      </w:r>
      <w:r w:rsidRPr="00367E1E">
        <w:rPr>
          <w:rFonts w:ascii="Book Antiqua" w:hAnsi="Book Antiqua"/>
          <w:szCs w:val="20"/>
        </w:rPr>
        <w:t>. Namun, negara mungkin dipengaruhi oleh kelompok-kelompok tertentu yang secara tidak adil menggunakan kekuasaan</w:t>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{"citationItems":[{"id":"ITEM-1","itemData":{"DOI":"10.1016/j.landusepol.2016.06.003","ISSN":"02648377","abstract":"The importance of sustainable development issues requires the engagement of all stakeholders in decision-making processes, as well as developing tactics and strategies. The complexity of this task increases on regional and international levels, where a huge amount of interests intersect or even contradict each other. To develop proper policy measures towards sustainability, it is essential to use appropriate performance assessment. Regardless of the existence of some macro estimation methods, vast gaps in practical use still remain. In this paper, a set of methods for assessing the sustainability performance of countries is outlined and discussed. The main advantages and weaknesses of the prevalent approaches are considered. Using available statistical data from open sources, sustainability performance assessment in countries within the Baltic Sea Region in the years 2005-2010 is carried out according to different methods and discussed, thus obtaining the profile of sustainability performance for countries in the Baltic Sea Region. The results of the calculations may be used for sharing with communities, detecting sustainability gaps in the countries' economies, substantiating national and regional sustainable development strategies, and analyzing the investment attractiveness of the given region.","author":[{"dropping-particle":"","family":"Manzhynski","given":"Siarhei","non-dropping-particle":"","parse-names":false,"suffix":""},{"dropping-particle":"","family":"Siniak","given":"Nikolai","non-dropping-particle":"","parse-names":false,"suffix":""},{"dropping-particle":"","family":"Źrobek-Rózańska","given":"Alina","non-dropping-particle":"","parse-names":false,"suffix":""},{"dropping-particle":"","family":"Źróbek","given":"Sabina","non-dropping-particle":"","parse-names":false,"suffix":""}],"container-title":"Land Use Policy","id":"ITEM-1","issued":{"date-parts":[["2016"]]},"page":"489-498","title":"Sustainability performance in the Baltic Sea Region","type":"article-journal","volume":"57"},"uris":["http://www.mendeley.com/documents/?uuid=4016f40f-b69c-44ca-9855-f19bb6d8c426"]}],"mendeley":{"formattedCitation":"(Manzhynski &lt;i&gt;et al.&lt;/i&gt;, 2016)","plainTextFormattedCitation":"(Manzhynski et al., 2016)","previouslyFormattedCitation":"(Manzhynski &lt;i&gt;et al.&lt;/i&gt;, 2016)"},"properties":{"noteIndex":0},"schema":"https://github.com/citation-style-language/schema/raw/master/csl-citation.json"}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 xml:space="preserve">(Manzhynski </w:t>
      </w:r>
      <w:r w:rsidRPr="00367E1E">
        <w:rPr>
          <w:rFonts w:ascii="Book Antiqua" w:hAnsi="Book Antiqua"/>
          <w:i/>
          <w:szCs w:val="20"/>
          <w:lang w:val="id-ID"/>
        </w:rPr>
        <w:t>et al.</w:t>
      </w:r>
      <w:r w:rsidRPr="00367E1E">
        <w:rPr>
          <w:rFonts w:ascii="Book Antiqua" w:hAnsi="Book Antiqua"/>
          <w:szCs w:val="20"/>
          <w:lang w:val="id-ID"/>
        </w:rPr>
        <w:t>, 2016)</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{"citationItems":[{"id":"ITEM-1","itemData":{"DOI":"10.1080/10871209.2016.1225139","ISSN":"1533158X","abstract":"Participatory methods for people with diverse literacy levels are needed for community-based wildlife conservation, particularly in developing countries. The Nominal Group Technique was adapted for 55 illiterate and semi-literate attendees across 10 stakeholder meetings with rural populations in Kenya. Ranking cards with different colors, sizes, and symbols were used concomitant with research assistants to engage community members and prioritize ideas. This Adapted Nominal Group Technique elicited 544 ideas in response to four discussion and ranking questions. This process facilitated participation by individuals with low literacy and those with low levels of formal education. This led to inclusive planning for community projects. This Adapted Nominal Group Technique appears to be promising for application in other developing country settings for rapid exploratory data collection.","author":[{"dropping-particle":"","family":"Maynard","given":"Lily","non-dropping-particle":"","parse-names":false,"suffix":""},{"dropping-particle":"","family":"Jacobson","given":"Susan K.","non-dropping-particle":"","parse-names":false,"suffix":""}],"container-title":"Human Dimensions of Wildlife","id":"ITEM-1","issue":"1","issued":{"date-parts":[["2017"]]},"page":"71-82","title":"Stakeholder Participation in Wildlife Management: Adapting the Nominal Group Technique in Developing Countries for Participants with Low Literacy","type":"article-journal","volume":"22"},"uris":["http://www.mendeley.com/documents/?uuid=bed92169-8c31-408c-bd61-c7aebd06e628"]}],"mendeley":{"formattedCitation":"(Maynard and Jacobson, 2017)","plainTextFormattedCitation":"(Maynard and Jacobson, 2017)","previouslyFormattedCitation":"(Maynard and Jacobson, 2017)"},"properties":{"noteIndex":0},"schema":"https://github.com/citation-style-language/schema/raw/master/csl-citation.json"}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(Maynard and Jacobson, 2017)</w:t>
      </w:r>
      <w:r w:rsidRPr="00367E1E">
        <w:rPr>
          <w:rFonts w:ascii="Book Antiqua" w:hAnsi="Book Antiqua"/>
          <w:szCs w:val="20"/>
        </w:rPr>
        <w:fldChar w:fldCharType="end"/>
      </w:r>
      <w:r w:rsidRPr="00367E1E">
        <w:rPr>
          <w:rFonts w:ascii="Book Antiqua" w:hAnsi="Book Antiqua"/>
          <w:szCs w:val="20"/>
        </w:rPr>
        <w:t>.</w:t>
      </w:r>
    </w:p>
    <w:p w14:paraId="71E96319" w14:textId="099D3DE8" w:rsid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lang w:val="id-ID"/>
        </w:rPr>
        <w:t xml:space="preserve">Untuk mengukur kebijakan administrasi pertanahan menurut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{"citationItems":[{"id":"ITEM-1","itemData":{"DOI":"10.1016/j.landusepol.2016.06.003","ISSN":"02648377","abstract":"The importance of sustainable development issues requires the engagement of all stakeholders in decision-making processes, as well as developing tactics and strategies. The complexity of this task increases on regional and international levels, where a huge amount of interests intersect or even contradict each other. To develop proper policy measures towards sustainability, it is essential to use appropriate performance assessment. Regardless of the existence of some macro estimation methods, vast gaps in practical use still remain. In this paper, a set of methods for assessing the sustainability performance of countries is outlined and discussed. The main advantages and weaknesses of the prevalent approaches are considered. Using available statistical data from open sources, sustainability performance assessment in countries within the Baltic Sea Region in the years 2005-2010 is carried out according to different methods and discussed, thus obtaining the profile of sustainability performance for countries in the Baltic Sea Region. The results of the calculations may be used for sharing with communities, detecting sustainability gaps in the countries' economies, substantiating national and regional sustainable development strategies, and analyzing the investment attractiveness of the given region.","author":[{"dropping-particle":"","family":"Manzhynski","given":"Siarhei","non-dropping-particle":"","parse-names":false,"suffix":""},{"dropping-particle":"","family":"Siniak","given":"Nikolai","non-dropping-particle":"","parse-names":false,"suffix":""},{"dropping-particle":"","family":"Źrobek-Rózańska","given":"Alina","non-dropping-particle":"","parse-names":false,"suffix":""},{"dropping-particle":"","family":"Źróbek","given":"Sabina","non-dropping-particle":"","parse-names":false,"suffix":""}],"container-title":"Land Use Policy","id":"ITEM-1","issued":{"date-parts":[["2016"]]},"page":"489-498","title":"Sustainability performance in the Baltic Sea Region","type":"article-journal","volume":"57"},"uris":["http://www.mendeley.com/documents/?uuid=4016f40f-b69c-44ca-9855-f19bb6d8c426"]}],"mendeley":{"formattedCitation":"(Manzhynski &lt;i&gt;et al.&lt;/i&gt;, 2016)","plainTextFormattedCitation":"(Manzhynski et al., 2016)","previouslyFormattedCitation":"(Manzhynski &lt;i&gt;et al.&lt;/i&gt;, 2016)"},"properties":{"noteIndex":0},"schema":"https://github.com/citation-style-language/schema/raw/master/csl-citation.json"}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 xml:space="preserve">(Manzhynski </w:t>
      </w:r>
      <w:r w:rsidRPr="00367E1E">
        <w:rPr>
          <w:rFonts w:ascii="Book Antiqua" w:hAnsi="Book Antiqua"/>
          <w:i/>
          <w:szCs w:val="20"/>
          <w:lang w:val="id-ID"/>
        </w:rPr>
        <w:t>et al.</w:t>
      </w:r>
      <w:r w:rsidRPr="00367E1E">
        <w:rPr>
          <w:rFonts w:ascii="Book Antiqua" w:hAnsi="Book Antiqua"/>
          <w:szCs w:val="20"/>
          <w:lang w:val="id-ID"/>
        </w:rPr>
        <w:t>, 2016)</w:t>
      </w:r>
      <w:r w:rsidRPr="00367E1E">
        <w:rPr>
          <w:rFonts w:ascii="Book Antiqua" w:hAnsi="Book Antiqua"/>
          <w:szCs w:val="20"/>
        </w:rPr>
        <w:fldChar w:fldCharType="end"/>
      </w:r>
      <w:r w:rsidRPr="00367E1E">
        <w:rPr>
          <w:rFonts w:ascii="Book Antiqua" w:hAnsi="Book Antiqua"/>
          <w:szCs w:val="20"/>
          <w:lang w:val="id-ID"/>
        </w:rPr>
        <w:t xml:space="preserve"> terdapat tiga macam yaitu</w:t>
      </w:r>
      <w:r w:rsidR="008579F2">
        <w:rPr>
          <w:rFonts w:ascii="Book Antiqua" w:hAnsi="Book Antiqua"/>
          <w:szCs w:val="20"/>
          <w:lang w:val="id-ID"/>
        </w:rPr>
        <w:t>:</w:t>
      </w:r>
    </w:p>
    <w:p w14:paraId="4FE040F4" w14:textId="6928BD0F" w:rsidR="00367E1E" w:rsidRDefault="00367E1E" w:rsidP="00367E1E">
      <w:pPr>
        <w:spacing w:after="0" w:line="276" w:lineRule="auto"/>
        <w:ind w:firstLine="851"/>
        <w:jc w:val="both"/>
        <w:rPr>
          <w:rFonts w:ascii="Book Antiqua" w:hAnsi="Book Antiqua"/>
          <w:szCs w:val="20"/>
          <w:lang w:val="id-ID"/>
        </w:rPr>
      </w:pPr>
    </w:p>
    <w:p w14:paraId="5AE9E248" w14:textId="243761A5" w:rsidR="00367E1E" w:rsidRPr="00367E1E" w:rsidRDefault="00367E1E" w:rsidP="00367E1E">
      <w:pPr>
        <w:spacing w:after="0" w:line="276" w:lineRule="auto"/>
        <w:ind w:firstLine="851"/>
        <w:jc w:val="center"/>
        <w:rPr>
          <w:rFonts w:ascii="Book Antiqua" w:hAnsi="Book Antiqua"/>
          <w:b/>
          <w:szCs w:val="20"/>
          <w:lang w:val="id-ID"/>
        </w:rPr>
      </w:pPr>
      <w:r w:rsidRPr="00367E1E">
        <w:rPr>
          <w:rFonts w:ascii="Book Antiqua" w:hAnsi="Book Antiqua"/>
          <w:b/>
          <w:szCs w:val="20"/>
          <w:lang w:val="id-ID"/>
        </w:rPr>
        <w:t>Gambar 1. Kebijakan Administrasi Pertanahan</w:t>
      </w:r>
    </w:p>
    <w:p w14:paraId="218BBD54"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61312" behindDoc="0" locked="0" layoutInCell="1" allowOverlap="1" wp14:anchorId="0E6FFF7A" wp14:editId="79A8986D">
                <wp:simplePos x="0" y="0"/>
                <wp:positionH relativeFrom="column">
                  <wp:posOffset>1955165</wp:posOffset>
                </wp:positionH>
                <wp:positionV relativeFrom="paragraph">
                  <wp:posOffset>74768</wp:posOffset>
                </wp:positionV>
                <wp:extent cx="2073275" cy="744220"/>
                <wp:effectExtent l="0" t="0" r="22225" b="17780"/>
                <wp:wrapNone/>
                <wp:docPr id="39" name="Rounded Rectangle 39"/>
                <wp:cNvGraphicFramePr/>
                <a:graphic xmlns:a="http://schemas.openxmlformats.org/drawingml/2006/main">
                  <a:graphicData uri="http://schemas.microsoft.com/office/word/2010/wordprocessingShape">
                    <wps:wsp>
                      <wps:cNvSpPr/>
                      <wps:spPr>
                        <a:xfrm>
                          <a:off x="0" y="0"/>
                          <a:ext cx="2073275" cy="74422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391CBAD" w14:textId="77777777" w:rsidR="00367E1E" w:rsidRPr="009E2BEB" w:rsidRDefault="00367E1E" w:rsidP="00367E1E">
                            <w:pPr>
                              <w:jc w:val="center"/>
                              <w:rPr>
                                <w:rFonts w:ascii="Times New Roman" w:hAnsi="Times New Roman" w:cs="Times New Roman"/>
                              </w:rPr>
                            </w:pPr>
                            <w:r w:rsidRPr="009E2BEB">
                              <w:rPr>
                                <w:rFonts w:ascii="Times New Roman" w:hAnsi="Times New Roman" w:cs="Times New Roman"/>
                              </w:rPr>
                              <w:t>Kepemilikan Tanah (</w:t>
                            </w:r>
                            <w:r w:rsidRPr="009E2BEB">
                              <w:rPr>
                                <w:rFonts w:ascii="Times New Roman" w:hAnsi="Times New Roman" w:cs="Times New Roman"/>
                                <w:i/>
                              </w:rPr>
                              <w:t>Land Ownership</w:t>
                            </w:r>
                            <w:r w:rsidRPr="009E2BEB">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6FFF7A" id="Rounded Rectangle 39" o:spid="_x0000_s1026" style="position:absolute;left:0;text-align:left;margin-left:153.95pt;margin-top:5.9pt;width:163.25pt;height:58.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" fillcolor="#4f7ac7 [3028]" strokecolor="#4472c4 [3204]" strokeweight=".5pt">
                <v:fill color2="#416fc3 [3172]" rotate="t" colors="0 #6083cb;.5 #3e70ca;1 #2e61ba" focus="100%" type="gradient">
                  <o:fill v:ext="view" type="gradientUnscaled"/>
                </v:fill>
                <v:stroke joinstyle="miter"/>
                <v:textbox>
                  <w:txbxContent>
                    <w:p w14:paraId="1391CBAD" w14:textId="77777777" w:rsidR="00367E1E" w:rsidRPr="009E2BEB" w:rsidRDefault="00367E1E" w:rsidP="00367E1E">
                      <w:pPr>
                        <w:jc w:val="center"/>
                        <w:rPr>
                          <w:rFonts w:ascii="Times New Roman" w:hAnsi="Times New Roman" w:cs="Times New Roman"/>
                        </w:rPr>
                      </w:pPr>
                      <w:r w:rsidRPr="009E2BEB">
                        <w:rPr>
                          <w:rFonts w:ascii="Times New Roman" w:hAnsi="Times New Roman" w:cs="Times New Roman"/>
                        </w:rPr>
                        <w:t>Kepemilikan Tanah (</w:t>
                      </w:r>
                      <w:r w:rsidRPr="009E2BEB">
                        <w:rPr>
                          <w:rFonts w:ascii="Times New Roman" w:hAnsi="Times New Roman" w:cs="Times New Roman"/>
                          <w:i/>
                        </w:rPr>
                        <w:t>Land Ownership</w:t>
                      </w:r>
                      <w:r w:rsidRPr="009E2BEB">
                        <w:rPr>
                          <w:rFonts w:ascii="Times New Roman" w:hAnsi="Times New Roman" w:cs="Times New Roman"/>
                        </w:rPr>
                        <w:t>)</w:t>
                      </w:r>
                    </w:p>
                  </w:txbxContent>
                </v:textbox>
              </v:roundrect>
            </w:pict>
          </mc:Fallback>
        </mc:AlternateContent>
      </w:r>
    </w:p>
    <w:p w14:paraId="08EB141D" w14:textId="77777777" w:rsidR="00367E1E" w:rsidRPr="00367E1E" w:rsidRDefault="00367E1E" w:rsidP="00367E1E">
      <w:pPr>
        <w:spacing w:after="0" w:line="276" w:lineRule="auto"/>
        <w:ind w:firstLine="851"/>
        <w:jc w:val="both"/>
        <w:rPr>
          <w:rFonts w:ascii="Book Antiqua" w:hAnsi="Book Antiqua"/>
          <w:szCs w:val="20"/>
          <w:lang w:val="id-ID"/>
        </w:rPr>
      </w:pPr>
    </w:p>
    <w:p w14:paraId="3D6F52C9" w14:textId="77777777" w:rsidR="00367E1E" w:rsidRPr="00367E1E" w:rsidRDefault="00367E1E" w:rsidP="00367E1E">
      <w:pPr>
        <w:spacing w:after="0" w:line="276" w:lineRule="auto"/>
        <w:ind w:firstLine="851"/>
        <w:jc w:val="both"/>
        <w:rPr>
          <w:rFonts w:ascii="Book Antiqua" w:hAnsi="Book Antiqua"/>
          <w:szCs w:val="20"/>
        </w:rPr>
      </w:pPr>
      <w:r w:rsidRPr="00367E1E">
        <w:rPr>
          <w:rFonts w:ascii="Book Antiqua" w:hAnsi="Book Antiqua"/>
          <w:szCs w:val="20"/>
        </w:rPr>
        <w:t xml:space="preserve"> </w:t>
      </w:r>
    </w:p>
    <w:p w14:paraId="72C7AFF9"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66432" behindDoc="0" locked="0" layoutInCell="1" allowOverlap="1" wp14:anchorId="53EC74C6" wp14:editId="3148AE6A">
                <wp:simplePos x="0" y="0"/>
                <wp:positionH relativeFrom="column">
                  <wp:posOffset>2924270</wp:posOffset>
                </wp:positionH>
                <wp:positionV relativeFrom="paragraph">
                  <wp:posOffset>1232426</wp:posOffset>
                </wp:positionV>
                <wp:extent cx="295275" cy="702665"/>
                <wp:effectExtent l="25083" t="13017" r="0" b="34608"/>
                <wp:wrapNone/>
                <wp:docPr id="6" name="Up-Down Arrow 6"/>
                <wp:cNvGraphicFramePr/>
                <a:graphic xmlns:a="http://schemas.openxmlformats.org/drawingml/2006/main">
                  <a:graphicData uri="http://schemas.microsoft.com/office/word/2010/wordprocessingShape">
                    <wps:wsp>
                      <wps:cNvSpPr/>
                      <wps:spPr>
                        <a:xfrm rot="5400000">
                          <a:off x="0" y="0"/>
                          <a:ext cx="295275" cy="702665"/>
                        </a:xfrm>
                        <a:prstGeom prst="upDownArrow">
                          <a:avLst>
                            <a:gd name="adj1" fmla="val 51839"/>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F187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6" o:spid="_x0000_s1026" type="#_x0000_t70" style="position:absolute;margin-left:230.25pt;margin-top:97.05pt;width:23.25pt;height:55.3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" adj="5201,4538" fillcolor="#4472c4 [3204]" strokecolor="#1f3763 [1604]" strokeweight="1pt"/>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65408" behindDoc="0" locked="0" layoutInCell="1" allowOverlap="1" wp14:anchorId="4C57F438" wp14:editId="6540EEC5">
                <wp:simplePos x="0" y="0"/>
                <wp:positionH relativeFrom="column">
                  <wp:posOffset>3731792</wp:posOffset>
                </wp:positionH>
                <wp:positionV relativeFrom="paragraph">
                  <wp:posOffset>1147150</wp:posOffset>
                </wp:positionV>
                <wp:extent cx="2073349" cy="744280"/>
                <wp:effectExtent l="0" t="0" r="22225" b="17780"/>
                <wp:wrapNone/>
                <wp:docPr id="40" name="Rounded Rectangle 40"/>
                <wp:cNvGraphicFramePr/>
                <a:graphic xmlns:a="http://schemas.openxmlformats.org/drawingml/2006/main">
                  <a:graphicData uri="http://schemas.microsoft.com/office/word/2010/wordprocessingShape">
                    <wps:wsp>
                      <wps:cNvSpPr/>
                      <wps:spPr>
                        <a:xfrm>
                          <a:off x="0" y="0"/>
                          <a:ext cx="2073349" cy="74428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B3F695D" w14:textId="77777777" w:rsidR="00367E1E" w:rsidRPr="009E2BEB" w:rsidRDefault="00367E1E" w:rsidP="00367E1E">
                            <w:pPr>
                              <w:jc w:val="center"/>
                              <w:rPr>
                                <w:rFonts w:ascii="Times New Roman" w:hAnsi="Times New Roman" w:cs="Times New Roman"/>
                              </w:rPr>
                            </w:pPr>
                            <w:r>
                              <w:rPr>
                                <w:rFonts w:ascii="Times New Roman" w:hAnsi="Times New Roman" w:cs="Times New Roman"/>
                              </w:rPr>
                              <w:t>Penggunaan Tanah (</w:t>
                            </w:r>
                            <w:r w:rsidRPr="00DE6B12">
                              <w:rPr>
                                <w:rFonts w:ascii="Times New Roman" w:hAnsi="Times New Roman" w:cs="Times New Roman"/>
                                <w:i/>
                              </w:rPr>
                              <w:t>Land Use</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57F438" id="Rounded Rectangle 40" o:spid="_x0000_s1027" style="position:absolute;left:0;text-align:left;margin-left:293.85pt;margin-top:90.35pt;width:163.25pt;height:58.6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" fillcolor="#4f7ac7 [3028]" strokecolor="#4472c4 [3204]" strokeweight=".5pt">
                <v:fill color2="#416fc3 [3172]" rotate="t" colors="0 #6083cb;.5 #3e70ca;1 #2e61ba" focus="100%" type="gradient">
                  <o:fill v:ext="view" type="gradientUnscaled"/>
                </v:fill>
                <v:stroke joinstyle="miter"/>
                <v:textbox>
                  <w:txbxContent>
                    <w:p w14:paraId="5B3F695D" w14:textId="77777777" w:rsidR="00367E1E" w:rsidRPr="009E2BEB" w:rsidRDefault="00367E1E" w:rsidP="00367E1E">
                      <w:pPr>
                        <w:jc w:val="center"/>
                        <w:rPr>
                          <w:rFonts w:ascii="Times New Roman" w:hAnsi="Times New Roman" w:cs="Times New Roman"/>
                        </w:rPr>
                      </w:pPr>
                      <w:r>
                        <w:rPr>
                          <w:rFonts w:ascii="Times New Roman" w:hAnsi="Times New Roman" w:cs="Times New Roman"/>
                        </w:rPr>
                        <w:t>Penggunaan Tanah (</w:t>
                      </w:r>
                      <w:r w:rsidRPr="00DE6B12">
                        <w:rPr>
                          <w:rFonts w:ascii="Times New Roman" w:hAnsi="Times New Roman" w:cs="Times New Roman"/>
                          <w:i/>
                        </w:rPr>
                        <w:t>Land Use</w:t>
                      </w:r>
                      <w:r>
                        <w:rPr>
                          <w:rFonts w:ascii="Times New Roman" w:hAnsi="Times New Roman" w:cs="Times New Roman"/>
                        </w:rPr>
                        <w:t>)</w:t>
                      </w:r>
                    </w:p>
                  </w:txbxContent>
                </v:textbox>
              </v:roundrect>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64384" behindDoc="0" locked="0" layoutInCell="1" allowOverlap="1" wp14:anchorId="0714E106" wp14:editId="47095468">
                <wp:simplePos x="0" y="0"/>
                <wp:positionH relativeFrom="column">
                  <wp:posOffset>318608</wp:posOffset>
                </wp:positionH>
                <wp:positionV relativeFrom="paragraph">
                  <wp:posOffset>1147149</wp:posOffset>
                </wp:positionV>
                <wp:extent cx="2073349" cy="744280"/>
                <wp:effectExtent l="0" t="0" r="22225" b="17780"/>
                <wp:wrapNone/>
                <wp:docPr id="41" name="Rounded Rectangle 41"/>
                <wp:cNvGraphicFramePr/>
                <a:graphic xmlns:a="http://schemas.openxmlformats.org/drawingml/2006/main">
                  <a:graphicData uri="http://schemas.microsoft.com/office/word/2010/wordprocessingShape">
                    <wps:wsp>
                      <wps:cNvSpPr/>
                      <wps:spPr>
                        <a:xfrm>
                          <a:off x="0" y="0"/>
                          <a:ext cx="2073349" cy="74428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AB9F37F" w14:textId="77777777" w:rsidR="00367E1E" w:rsidRPr="009E2BEB" w:rsidRDefault="00367E1E" w:rsidP="00367E1E">
                            <w:pPr>
                              <w:jc w:val="center"/>
                              <w:rPr>
                                <w:rFonts w:ascii="Times New Roman" w:hAnsi="Times New Roman" w:cs="Times New Roman"/>
                              </w:rPr>
                            </w:pPr>
                            <w:r>
                              <w:rPr>
                                <w:rFonts w:ascii="Times New Roman" w:hAnsi="Times New Roman" w:cs="Times New Roman"/>
                              </w:rPr>
                              <w:t>Nilai Tanah (</w:t>
                            </w:r>
                            <w:r w:rsidRPr="00DE6B12">
                              <w:rPr>
                                <w:rFonts w:ascii="Times New Roman" w:hAnsi="Times New Roman" w:cs="Times New Roman"/>
                                <w:i/>
                              </w:rPr>
                              <w:t>Land Values</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14E106" id="Rounded Rectangle 41" o:spid="_x0000_s1028" style="position:absolute;left:0;text-align:left;margin-left:25.1pt;margin-top:90.35pt;width:163.25pt;height:58.6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" fillcolor="#4f7ac7 [3028]" strokecolor="#4472c4 [3204]" strokeweight=".5pt">
                <v:fill color2="#416fc3 [3172]" rotate="t" colors="0 #6083cb;.5 #3e70ca;1 #2e61ba" focus="100%" type="gradient">
                  <o:fill v:ext="view" type="gradientUnscaled"/>
                </v:fill>
                <v:stroke joinstyle="miter"/>
                <v:textbox>
                  <w:txbxContent>
                    <w:p w14:paraId="2AB9F37F" w14:textId="77777777" w:rsidR="00367E1E" w:rsidRPr="009E2BEB" w:rsidRDefault="00367E1E" w:rsidP="00367E1E">
                      <w:pPr>
                        <w:jc w:val="center"/>
                        <w:rPr>
                          <w:rFonts w:ascii="Times New Roman" w:hAnsi="Times New Roman" w:cs="Times New Roman"/>
                        </w:rPr>
                      </w:pPr>
                      <w:r>
                        <w:rPr>
                          <w:rFonts w:ascii="Times New Roman" w:hAnsi="Times New Roman" w:cs="Times New Roman"/>
                        </w:rPr>
                        <w:t>Nilai Tanah (</w:t>
                      </w:r>
                      <w:r w:rsidRPr="00DE6B12">
                        <w:rPr>
                          <w:rFonts w:ascii="Times New Roman" w:hAnsi="Times New Roman" w:cs="Times New Roman"/>
                          <w:i/>
                        </w:rPr>
                        <w:t>Land Values</w:t>
                      </w:r>
                      <w:r>
                        <w:rPr>
                          <w:rFonts w:ascii="Times New Roman" w:hAnsi="Times New Roman" w:cs="Times New Roman"/>
                        </w:rPr>
                        <w:t>)</w:t>
                      </w:r>
                    </w:p>
                  </w:txbxContent>
                </v:textbox>
              </v:roundrect>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63360" behindDoc="0" locked="0" layoutInCell="1" allowOverlap="1" wp14:anchorId="4BF80095" wp14:editId="043B3610">
                <wp:simplePos x="0" y="0"/>
                <wp:positionH relativeFrom="column">
                  <wp:posOffset>3662680</wp:posOffset>
                </wp:positionH>
                <wp:positionV relativeFrom="paragraph">
                  <wp:posOffset>248920</wp:posOffset>
                </wp:positionV>
                <wp:extent cx="295275" cy="702665"/>
                <wp:effectExtent l="76200" t="0" r="66675" b="2540"/>
                <wp:wrapNone/>
                <wp:docPr id="42" name="Up-Down Arrow 42"/>
                <wp:cNvGraphicFramePr/>
                <a:graphic xmlns:a="http://schemas.openxmlformats.org/drawingml/2006/main">
                  <a:graphicData uri="http://schemas.microsoft.com/office/word/2010/wordprocessingShape">
                    <wps:wsp>
                      <wps:cNvSpPr/>
                      <wps:spPr>
                        <a:xfrm rot="20500076">
                          <a:off x="0" y="0"/>
                          <a:ext cx="295275" cy="702665"/>
                        </a:xfrm>
                        <a:prstGeom prst="upDownArrow">
                          <a:avLst>
                            <a:gd name="adj1" fmla="val 51839"/>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A53BC" id="Up-Down Arrow 42" o:spid="_x0000_s1026" type="#_x0000_t70" style="position:absolute;margin-left:288.4pt;margin-top:19.6pt;width:23.25pt;height:55.35pt;rotation:-1201410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" adj="5201,4538" fillcolor="#4472c4 [3204]" strokecolor="#1f3763 [1604]" strokeweight="1pt"/>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62336" behindDoc="0" locked="0" layoutInCell="1" allowOverlap="1" wp14:anchorId="6E95C6CC" wp14:editId="02F868CA">
                <wp:simplePos x="0" y="0"/>
                <wp:positionH relativeFrom="column">
                  <wp:posOffset>2124149</wp:posOffset>
                </wp:positionH>
                <wp:positionV relativeFrom="paragraph">
                  <wp:posOffset>258961</wp:posOffset>
                </wp:positionV>
                <wp:extent cx="295275" cy="702665"/>
                <wp:effectExtent l="76200" t="0" r="28575" b="2540"/>
                <wp:wrapNone/>
                <wp:docPr id="2" name="Up-Down Arrow 2"/>
                <wp:cNvGraphicFramePr/>
                <a:graphic xmlns:a="http://schemas.openxmlformats.org/drawingml/2006/main">
                  <a:graphicData uri="http://schemas.microsoft.com/office/word/2010/wordprocessingShape">
                    <wps:wsp>
                      <wps:cNvSpPr/>
                      <wps:spPr>
                        <a:xfrm rot="1044003">
                          <a:off x="0" y="0"/>
                          <a:ext cx="295275" cy="702665"/>
                        </a:xfrm>
                        <a:prstGeom prst="upDownArrow">
                          <a:avLst>
                            <a:gd name="adj1" fmla="val 51839"/>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93018" id="Up-Down Arrow 2" o:spid="_x0000_s1026" type="#_x0000_t70" style="position:absolute;margin-left:167.25pt;margin-top:20.4pt;width:23.25pt;height:55.35pt;rotation:1140330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" adj="5201,4538" fillcolor="#4472c4 [3204]" strokecolor="#1f3763 [1604]" strokeweight="1pt"/>
            </w:pict>
          </mc:Fallback>
        </mc:AlternateContent>
      </w:r>
    </w:p>
    <w:p w14:paraId="71B6E42E" w14:textId="77777777" w:rsidR="00367E1E" w:rsidRPr="00367E1E" w:rsidRDefault="00367E1E" w:rsidP="00367E1E">
      <w:pPr>
        <w:spacing w:after="0" w:line="276" w:lineRule="auto"/>
        <w:ind w:firstLine="851"/>
        <w:jc w:val="both"/>
        <w:rPr>
          <w:rFonts w:ascii="Book Antiqua" w:hAnsi="Book Antiqua"/>
          <w:szCs w:val="20"/>
          <w:lang w:val="id-ID"/>
        </w:rPr>
      </w:pPr>
    </w:p>
    <w:p w14:paraId="105CBB50" w14:textId="77777777" w:rsidR="00367E1E" w:rsidRPr="00367E1E" w:rsidRDefault="00367E1E" w:rsidP="00367E1E">
      <w:pPr>
        <w:spacing w:after="0" w:line="276" w:lineRule="auto"/>
        <w:ind w:firstLine="851"/>
        <w:jc w:val="both"/>
        <w:rPr>
          <w:rFonts w:ascii="Book Antiqua" w:hAnsi="Book Antiqua"/>
          <w:szCs w:val="20"/>
          <w:lang w:val="id-ID"/>
        </w:rPr>
      </w:pPr>
    </w:p>
    <w:p w14:paraId="508AB69E" w14:textId="77777777" w:rsidR="00367E1E" w:rsidRPr="00367E1E" w:rsidRDefault="00367E1E" w:rsidP="00367E1E">
      <w:pPr>
        <w:spacing w:after="0" w:line="276" w:lineRule="auto"/>
        <w:ind w:firstLine="851"/>
        <w:jc w:val="both"/>
        <w:rPr>
          <w:rFonts w:ascii="Book Antiqua" w:hAnsi="Book Antiqua"/>
          <w:szCs w:val="20"/>
          <w:lang w:val="id-ID"/>
        </w:rPr>
      </w:pPr>
    </w:p>
    <w:p w14:paraId="748C9AF8" w14:textId="2945242E" w:rsidR="00367E1E" w:rsidRDefault="00367E1E" w:rsidP="00367E1E">
      <w:pPr>
        <w:spacing w:after="0" w:line="276" w:lineRule="auto"/>
        <w:ind w:firstLine="851"/>
        <w:jc w:val="both"/>
        <w:rPr>
          <w:rFonts w:ascii="Book Antiqua" w:hAnsi="Book Antiqua"/>
          <w:szCs w:val="20"/>
          <w:lang w:val="id-ID"/>
        </w:rPr>
      </w:pPr>
    </w:p>
    <w:p w14:paraId="5C89C7C2" w14:textId="2CC14F85" w:rsidR="00367E1E" w:rsidRDefault="00367E1E" w:rsidP="00367E1E">
      <w:pPr>
        <w:spacing w:after="0" w:line="276" w:lineRule="auto"/>
        <w:ind w:firstLine="851"/>
        <w:jc w:val="both"/>
        <w:rPr>
          <w:rFonts w:ascii="Book Antiqua" w:hAnsi="Book Antiqua"/>
          <w:szCs w:val="20"/>
          <w:lang w:val="id-ID"/>
        </w:rPr>
      </w:pPr>
    </w:p>
    <w:p w14:paraId="0F146654" w14:textId="1CA66328" w:rsidR="00367E1E" w:rsidRDefault="00367E1E" w:rsidP="00367E1E">
      <w:pPr>
        <w:spacing w:after="0" w:line="276" w:lineRule="auto"/>
        <w:ind w:firstLine="851"/>
        <w:jc w:val="both"/>
        <w:rPr>
          <w:rFonts w:ascii="Book Antiqua" w:hAnsi="Book Antiqua"/>
          <w:szCs w:val="20"/>
          <w:lang w:val="id-ID"/>
        </w:rPr>
      </w:pPr>
    </w:p>
    <w:p w14:paraId="3636C9AD" w14:textId="6EE3CB03" w:rsidR="00367E1E" w:rsidRDefault="00367E1E" w:rsidP="00367E1E">
      <w:pPr>
        <w:spacing w:after="0" w:line="276" w:lineRule="auto"/>
        <w:ind w:firstLine="851"/>
        <w:jc w:val="both"/>
        <w:rPr>
          <w:rFonts w:ascii="Book Antiqua" w:hAnsi="Book Antiqua"/>
          <w:szCs w:val="20"/>
          <w:lang w:val="id-ID"/>
        </w:rPr>
      </w:pPr>
    </w:p>
    <w:p w14:paraId="33F011C6" w14:textId="77777777" w:rsidR="00367E1E" w:rsidRPr="00367E1E" w:rsidRDefault="00367E1E" w:rsidP="00367E1E">
      <w:pPr>
        <w:spacing w:after="0" w:line="276" w:lineRule="auto"/>
        <w:ind w:firstLine="851"/>
        <w:jc w:val="both"/>
        <w:rPr>
          <w:rFonts w:ascii="Book Antiqua" w:hAnsi="Book Antiqua"/>
          <w:szCs w:val="20"/>
          <w:lang w:val="id-ID"/>
        </w:rPr>
      </w:pPr>
    </w:p>
    <w:p w14:paraId="5122188D" w14:textId="77777777" w:rsidR="00367E1E" w:rsidRPr="00367E1E" w:rsidRDefault="00367E1E" w:rsidP="00367E1E">
      <w:pPr>
        <w:spacing w:after="0" w:line="276" w:lineRule="auto"/>
        <w:ind w:firstLine="851"/>
        <w:jc w:val="both"/>
        <w:rPr>
          <w:rFonts w:ascii="Book Antiqua" w:hAnsi="Book Antiqua"/>
          <w:szCs w:val="20"/>
          <w:lang w:val="id-ID"/>
        </w:rPr>
      </w:pPr>
    </w:p>
    <w:p w14:paraId="477711E2"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lastRenderedPageBreak/>
        <w:t xml:space="preserve">Kebijakan administrasi pertanahan juga dapat dilemahkan melalui kapasitas yang tidak mencukupi untuk secara efektif menjalankan fungsi </w:t>
      </w:r>
      <w:r w:rsidRPr="00367E1E">
        <w:rPr>
          <w:rFonts w:ascii="Book Antiqua" w:hAnsi="Book Antiqua"/>
          <w:szCs w:val="20"/>
          <w:lang w:val="id-ID"/>
        </w:rPr>
        <w:t xml:space="preserve">tugas pokok dan fungsinya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{"citationItems":[{"id":"ITEM-1","itemData":{"DOI":"10.1080/14498596.2015.1004654","ISSN":"14498596","abstract":"Urban land has social and spatial dimensions. Governance of urban land should consider these dimensions. Existing methods of evaluating land governance tend to focus on the social dimensions: the spatial dimensions are considered less. A socio-spatial approach developed here is argued to fill this gap. This research supposes that informal settlements can be used to understand urban land governance. A conceptual framework that links urban land governance, socio-spatial dimensions and informal settlements is developed and tested through a case study. The results show that the socio-spatial methodology improved understanding of equity, efficiency and transparency as compared with the existing approaches which are solely based on poor-quality and unreliable data. This methodology can be used beyond informal settlements such as understanding infrastructural delivery and quality, mapping potential conflict areas and urban land uses where governance plays a great role. Overall, the socio-spatial methodology enabled an all-encompassing evaluation of urban land governance.","author":[{"dropping-particle":"","family":"Alemie","given":"Berhanu Kefale","non-dropping-particle":"","parse-names":false,"suffix":""},{"dropping-particle":"","family":"Bennett","given":"Rohan M.","non-dropping-particle":"","parse-names":false,"suffix":""},{"dropping-particle":"","family":"Zevenbergen","given":"Jaap","non-dropping-particle":"","parse-names":false,"suffix":""}],"container-title":"Journal of Spatial Science","id":"ITEM-1","issue":"2","issued":{"date-parts":[["2015"]]},"page":"289-309","title":"A socio-spatial methodology for evaluating urban land governance: the case of informal settlements","type":"article-journal","volume":"60"},"uris":["http://www.mendeley.com/documents/?uuid=22f9cf82-1e84-4740-b822-88d1a6074fda"]}],"mendeley":{"formattedCitation":"(Alemie, Bennett and Zevenbergen, 2015)","plainTextFormattedCitation":"(Alemie, Bennett and Zevenbergen, 2015)","previouslyFormattedCitation":"(Alemie, Bennett and Zevenbergen, 2015)"},"properties":{"noteIndex":0},"schema":"https://github.com/citation-style-language/schema/raw/master/csl-citation.json"}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(Alemie, Bennett and Zevenbergen, 2015)</w:t>
      </w:r>
      <w:r w:rsidRPr="00367E1E">
        <w:rPr>
          <w:rFonts w:ascii="Book Antiqua" w:hAnsi="Book Antiqua"/>
          <w:szCs w:val="20"/>
        </w:rPr>
        <w:fldChar w:fldCharType="end"/>
      </w:r>
      <w:r w:rsidRPr="00367E1E">
        <w:rPr>
          <w:rFonts w:ascii="Book Antiqua" w:hAnsi="Book Antiqua"/>
          <w:szCs w:val="20"/>
        </w:rPr>
        <w:t>.</w:t>
      </w:r>
    </w:p>
    <w:p w14:paraId="3DF5E8D6" w14:textId="77777777" w:rsidR="00367E1E" w:rsidRPr="00367E1E" w:rsidRDefault="00367E1E" w:rsidP="00367E1E">
      <w:pPr>
        <w:numPr>
          <w:ilvl w:val="0"/>
          <w:numId w:val="2"/>
        </w:numPr>
        <w:spacing w:after="0" w:line="276" w:lineRule="auto"/>
        <w:jc w:val="both"/>
        <w:rPr>
          <w:rFonts w:ascii="Book Antiqua" w:hAnsi="Book Antiqua"/>
          <w:szCs w:val="20"/>
        </w:rPr>
      </w:pPr>
      <w:r w:rsidRPr="00367E1E">
        <w:rPr>
          <w:rFonts w:ascii="Book Antiqua" w:hAnsi="Book Antiqua"/>
          <w:szCs w:val="20"/>
          <w:lang w:val="id-ID"/>
        </w:rPr>
        <w:t xml:space="preserve">Tantangan hukum atau peraturan </w:t>
      </w:r>
    </w:p>
    <w:p w14:paraId="1DF23C80"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 xml:space="preserve">Tata kelola yang lemah mengurangi keamanan tenurial dan membuka pintu bagi transfer ilegal, yang menyebabkan pemilik kehilangan hak kepemilikan tanah mereka. Kepemilikan tersebut tidak dilindungi oleh hukum. Bahkan dapat menyebabkan sengketa tanah. Dalam beberapa kasus, pengadilan mungkin memberikan putusan yang mendukung yang kuat, tidak tergantung pada manfaat kelompok yang terpinggirkan. Tanah milik negara juga dapat ditransfer ke orang-orang kuat tanpa pembayaran yang memadai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{"citationItems":[{"id":"ITEM-1","itemData":{"ISBN":"9789251057537","ISSN":"02511894","abstract":"This article presents the framework, key thinking and conclusions of the recently published FAO guide on Good governance in land tenure and administration (FAO, 2007a). Land is the single greatest resource in most countries. However, land administration systems often fail as a result of weak governance. Failings in governance have adverse consequences for society as a whole. In contrast, good governance can help to achieve economic development and reduce poverty. Land administrators may be part of the overall problem of governance, or they can, and should, be part of the solution. Their role is critical. Achieving good governance in land tenure and administration is not easy but it is attainable.","author":[{"dropping-particle":"","family":"Grover","given":"Richard","non-dropping-particle":"","parse-names":false,"suffix":""},{"dropping-particle":"","family":"Törhönen","given":"Mika Petteri","non-dropping-particle":"","parse-names":false,"suffix":""},{"dropping-particle":"","family":"Palmer","given":"David","non-dropping-particle":"","parse-names":false,"suffix":""},{"dropping-particle":"","family":"Munro-Faure","given":"Paul","non-dropping-particle":"","parse-names":false,"suffix":""}],"container-title":"Land Reform, Land Settlement and Cooperatives","id":"ITEM-1","issue":"2","issued":{"date-parts":[["2007"]]},"number-of-pages":"6-17","title":"Good governance in land administration and land tenure","type":"book"},"uris":["http://www.mendeley.com/documents/?uuid=6715e227-6854-44f7-93d5-be6bc50d9d6a"]}],"mendeley":{"formattedCitation":"(Grover &lt;i&gt;et al.&lt;/i&gt;, 2007)","plainTextFormattedCitation":"(Grover et al., 2007)","previouslyFormattedCitation":"(Grover &lt;i&gt;et al.&lt;/i&gt;, 2007)"},"properties":{"noteIndex":0},"schema":"https://github.com/citation-style-language/schema/raw/master/csl-citation.json"}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 xml:space="preserve">(Grover </w:t>
      </w:r>
      <w:r w:rsidRPr="00367E1E">
        <w:rPr>
          <w:rFonts w:ascii="Book Antiqua" w:hAnsi="Book Antiqua"/>
          <w:i/>
          <w:szCs w:val="20"/>
        </w:rPr>
        <w:t>et al.</w:t>
      </w:r>
      <w:r w:rsidRPr="00367E1E">
        <w:rPr>
          <w:rFonts w:ascii="Book Antiqua" w:hAnsi="Book Antiqua"/>
          <w:szCs w:val="20"/>
        </w:rPr>
        <w:t>, 2007)</w:t>
      </w:r>
      <w:r w:rsidRPr="00367E1E">
        <w:rPr>
          <w:rFonts w:ascii="Book Antiqua" w:hAnsi="Book Antiqua"/>
          <w:szCs w:val="20"/>
        </w:rPr>
        <w:fldChar w:fldCharType="end"/>
      </w:r>
      <w:r w:rsidRPr="00367E1E">
        <w:rPr>
          <w:rFonts w:ascii="Book Antiqua" w:hAnsi="Book Antiqua"/>
          <w:szCs w:val="20"/>
        </w:rPr>
        <w:t>.</w:t>
      </w:r>
    </w:p>
    <w:p w14:paraId="7107BD69" w14:textId="77777777" w:rsidR="00367E1E" w:rsidRPr="00367E1E" w:rsidRDefault="00367E1E" w:rsidP="00367E1E">
      <w:pPr>
        <w:numPr>
          <w:ilvl w:val="0"/>
          <w:numId w:val="2"/>
        </w:numPr>
        <w:spacing w:after="0" w:line="276" w:lineRule="auto"/>
        <w:jc w:val="both"/>
        <w:rPr>
          <w:rFonts w:ascii="Book Antiqua" w:hAnsi="Book Antiqua"/>
          <w:szCs w:val="20"/>
        </w:rPr>
      </w:pPr>
      <w:r w:rsidRPr="00367E1E">
        <w:rPr>
          <w:rFonts w:ascii="Book Antiqua" w:hAnsi="Book Antiqua"/>
          <w:szCs w:val="20"/>
          <w:lang w:val="id-ID"/>
        </w:rPr>
        <w:t xml:space="preserve">Tantangan kelembagaan </w:t>
      </w:r>
    </w:p>
    <w:p w14:paraId="50FA46DA"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 xml:space="preserve">Terkadang para pemimpin menggunakan kekuatan politik mereka atau keuntungan yang tidak semestinya dari sistem untuk meningkatkan kepemilikan tanah mereka sendiri. Dalam kasus seperti itu, mempromosikan </w:t>
      </w:r>
      <w:r w:rsidRPr="00367E1E">
        <w:rPr>
          <w:rFonts w:ascii="Book Antiqua" w:hAnsi="Book Antiqua"/>
          <w:szCs w:val="20"/>
          <w:lang w:val="id-ID"/>
        </w:rPr>
        <w:t xml:space="preserve">kebijakan </w:t>
      </w:r>
      <w:r w:rsidRPr="00367E1E">
        <w:rPr>
          <w:rFonts w:ascii="Book Antiqua" w:hAnsi="Book Antiqua"/>
          <w:szCs w:val="20"/>
        </w:rPr>
        <w:t xml:space="preserve">sistem administrasi pertanahan yang baik mungkin menjadi tantangan di tingkat lokal (Hilhorst 2008). Selain itu, sistem penyelesaian sengketa tanah yang tidak efektif, kapasitas kelembagaan yang lemah dan proses administrasi pertanahan, atau ketidakpedulian antara otoritas administrasi lahan dan pengguna dapat menghadirkan tantangan kelembagaan terhadap tata kelola yang baik dalam administrasi pertanahan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{"citationItems":[{"id":"ITEM-1","itemData":{"abstract":"To enable investigation of nematode mitochondrial DNA evolution, methodology has been developed to amplify intact nematode mitochondrial genomes in preparative yields using a rolling circle replication strategy. Successful reactions were gener- ated from whole cell template DNA prepared by alkaline lysis of the rhabditid nematode Caenorhabditis elegans and a mermithid nematode, Thaumamermis cosgrovei. These taxa, representing the two major nematode classes Chromodorea and Enoplea, maintain mitochondrial genomes of 13.8 kb and 20.0 kb, respectively. Efficient amplifications were conducted on template DNA isolated from individual or pooled nematodes that were alive or stored at −80°C. Unexpectedly, these experiments revealed that multiple T. cosgrovei mitochondrial DNA haplotypes are maintained in our local population. Rolling circle amplification products can be used as templates for standard PCR reactions with specific primers that target mitochondrial genes or for direct DNA sequencing.","author":[{"dropping-particle":"","family":"Blake","given":"Cecille","non-dropping-particle":"","parse-names":false,"suffix":""}],"id":"ITEM-1","issue":"July","issued":{"date-parts":[["2015"]]},"page":"1-28","title":"The Application of Geospatial Information – Land Administration and Management","type":"article-journal"},"uris":["http://www.mendeley.com/documents/?uuid=f6641606-9c04-4a40-bfb5-97a2e0a67afb"]}],"mendeley":{"formattedCitation":"(Blake, 2015)","plainTextFormattedCitation":"(Blake, 2015)","previouslyFormattedCitation":"(Blake, 2015)"},"properties":{"noteIndex":0},"schema":"https://github.com/citation-style-language/schema/raw/master/csl-citation.json"}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(Blake, 2015)</w:t>
      </w:r>
      <w:r w:rsidRPr="00367E1E">
        <w:rPr>
          <w:rFonts w:ascii="Book Antiqua" w:hAnsi="Book Antiqua"/>
          <w:szCs w:val="20"/>
        </w:rPr>
        <w:fldChar w:fldCharType="end"/>
      </w:r>
      <w:r w:rsidRPr="00367E1E">
        <w:rPr>
          <w:rFonts w:ascii="Book Antiqua" w:hAnsi="Book Antiqua"/>
          <w:szCs w:val="20"/>
        </w:rPr>
        <w:t>.</w:t>
      </w:r>
    </w:p>
    <w:p w14:paraId="2C7CEDA4" w14:textId="77777777" w:rsidR="00367E1E" w:rsidRPr="00367E1E" w:rsidRDefault="00367E1E" w:rsidP="00367E1E">
      <w:pPr>
        <w:numPr>
          <w:ilvl w:val="0"/>
          <w:numId w:val="2"/>
        </w:numPr>
        <w:spacing w:after="0" w:line="276" w:lineRule="auto"/>
        <w:jc w:val="both"/>
        <w:rPr>
          <w:rFonts w:ascii="Book Antiqua" w:hAnsi="Book Antiqua"/>
          <w:szCs w:val="20"/>
        </w:rPr>
      </w:pPr>
      <w:r w:rsidRPr="00367E1E">
        <w:rPr>
          <w:rFonts w:ascii="Book Antiqua" w:hAnsi="Book Antiqua"/>
          <w:szCs w:val="20"/>
          <w:lang w:val="id-ID"/>
        </w:rPr>
        <w:t xml:space="preserve">Kendala kapasitas </w:t>
      </w:r>
    </w:p>
    <w:p w14:paraId="4FB57B41"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 xml:space="preserve">Melibatkan pemerintah daerah dalam administrasi pertanahan dalam bentuk perencanaan penggunaan lahan dan mempromosikan penggunaan sumber daya alam yang berkelanjutan dan pengelolaan lingkungan akan memperluas peluang bagi lembaga pemerintah daerah untuk menerapkan mandat mereka dan membangun kapasitas mereka. Tetapi terkadang kapasitas pemerintah daerah untuk beroperasi tergantung pada kelayakan hukum dan sumber daya yang memadai untuk melaksanakan tugas dan tanggung jawab mereka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{"citationItems":[{"id":"ITEM-1","itemData":{"ISBN":"1876-4142","abstract":"This paper is based on a chapter in “New Perspectives on Natural Resource Management in the Sahel” (Simon Bolwig, Kjeld Rasmussen and Malene Kauffmann Hansen (eds.)), a technical report submitted to the Danish Agency for International Development Assistance (Danida). Through Danida, Denmark has established a long tradition of providing support to the countries in the Sahel region, starting with considerable contributions to the United Nations Sudano-Sahelian Office (UNSO) under UNDP during the 1980s and early 1990s. Since then, it has mainly provided bilateral support to Burkina Faso and Niger and now Mali. Harvesting experiences from development and research activities in the Sahel is already being carried out as part of regular and targeted review activities, with a view to updating Denmark’s development assistance programmes in the region. To contribute to this process, Danida commissioned the University of Copenhagen to carry out a study aimed at providing an overview of the lessons learnt from Danish (and to some extent international) activities in natural resources management in the Sahel, with a focus on Niger, Burkina Faso and Mali. The study objectives were to: i) ii) identify the most important operational experiences from two decades of Danish assistance to natural resources management in the Sahel extract from research findings the recent trends, as well as the key problems and drivers, related to natural resources management that are relevant to development assistance. The reports were coordinated by the Department of Geography and Geology at the University of Copenhagen. Sub-studies on pastoral systems and on local governance institutions were contributed by, respectively, the International Institute for Environment and Development (IIED) in Edinburgh and the Royal Tropical Institute (KIT) in Amsterdam, and integrated into the reports. It is expected that the full report will be published in 2008.","author":[{"dropping-particle":"","family":"Hilhorst","given":"Thea","non-dropping-particle":"","parse-names":false,"suffix":""}],"id":"ITEM-1","issued":{"date-parts":[["2008"]]},"page":"1-31","title":"Local governance institutions for sustainable natural resource management in Mali, Burkina Faso and Niger","type":"article-journal"},"uris":["http://www.mendeley.com/documents/?uuid=6783b08a-40ce-4a11-affa-653243dde469"]}],"mendeley":{"formattedCitation":"(Hilhorst, 2008)","plainTextFormattedCitation":"(Hilhorst, 2008)","previouslyFormattedCitation":"(Hilhorst, 2008)"},"properties":{"noteIndex":0},"schema":"https://github.com/citation-style-language/schema/raw/master/csl-citation.json"}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(Hilhorst, 2008)</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{"citationItems":[{"id":"ITEM-1","itemData":{"DOI":"10.1080/14498596.2016.1145619","ISBN":"9781498719612","ISSN":"1449-8596","abstract":"Towards responsible land administration / Walter T. de Vries, Rohan M. Bennett, Jaap Zevenbergen -- Pro-poor land administration / Marie Christine Simbizi, Rohan M. Bennett, Jaap Zevenbergen -- Land administration for food security / Rohan M. Bennett, Georgina Rockson, Solomon A. Haile, Joe Nasr, and Liza Groenendijk -- Urbanization, land administration, and good-enough governance / Berhanu K. Alemie, Rohan M. Bennett, Jaap Zevenbergen -- Land administration for post-conflict contexts / Dimo Todorovski, Jaap Zevenbergen, Paul van der Molen -- Land administration crowds, clouds and the state / Peter Laarakker, Jaap Zevenbergen, Yola Georgiadou -- The point cadastre / Walter T. de Vries, Co Meijer, Susan Keuber, Bert Raidt -- The digital pen method / Didier Milindi Rugema, Jeroen Verplanke, Christiaan Lemmen -- Accelerated land administration updates / Mireille Biraro, Rohan M. Bennett, Christiaan Lemmen -- Towards fit-for-purpose land consolidation / Rohan M. Bennett, Fikerte A. Yimer, Christiaan Lemmen -- Dynamic nomadic cadastres / Monica Lengoiboni, Arnold Bregt, Paul van der Molen -- Land administration impacts on land use change / Peter Fosudo, Rohan M. Bennett, Jaap Zevenbergen -- Environmental protection via land administration / Yelena Romero, Jaap Zevenbergen, Kees Bronsveld -- Displacement and land administration / Potel Jossam, Paul van der Molen, Luc Boerboom, Dimo Todorovski, Walter T. de Vries -- Social tenure domain model : an emerging land governance tool / Danilo Antonio, Jaap Zevenbergen, Clarissa Augustinus -- Future directions in responsible land administration / Jaap Zevenbergen, Walter T. de Vries, Rohan M. Bennett.","author":[{"dropping-particle":"","family":"Zevenbergen","given":"Jaap","non-dropping-particle":"","parse-names":false,"suffix":""},{"dropping-particle":"De","family":"Vries","given":"Walter","non-dropping-particle":"","parse-names":false,"suffix":""},{"dropping-particle":"","family":"Bennett","given":"Rohan","non-dropping-particle":"","parse-names":false,"suffix":""}],"container-title":"Journal of Spatial Science","id":"ITEM-1","issue":"1","issued":{"date-parts":[["2016"]]},"number-of-pages":"253-254","title":"Advances in responsible land administration","type":"book","volume":"61"},"uris":["http://www.mendeley.com/documents/?uuid=fbf147f4-b9fe-4411-ab9b-8c83beca92b1"]}],"mendeley":{"formattedCitation":"(Zevenbergen, Vries and Bennett, 2016)","plainTextFormattedCitation":"(Zevenbergen, Vries and Bennett, 2016)","previouslyFormattedCitation":"(Zevenbergen, Vries and Bennett, 2016)"},"properties":{"noteIndex":0},"schema":"https://github.com/citation-style-language/schema/raw/master/csl-citation.json"}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(Zevenbergen, Vries and Bennett, 2016)</w:t>
      </w:r>
      <w:r w:rsidRPr="00367E1E">
        <w:rPr>
          <w:rFonts w:ascii="Book Antiqua" w:hAnsi="Book Antiqua"/>
          <w:szCs w:val="20"/>
        </w:rPr>
        <w:fldChar w:fldCharType="end"/>
      </w:r>
      <w:r w:rsidRPr="00367E1E">
        <w:rPr>
          <w:rFonts w:ascii="Book Antiqua" w:hAnsi="Book Antiqua"/>
          <w:szCs w:val="20"/>
        </w:rPr>
        <w:t xml:space="preserve">. Selain itu, kurangnya sumber daya untuk memastikan tata kelola yang baik, kurangnya staf yang berkualifikasi atau kompeten, kurangnya kapasitas kelembagaan untuk mengelola tanah, dan salah kelola sumber daya merupakan tantangan lain yang mengurangi kapasitas untuk administrasi tanah yang efektif, terutama pada tingkat pemerintah daerah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{"citationItems":[{"id":"ITEM-1","itemData":{"ISBN":"9789251057537","ISSN":"02511894","abstract":"This article presents the framework, key thinking and conclusions of the recently published FAO guide on Good governance in land tenure and administration (FAO, 2007a). Land is the single greatest resource in most countries. However, land administration systems often fail as a result of weak governance. Failings in governance have adverse consequences for society as a whole. In contrast, good governance can help to achieve economic development and reduce poverty. Land administrators may be part of the overall problem of governance, or they can, and should, be part of the solution. Their role is critical. Achieving good governance in land tenure and administration is not easy but it is attainable.","author":[{"dropping-particle":"","family":"Grover","given":"Richard","non-dropping-particle":"","parse-names":false,"suffix":""},{"dropping-particle":"","family":"Törhönen","given":"Mika Petteri","non-dropping-particle":"","parse-names":false,"suffix":""},{"dropping-particle":"","family":"Palmer","given":"David","non-dropping-particle":"","parse-names":false,"suffix":""},{"dropping-particle":"","family":"Munro-Faure","given":"Paul","non-dropping-particle":"","parse-names":false,"suffix":""}],"container-title":"Land Reform, Land Settlement and Cooperatives","id":"ITEM-1","issue":"2","issued":{"date-parts":[["2007"]]},"number-of-pages":"6-17","title":"Good governance in land administration and land tenure","type":"book"},"uris":["http://www.mendeley.com/documents/?uuid=6715e227-6854-44f7-93d5-be6bc50d9d6a"]}],"mendeley":{"formattedCitation":"(Grover &lt;i&gt;et al.&lt;/i&gt;, 2007)","plainTextFormattedCitation":"(Grover et al., 2007)","previouslyFormattedCitation":"(Grover &lt;i&gt;et al.&lt;/i&gt;, 2007)"},"properties":{"noteIndex":0},"schema":"https://github.com/citation-style-language/schema/raw/master/csl-citation.json"}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 xml:space="preserve">(Grover </w:t>
      </w:r>
      <w:r w:rsidRPr="00367E1E">
        <w:rPr>
          <w:rFonts w:ascii="Book Antiqua" w:hAnsi="Book Antiqua"/>
          <w:i/>
          <w:szCs w:val="20"/>
        </w:rPr>
        <w:t>et al.</w:t>
      </w:r>
      <w:r w:rsidRPr="00367E1E">
        <w:rPr>
          <w:rFonts w:ascii="Book Antiqua" w:hAnsi="Book Antiqua"/>
          <w:szCs w:val="20"/>
        </w:rPr>
        <w:t>, 2007)</w:t>
      </w:r>
      <w:r w:rsidRPr="00367E1E">
        <w:rPr>
          <w:rFonts w:ascii="Book Antiqua" w:hAnsi="Book Antiqua"/>
          <w:szCs w:val="20"/>
        </w:rPr>
        <w:fldChar w:fldCharType="end"/>
      </w:r>
      <w:r w:rsidRPr="00367E1E">
        <w:rPr>
          <w:rFonts w:ascii="Book Antiqua" w:hAnsi="Book Antiqua"/>
          <w:szCs w:val="20"/>
        </w:rPr>
        <w:t>.</w:t>
      </w:r>
    </w:p>
    <w:p w14:paraId="00463BD1" w14:textId="77777777" w:rsidR="00367E1E" w:rsidRP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rPr>
        <w:t xml:space="preserve">Tata pemerintahan yang baik dalam masyarakat hanya dapat dicapai melalui proses yang dikelola dengan baik. Proses semacam itu juga berarti bahwa pemerintah dikelola dengan baik dan inklusif dan memberikan hasil yang diinginkan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{"citationItems":[{"id":"ITEM-1","itemData":{"DOI":"10.2753/PIN1099-9922130401","ISSN":"15580989","abstract":"Good governance is important for development despite differences in the way it is defined. This article examines the concept of good governance and analyzes its use by developmental aid donor organizations. The study reveals that donors have conflicting ideas about good governance that converge around five principles: accountability, efficiency and effectiveness, openness and transparency, participation, and rule of law. The article concludes with a critical reflection on the use of the concept by aid donors and warns against treating it as a one-best-way development strategy.","author":[{"dropping-particle":"","family":"Doeveren","given":"Veerle","non-dropping-particle":"Van","parse-names":false,"suffix":""}],"container-title":"Public Integrity","id":"ITEM-1","issue":"4","issued":{"date-parts":[["2011"]]},"page":"301-318","title":"Rethinking Good Governance: Identifying Common Principles","type":"article-journal","volume":"13"},"uris":["http://www.mendeley.com/documents/?uuid=0be204aa-a77c-49c4-addd-2f1ecc2507a7"]}],"mendeley":{"formattedCitation":"(Van Doeveren, 2011)","plainTextFormattedCitation":"(Van Doeveren, 2011)","previouslyFormattedCitation":"(Van Doeveren, 2011)"},"properties":{"noteIndex":0},"schema":"https://github.com/citation-style-language/schema/raw/master/csl-citation.json"}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(Van Doeveren, 2011)</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{"citationItems":[{"id":"ITEM-1","itemData":{"DOI":"10.1080/02589001.2015.1065576","ISSN":"14699397","abstract":"This paper argues for seeing African land tenure regimes as institutional configurations that have been defined and redefined as part of state-building projects. Land regimes have built state authority in the rural areas, fixed populations in rural territories, and organised rural society into political collectivities subject to central control. Land tenure regimes can be understood as varying across subnational jurisdictions (rather than as invariant across space) in ways that can be grasped in terms of a conceptual distinction between neo-customary and statist forms (rather than as infinitely diverse). Differences between the two have implications for the character of political authority in the rural areas, the nature of political identities and community structure, and the nature of property and land claims. These political effects are visible in differences in the forms of local protest and resistance to commercial land acquisitions in peri-urban Kumasi, Ghana, where a neo-customary land regime prevails, and the Kiru Valley of northern Tanzania, where land institutions are decidedly statist.","author":[{"dropping-particle":"","family":"Boone","given":"Catherine","non-dropping-particle":"","parse-names":false,"suffix":""}],"container-title":"Journal of Contemporary African Studies","id":"ITEM-1","issue":"2","issued":{"date-parts":[["2015"]]},"page":"171-190","title":"Land tenure regimes and state structure in rural Africa: Implications for forms of resistance to large-scale land acquisitions by outsiders","type":"article-journal","volume":"33"},"uris":["http://www.mendeley.com/documents/?uuid=4208ad60-c51b-4fef-b214-179e69c83ef4"]}],"mendeley":{"formattedCitation":"(Boone, 2015)","plainTextFormattedCitation":"(Boone, 2015)","previouslyFormattedCitation":"(Boone, 2015)"},"properties":{"noteIndex":0},"schema":"https://github.com/citation-style-language/schema/raw/master/csl-citation.json"}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(Boone, 2015)</w:t>
      </w:r>
      <w:r w:rsidRPr="00367E1E">
        <w:rPr>
          <w:rFonts w:ascii="Book Antiqua" w:hAnsi="Book Antiqua"/>
          <w:szCs w:val="20"/>
        </w:rPr>
        <w:fldChar w:fldCharType="end"/>
      </w:r>
      <w:r w:rsidRPr="00367E1E">
        <w:rPr>
          <w:rFonts w:ascii="Book Antiqua" w:hAnsi="Book Antiqua"/>
          <w:szCs w:val="20"/>
          <w:lang w:val="id-ID"/>
        </w:rPr>
        <w:t xml:space="preserve">, juga salah satu diantaranya </w:t>
      </w:r>
      <w:r w:rsidRPr="00367E1E">
        <w:rPr>
          <w:rFonts w:ascii="Book Antiqua" w:hAnsi="Book Antiqua"/>
          <w:szCs w:val="20"/>
        </w:rPr>
        <w:t xml:space="preserve">tata kelola yang baik dalam </w:t>
      </w:r>
      <w:r w:rsidRPr="00367E1E">
        <w:rPr>
          <w:rFonts w:ascii="Book Antiqua" w:hAnsi="Book Antiqua"/>
          <w:szCs w:val="20"/>
          <w:lang w:val="id-ID"/>
        </w:rPr>
        <w:t>kebijakan</w:t>
      </w:r>
      <w:r w:rsidRPr="00367E1E">
        <w:rPr>
          <w:rFonts w:ascii="Book Antiqua" w:hAnsi="Book Antiqua"/>
          <w:szCs w:val="20"/>
        </w:rPr>
        <w:t xml:space="preserve"> pertanahan</w:t>
      </w:r>
      <w:r w:rsidRPr="00367E1E">
        <w:rPr>
          <w:rFonts w:ascii="Book Antiqua" w:hAnsi="Book Antiqua"/>
          <w:szCs w:val="20"/>
          <w:lang w:val="id-ID"/>
        </w:rPr>
        <w:t xml:space="preserve"> (</w:t>
      </w:r>
      <w:r w:rsidRPr="00367E1E">
        <w:rPr>
          <w:rFonts w:ascii="Book Antiqua" w:hAnsi="Book Antiqua"/>
          <w:i/>
          <w:szCs w:val="20"/>
          <w:lang w:val="id-ID"/>
        </w:rPr>
        <w:t>Good Land Governance</w:t>
      </w:r>
      <w:r w:rsidRPr="00367E1E">
        <w:rPr>
          <w:rFonts w:ascii="Book Antiqua" w:hAnsi="Book Antiqua"/>
          <w:szCs w:val="20"/>
          <w:lang w:val="id-ID"/>
        </w:rPr>
        <w:t>).</w:t>
      </w:r>
    </w:p>
    <w:p w14:paraId="2171742E" w14:textId="0687A969" w:rsid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lastRenderedPageBreak/>
        <w:t xml:space="preserve">Menurut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{"citationItems":[{"id":"ITEM-1","itemData":{"ISBN":"9789251057537","ISSN":"02511894","abstract":"This article presents the framework, key thinking and conclusions of the recently published FAO guide on Good governance in land tenure and administration (FAO, 2007a). Land is the single greatest resource in most countries. However, land administration systems often fail as a result of weak governance. Failings in governance have adverse consequences for society as a whole. In contrast, good governance can help to achieve economic development and reduce poverty. Land administrators may be part of the overall problem of governance, or they can, and should, be part of the solution. Their role is critical. Achieving good governance in land tenure and administration is not easy but it is attainable.","author":[{"dropping-particle":"","family":"Grover","given":"Richard","non-dropping-particle":"","parse-names":false,"suffix":""},{"dropping-particle":"","family":"Törhönen","given":"Mika Petteri","non-dropping-particle":"","parse-names":false,"suffix":""},{"dropping-particle":"","family":"Palmer","given":"David","non-dropping-particle":"","parse-names":false,"suffix":""},{"dropping-particle":"","family":"Munro-Faure","given":"Paul","non-dropping-particle":"","parse-names":false,"suffix":""}],"container-title":"Land Reform, Land Settlement and Cooperatives","id":"ITEM-1","issue":"2","issued":{"date-parts":[["2007"]]},"number-of-pages":"6-17","title":"Good governance in land administration and land tenure","type":"book"},"uris":["http://www.mendeley.com/documents/?uuid=6715e227-6854-44f7-93d5-be6bc50d9d6a"]}],"mendeley":{"formattedCitation":"(Grover &lt;i&gt;et al.&lt;/i&gt;, 2007)","plainTextFormattedCitation":"(Grover et al., 2007)","previouslyFormattedCitation":"(Grover &lt;i&gt;et al.&lt;/i&gt;, 2007)"},"properties":{"noteIndex":0},"schema":"https://github.com/citation-style-language/schema/raw/master/csl-citation.json"}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 xml:space="preserve">(Grover </w:t>
      </w:r>
      <w:r w:rsidRPr="00367E1E">
        <w:rPr>
          <w:rFonts w:ascii="Book Antiqua" w:hAnsi="Book Antiqua"/>
          <w:i/>
          <w:szCs w:val="20"/>
        </w:rPr>
        <w:t>et al.</w:t>
      </w:r>
      <w:r w:rsidRPr="00367E1E">
        <w:rPr>
          <w:rFonts w:ascii="Book Antiqua" w:hAnsi="Book Antiqua"/>
          <w:szCs w:val="20"/>
        </w:rPr>
        <w:t>, 2007)</w:t>
      </w:r>
      <w:r w:rsidRPr="00367E1E">
        <w:rPr>
          <w:rFonts w:ascii="Book Antiqua" w:hAnsi="Book Antiqua"/>
          <w:szCs w:val="20"/>
        </w:rPr>
        <w:fldChar w:fldCharType="end"/>
      </w:r>
      <w:r w:rsidRPr="00367E1E">
        <w:rPr>
          <w:rFonts w:ascii="Book Antiqua" w:hAnsi="Book Antiqua"/>
          <w:szCs w:val="20"/>
          <w:lang w:val="id-ID"/>
        </w:rPr>
        <w:t xml:space="preserve">; </w:t>
      </w:r>
      <w:r w:rsidRPr="00367E1E">
        <w:rPr>
          <w:rFonts w:ascii="Book Antiqua" w:hAnsi="Book Antiqua"/>
          <w:szCs w:val="20"/>
          <w:lang w:val="id-ID"/>
        </w:rPr>
        <w:fldChar w:fldCharType="begin" w:fldLock="1"/>
      </w:r>
      <w:r w:rsidRPr="00367E1E">
        <w:rPr>
          <w:rFonts w:ascii="Book Antiqua" w:hAnsi="Book Antiqua"/>
          <w:szCs w:val="20"/>
          <w:lang w:val="id-ID"/>
        </w:rPr>
        <w:instrText>ADDIN CSL_CITATION {"citationItems":[{"id":"ITEM-1","itemData":{"DOI":"10.1080/14498596.2016.1145619","ISBN":"9781498719612","ISSN":"1449-8596","abstract":"Towards responsible land administration / Walter T. de Vries, Rohan M. Bennett, Jaap Zevenbergen -- Pro-poor land administration / Marie Christine Simbizi, Rohan M. Bennett, Jaap Zevenbergen -- Land administration for food security / Rohan M. Bennett, Georgina Rockson, Solomon A. Haile, Joe Nasr, and Liza Groenendijk -- Urbanization, land administration, and good-enough governance / Berhanu K. Alemie, Rohan M. Bennett, Jaap Zevenbergen -- Land administration for post-conflict contexts / Dimo Todorovski, Jaap Zevenbergen, Paul van der Molen -- Land administration crowds, clouds and the state / Peter Laarakker, Jaap Zevenbergen, Yola Georgiadou -- The point cadastre / Walter T. de Vries, Co Meijer, Susan Keuber, Bert Raidt -- The digital pen method / Didier Milindi Rugema, Jeroen Verplanke, Christiaan Lemmen -- Accelerated land administration updates / Mireille Biraro, Rohan M. Bennett, Christiaan Lemmen -- Towards fit-for-purpose land consolidation / Rohan M. Bennett, Fikerte A. Yimer, Christiaan Lemmen -- Dynamic nomadic cadastres / Monica Lengoiboni, Arnold Bregt, Paul van der Molen -- Land administration impacts on land use change / Peter Fosudo, Rohan M. Bennett, Jaap Zevenbergen -- Environmental protection via land administration / Yelena Romero, Jaap Zevenbergen, Kees Bronsveld -- Displacement and land administration / Potel Jossam, Paul van der Molen, Luc Boerboom, Dimo Todorovski, Walter T. de Vries -- Social tenure domain model : an emerging land governance tool / Danilo Antonio, Jaap Zevenbergen, Clarissa Augustinus -- Future directions in responsible land administration / Jaap Zevenbergen, Walter T. de Vries, Rohan M. Bennett.","author":[{"dropping-particle":"","family":"Zevenbergen","given":"Jaap","non-dropping-particle":"","parse-names":false,"suffix":""},{"dropping-particle":"De","family":"Vries","given":"Walter","non-dropping-particle":"","parse-names":false,"suffix":""},{"dropping-particle":"","family":"Bennett","given":"Rohan","non-dropping-particle":"","parse-names":false,"suffix":""}],"container-title":"Journal of Spatial Science","id":"ITEM-1","issue":"1","issued":{"date-parts":[["2016"]]},"number-of-pages":"253-254","title":"Advances in responsible land administration","type":"book","volume":"61"},"uris":["http://www.mendeley.com/documents/?uuid=fbf147f4-b9fe-4411-ab9b-8c83beca92b1"]}],"mendeley":{"formattedCitation":"(Zevenbergen, Vries and Bennett, 2016)","plainTextFormattedCitation":"(Zevenbergen, Vries and Bennett, 2016)","previouslyFormattedCitation":"(Zevenbergen, Vries and Bennett, 2016)"},"properties":{"noteIndex":0},"schema":"https://github.com/citation-style-language/schema/raw/master/csl-citation.json"}</w:instrText>
      </w:r>
      <w:r w:rsidRPr="00367E1E">
        <w:rPr>
          <w:rFonts w:ascii="Book Antiqua" w:hAnsi="Book Antiqua"/>
          <w:szCs w:val="20"/>
          <w:lang w:val="id-ID"/>
        </w:rPr>
        <w:fldChar w:fldCharType="separate"/>
      </w:r>
      <w:r w:rsidRPr="00367E1E">
        <w:rPr>
          <w:rFonts w:ascii="Book Antiqua" w:hAnsi="Book Antiqua"/>
          <w:szCs w:val="20"/>
          <w:lang w:val="id-ID"/>
        </w:rPr>
        <w:t>(Zevenbergen, Vries and Bennett, 2016)</w:t>
      </w:r>
      <w:r w:rsidRPr="00367E1E">
        <w:rPr>
          <w:rFonts w:ascii="Book Antiqua" w:hAnsi="Book Antiqua"/>
          <w:szCs w:val="20"/>
        </w:rPr>
        <w:fldChar w:fldCharType="end"/>
      </w:r>
      <w:r w:rsidRPr="00367E1E">
        <w:rPr>
          <w:rFonts w:ascii="Book Antiqua" w:hAnsi="Book Antiqua"/>
          <w:szCs w:val="20"/>
        </w:rPr>
        <w:t xml:space="preserve">, </w:t>
      </w:r>
      <w:r w:rsidRPr="00367E1E">
        <w:rPr>
          <w:rFonts w:ascii="Book Antiqua" w:hAnsi="Book Antiqua"/>
          <w:i/>
          <w:szCs w:val="20"/>
          <w:lang w:val="id-ID"/>
        </w:rPr>
        <w:t>Good Land Governance</w:t>
      </w:r>
      <w:r w:rsidRPr="00367E1E">
        <w:rPr>
          <w:rFonts w:ascii="Book Antiqua" w:hAnsi="Book Antiqua"/>
          <w:szCs w:val="20"/>
        </w:rPr>
        <w:t xml:space="preserve"> melibatkan proses yang lebih partisipatif dan transparan dan bertujuan untuk melindungi hak milik individu dan perusahaan berdasarkan seperangkat prinsip yang berlaku umum. Prinsip-prinsip ini dapat dijalankan melalui keadilan, efisiensi, transparansi dan akuntabilitas, partisipasi publik, dan keamanan, sebagaimana didefinisikan di bawah ini.</w:t>
      </w:r>
    </w:p>
    <w:p w14:paraId="1D7ACF87" w14:textId="52AAF145" w:rsidR="00367E1E" w:rsidRDefault="00367E1E" w:rsidP="00367E1E">
      <w:pPr>
        <w:spacing w:after="0" w:line="276" w:lineRule="auto"/>
        <w:ind w:firstLine="851"/>
        <w:jc w:val="both"/>
        <w:rPr>
          <w:rFonts w:ascii="Book Antiqua" w:hAnsi="Book Antiqua"/>
          <w:szCs w:val="20"/>
        </w:rPr>
      </w:pPr>
    </w:p>
    <w:p w14:paraId="25CEA86B" w14:textId="49824747" w:rsidR="00367E1E" w:rsidRDefault="00367E1E" w:rsidP="00367E1E">
      <w:pPr>
        <w:spacing w:after="0" w:line="276" w:lineRule="auto"/>
        <w:ind w:firstLine="851"/>
        <w:jc w:val="center"/>
        <w:rPr>
          <w:rFonts w:ascii="Book Antiqua" w:hAnsi="Book Antiqua"/>
          <w:b/>
          <w:szCs w:val="20"/>
          <w:lang w:val="id-ID"/>
        </w:rPr>
      </w:pPr>
      <w:r w:rsidRPr="00367E1E">
        <w:rPr>
          <w:rFonts w:ascii="Book Antiqua" w:hAnsi="Book Antiqua"/>
          <w:b/>
          <w:szCs w:val="20"/>
          <w:lang w:val="id-ID"/>
        </w:rPr>
        <w:t>Gambar 2. Konsep Good Land Governance</w:t>
      </w:r>
    </w:p>
    <w:p w14:paraId="25F55A04" w14:textId="77777777" w:rsidR="00367E1E" w:rsidRPr="00367E1E" w:rsidRDefault="00367E1E" w:rsidP="00367E1E">
      <w:pPr>
        <w:spacing w:after="0" w:line="276" w:lineRule="auto"/>
        <w:ind w:firstLine="851"/>
        <w:jc w:val="center"/>
        <w:rPr>
          <w:rFonts w:ascii="Book Antiqua" w:hAnsi="Book Antiqua"/>
          <w:b/>
          <w:szCs w:val="20"/>
          <w:lang w:val="id-ID"/>
        </w:rPr>
      </w:pPr>
    </w:p>
    <w:p w14:paraId="1882C57B"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67456" behindDoc="0" locked="0" layoutInCell="1" allowOverlap="1" wp14:anchorId="0ED8B76C" wp14:editId="2B0159E5">
                <wp:simplePos x="0" y="0"/>
                <wp:positionH relativeFrom="column">
                  <wp:posOffset>1376680</wp:posOffset>
                </wp:positionH>
                <wp:positionV relativeFrom="paragraph">
                  <wp:posOffset>110652</wp:posOffset>
                </wp:positionV>
                <wp:extent cx="3051810" cy="3218180"/>
                <wp:effectExtent l="0" t="0" r="15240" b="20320"/>
                <wp:wrapNone/>
                <wp:docPr id="8" name="Oval 8"/>
                <wp:cNvGraphicFramePr/>
                <a:graphic xmlns:a="http://schemas.openxmlformats.org/drawingml/2006/main">
                  <a:graphicData uri="http://schemas.microsoft.com/office/word/2010/wordprocessingShape">
                    <wps:wsp>
                      <wps:cNvSpPr/>
                      <wps:spPr>
                        <a:xfrm>
                          <a:off x="0" y="0"/>
                          <a:ext cx="3051810" cy="321818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59BA98" id="Oval 8" o:spid="_x0000_s1026" style="position:absolute;margin-left:108.4pt;margin-top:8.7pt;width:240.3pt;height:253.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" fillcolor="white [3201]" strokecolor="#4472c4 [3204]" strokeweight="1pt">
                <v:stroke joinstyle="miter"/>
              </v:oval>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68480" behindDoc="0" locked="0" layoutInCell="1" allowOverlap="1" wp14:anchorId="6DE25E63" wp14:editId="204BDEA6">
                <wp:simplePos x="0" y="0"/>
                <wp:positionH relativeFrom="column">
                  <wp:posOffset>2113280</wp:posOffset>
                </wp:positionH>
                <wp:positionV relativeFrom="paragraph">
                  <wp:posOffset>-1743</wp:posOffset>
                </wp:positionV>
                <wp:extent cx="1579418" cy="653142"/>
                <wp:effectExtent l="57150" t="38100" r="59055" b="71120"/>
                <wp:wrapNone/>
                <wp:docPr id="9" name="Rounded Rectangle 9"/>
                <wp:cNvGraphicFramePr/>
                <a:graphic xmlns:a="http://schemas.openxmlformats.org/drawingml/2006/main">
                  <a:graphicData uri="http://schemas.microsoft.com/office/word/2010/wordprocessingShape">
                    <wps:wsp>
                      <wps:cNvSpPr/>
                      <wps:spPr>
                        <a:xfrm>
                          <a:off x="0" y="0"/>
                          <a:ext cx="1579418" cy="653142"/>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3ABF1964"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Efisiensi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E25E63" id="Rounded Rectangle 9" o:spid="_x0000_s1029" style="position:absolute;left:0;text-align:left;margin-left:166.4pt;margin-top:-.15pt;width:124.35pt;height:51.4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" fillcolor="#4f7ac7 [3028]" stroked="f">
                <v:fill color2="#416fc3 [3172]" rotate="t" colors="0 #6083cb;.5 #3e70ca;1 #2e61ba" focus="100%" type="gradient">
                  <o:fill v:ext="view" type="gradientUnscaled"/>
                </v:fill>
                <v:shadow on="t" color="black" opacity="41287f" offset="0,1.5pt"/>
                <v:textbox>
                  <w:txbxContent>
                    <w:p w14:paraId="3ABF1964"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Efisiensi</w:t>
                      </w:r>
                    </w:p>
                  </w:txbxContent>
                </v:textbox>
              </v:roundrect>
            </w:pict>
          </mc:Fallback>
        </mc:AlternateContent>
      </w:r>
    </w:p>
    <w:p w14:paraId="6BDECD75" w14:textId="77777777" w:rsidR="00367E1E" w:rsidRPr="00367E1E" w:rsidRDefault="00367E1E" w:rsidP="00367E1E">
      <w:pPr>
        <w:spacing w:after="0" w:line="276" w:lineRule="auto"/>
        <w:ind w:firstLine="851"/>
        <w:jc w:val="both"/>
        <w:rPr>
          <w:rFonts w:ascii="Book Antiqua" w:hAnsi="Book Antiqua"/>
          <w:szCs w:val="20"/>
          <w:lang w:val="id-ID"/>
        </w:rPr>
      </w:pPr>
    </w:p>
    <w:p w14:paraId="5D7CF02C" w14:textId="30CD692B" w:rsidR="00367E1E" w:rsidRPr="00367E1E" w:rsidRDefault="00367E1E" w:rsidP="00367E1E">
      <w:pPr>
        <w:spacing w:after="0" w:line="276" w:lineRule="auto"/>
        <w:ind w:firstLine="851"/>
        <w:jc w:val="both"/>
        <w:rPr>
          <w:rFonts w:ascii="Book Antiqua" w:hAnsi="Book Antiqua"/>
          <w:szCs w:val="20"/>
          <w:lang w:val="id-ID"/>
        </w:rPr>
      </w:pPr>
    </w:p>
    <w:p w14:paraId="1D16ACC4" w14:textId="5064EEDC" w:rsidR="00367E1E" w:rsidRPr="00367E1E" w:rsidRDefault="00367E1E" w:rsidP="00367E1E">
      <w:pPr>
        <w:spacing w:after="0" w:line="276" w:lineRule="auto"/>
        <w:ind w:firstLine="851"/>
        <w:jc w:val="both"/>
        <w:rPr>
          <w:rFonts w:ascii="Book Antiqua" w:hAnsi="Book Antiqua"/>
          <w:szCs w:val="20"/>
          <w:lang w:val="id-ID"/>
        </w:rPr>
      </w:pPr>
    </w:p>
    <w:p w14:paraId="09EE9A72" w14:textId="4B2C5F10" w:rsidR="00367E1E" w:rsidRPr="00367E1E" w:rsidRDefault="00367E1E" w:rsidP="00367E1E">
      <w:pPr>
        <w:spacing w:after="0" w:line="276" w:lineRule="auto"/>
        <w:ind w:firstLine="851"/>
        <w:jc w:val="both"/>
        <w:rPr>
          <w:rFonts w:ascii="Book Antiqua" w:hAnsi="Book Antiqua"/>
          <w:szCs w:val="20"/>
        </w:rPr>
      </w:pPr>
      <w:r w:rsidRPr="00367E1E">
        <w:rPr>
          <w:rFonts w:ascii="Book Antiqua" w:hAnsi="Book Antiqua"/>
          <w:noProof/>
          <w:szCs w:val="20"/>
          <w:lang w:val="id-ID" w:eastAsia="id-ID"/>
        </w:rPr>
        <mc:AlternateContent>
          <mc:Choice Requires="wps">
            <w:drawing>
              <wp:anchor distT="0" distB="0" distL="114300" distR="114300" simplePos="0" relativeHeight="251673600" behindDoc="0" locked="0" layoutInCell="1" allowOverlap="1" wp14:anchorId="19A94253" wp14:editId="5E65C6C3">
                <wp:simplePos x="0" y="0"/>
                <wp:positionH relativeFrom="column">
                  <wp:posOffset>3595370</wp:posOffset>
                </wp:positionH>
                <wp:positionV relativeFrom="paragraph">
                  <wp:posOffset>187163</wp:posOffset>
                </wp:positionV>
                <wp:extent cx="1579245" cy="652780"/>
                <wp:effectExtent l="57150" t="38100" r="59055" b="71120"/>
                <wp:wrapNone/>
                <wp:docPr id="14" name="Rounded Rectangle 14"/>
                <wp:cNvGraphicFramePr/>
                <a:graphic xmlns:a="http://schemas.openxmlformats.org/drawingml/2006/main">
                  <a:graphicData uri="http://schemas.microsoft.com/office/word/2010/wordprocessingShape">
                    <wps:wsp>
                      <wps:cNvSpPr/>
                      <wps:spPr>
                        <a:xfrm>
                          <a:off x="0" y="0"/>
                          <a:ext cx="1579245" cy="65278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503DEB64"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Kesetaraan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A94253" id="Rounded Rectangle 14" o:spid="_x0000_s1030" style="position:absolute;left:0;text-align:left;margin-left:283.1pt;margin-top:14.75pt;width:124.35pt;height:51.4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" fillcolor="#4f7ac7 [3028]" stroked="f">
                <v:fill color2="#416fc3 [3172]" rotate="t" colors="0 #6083cb;.5 #3e70ca;1 #2e61ba" focus="100%" type="gradient">
                  <o:fill v:ext="view" type="gradientUnscaled"/>
                </v:fill>
                <v:shadow on="t" color="black" opacity="41287f" offset="0,1.5pt"/>
                <v:textbox>
                  <w:txbxContent>
                    <w:p w14:paraId="503DEB64"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Kesetaraan </w:t>
                      </w:r>
                    </w:p>
                  </w:txbxContent>
                </v:textbox>
              </v:roundrect>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69504" behindDoc="0" locked="0" layoutInCell="1" allowOverlap="1" wp14:anchorId="0AEEBA72" wp14:editId="1D034949">
                <wp:simplePos x="0" y="0"/>
                <wp:positionH relativeFrom="column">
                  <wp:posOffset>534035</wp:posOffset>
                </wp:positionH>
                <wp:positionV relativeFrom="paragraph">
                  <wp:posOffset>161763</wp:posOffset>
                </wp:positionV>
                <wp:extent cx="1579245" cy="652780"/>
                <wp:effectExtent l="57150" t="38100" r="59055" b="71120"/>
                <wp:wrapNone/>
                <wp:docPr id="10" name="Rounded Rectangle 10"/>
                <wp:cNvGraphicFramePr/>
                <a:graphic xmlns:a="http://schemas.openxmlformats.org/drawingml/2006/main">
                  <a:graphicData uri="http://schemas.microsoft.com/office/word/2010/wordprocessingShape">
                    <wps:wsp>
                      <wps:cNvSpPr/>
                      <wps:spPr>
                        <a:xfrm>
                          <a:off x="0" y="0"/>
                          <a:ext cx="1579245" cy="65278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727C41E7"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Keamanan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EEBA72" id="Rounded Rectangle 10" o:spid="_x0000_s1031" style="position:absolute;left:0;text-align:left;margin-left:42.05pt;margin-top:12.75pt;width:124.35pt;height:51.4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" fillcolor="#4f7ac7 [3028]" stroked="f">
                <v:fill color2="#416fc3 [3172]" rotate="t" colors="0 #6083cb;.5 #3e70ca;1 #2e61ba" focus="100%" type="gradient">
                  <o:fill v:ext="view" type="gradientUnscaled"/>
                </v:fill>
                <v:shadow on="t" color="black" opacity="41287f" offset="0,1.5pt"/>
                <v:textbox>
                  <w:txbxContent>
                    <w:p w14:paraId="727C41E7"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Keamanan</w:t>
                      </w:r>
                    </w:p>
                  </w:txbxContent>
                </v:textbox>
              </v:roundrect>
            </w:pict>
          </mc:Fallback>
        </mc:AlternateContent>
      </w:r>
      <w:r w:rsidRPr="00367E1E">
        <w:rPr>
          <w:rFonts w:ascii="Book Antiqua" w:hAnsi="Book Antiqua"/>
          <w:szCs w:val="20"/>
        </w:rPr>
        <w:br/>
      </w:r>
    </w:p>
    <w:p w14:paraId="21A7C695" w14:textId="0407592F" w:rsidR="00367E1E" w:rsidRPr="00367E1E" w:rsidRDefault="00367E1E" w:rsidP="00367E1E">
      <w:pPr>
        <w:spacing w:after="0" w:line="276" w:lineRule="auto"/>
        <w:ind w:firstLine="851"/>
        <w:jc w:val="both"/>
        <w:rPr>
          <w:rFonts w:ascii="Book Antiqua" w:hAnsi="Book Antiqua"/>
          <w:szCs w:val="20"/>
        </w:rPr>
      </w:pPr>
    </w:p>
    <w:p w14:paraId="3C79FA53" w14:textId="64D61969" w:rsidR="00367E1E" w:rsidRPr="00367E1E" w:rsidRDefault="00367E1E" w:rsidP="00367E1E">
      <w:pPr>
        <w:spacing w:after="0" w:line="276" w:lineRule="auto"/>
        <w:ind w:firstLine="851"/>
        <w:jc w:val="both"/>
        <w:rPr>
          <w:rFonts w:ascii="Book Antiqua" w:hAnsi="Book Antiqua"/>
          <w:szCs w:val="20"/>
        </w:rPr>
      </w:pPr>
    </w:p>
    <w:p w14:paraId="2E8524D6" w14:textId="5537C3BD" w:rsidR="00367E1E" w:rsidRPr="00367E1E" w:rsidRDefault="00367E1E" w:rsidP="00367E1E">
      <w:pPr>
        <w:spacing w:after="0" w:line="276" w:lineRule="auto"/>
        <w:ind w:firstLine="851"/>
        <w:jc w:val="both"/>
        <w:rPr>
          <w:rFonts w:ascii="Book Antiqua" w:hAnsi="Book Antiqua"/>
          <w:szCs w:val="20"/>
          <w:lang w:val="id-ID"/>
        </w:rPr>
      </w:pPr>
    </w:p>
    <w:p w14:paraId="44E2E1AF" w14:textId="575CFF9A"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2576" behindDoc="0" locked="0" layoutInCell="1" allowOverlap="1" wp14:anchorId="7A5BDB0B" wp14:editId="4FA44A0F">
                <wp:simplePos x="0" y="0"/>
                <wp:positionH relativeFrom="column">
                  <wp:posOffset>3595370</wp:posOffset>
                </wp:positionH>
                <wp:positionV relativeFrom="paragraph">
                  <wp:posOffset>5080</wp:posOffset>
                </wp:positionV>
                <wp:extent cx="1579245" cy="652780"/>
                <wp:effectExtent l="57150" t="38100" r="59055" b="71120"/>
                <wp:wrapNone/>
                <wp:docPr id="43" name="Rounded Rectangle 43"/>
                <wp:cNvGraphicFramePr/>
                <a:graphic xmlns:a="http://schemas.openxmlformats.org/drawingml/2006/main">
                  <a:graphicData uri="http://schemas.microsoft.com/office/word/2010/wordprocessingShape">
                    <wps:wsp>
                      <wps:cNvSpPr/>
                      <wps:spPr>
                        <a:xfrm>
                          <a:off x="0" y="0"/>
                          <a:ext cx="1579245" cy="65278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23F92E4F"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Akuntabilitas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5BDB0B" id="Rounded Rectangle 43" o:spid="_x0000_s1032" style="position:absolute;left:0;text-align:left;margin-left:283.1pt;margin-top:.4pt;width:124.35pt;height:51.4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" fillcolor="#4f7ac7 [3028]" stroked="f">
                <v:fill color2="#416fc3 [3172]" rotate="t" colors="0 #6083cb;.5 #3e70ca;1 #2e61ba" focus="100%" type="gradient">
                  <o:fill v:ext="view" type="gradientUnscaled"/>
                </v:fill>
                <v:shadow on="t" color="black" opacity="41287f" offset="0,1.5pt"/>
                <v:textbox>
                  <w:txbxContent>
                    <w:p w14:paraId="23F92E4F"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Akuntabilitas </w:t>
                      </w:r>
                    </w:p>
                  </w:txbxContent>
                </v:textbox>
              </v:roundrect>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70528" behindDoc="0" locked="0" layoutInCell="1" allowOverlap="1" wp14:anchorId="6071BE62" wp14:editId="16FF1C2A">
                <wp:simplePos x="0" y="0"/>
                <wp:positionH relativeFrom="column">
                  <wp:posOffset>531495</wp:posOffset>
                </wp:positionH>
                <wp:positionV relativeFrom="paragraph">
                  <wp:posOffset>31277</wp:posOffset>
                </wp:positionV>
                <wp:extent cx="1579245" cy="652780"/>
                <wp:effectExtent l="57150" t="38100" r="59055" b="71120"/>
                <wp:wrapNone/>
                <wp:docPr id="11" name="Rounded Rectangle 11"/>
                <wp:cNvGraphicFramePr/>
                <a:graphic xmlns:a="http://schemas.openxmlformats.org/drawingml/2006/main">
                  <a:graphicData uri="http://schemas.microsoft.com/office/word/2010/wordprocessingShape">
                    <wps:wsp>
                      <wps:cNvSpPr/>
                      <wps:spPr>
                        <a:xfrm>
                          <a:off x="0" y="0"/>
                          <a:ext cx="1579245" cy="65278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29725C0D"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Partisipasi Publik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71BE62" id="Rounded Rectangle 11" o:spid="_x0000_s1033" style="position:absolute;left:0;text-align:left;margin-left:41.85pt;margin-top:2.45pt;width:124.35pt;height:51.4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" fillcolor="#4f7ac7 [3028]" stroked="f">
                <v:fill color2="#416fc3 [3172]" rotate="t" colors="0 #6083cb;.5 #3e70ca;1 #2e61ba" focus="100%" type="gradient">
                  <o:fill v:ext="view" type="gradientUnscaled"/>
                </v:fill>
                <v:shadow on="t" color="black" opacity="41287f" offset="0,1.5pt"/>
                <v:textbox>
                  <w:txbxContent>
                    <w:p w14:paraId="29725C0D"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Partisipasi Publik </w:t>
                      </w:r>
                    </w:p>
                  </w:txbxContent>
                </v:textbox>
              </v:roundrect>
            </w:pict>
          </mc:Fallback>
        </mc:AlternateContent>
      </w:r>
    </w:p>
    <w:p w14:paraId="37EA31CF" w14:textId="697451CD" w:rsidR="00367E1E" w:rsidRDefault="00367E1E" w:rsidP="00367E1E">
      <w:pPr>
        <w:spacing w:after="0" w:line="276" w:lineRule="auto"/>
        <w:ind w:firstLine="851"/>
        <w:jc w:val="both"/>
        <w:rPr>
          <w:rFonts w:ascii="Book Antiqua" w:hAnsi="Book Antiqua"/>
          <w:szCs w:val="20"/>
          <w:lang w:val="id-ID"/>
        </w:rPr>
      </w:pPr>
    </w:p>
    <w:p w14:paraId="59930864" w14:textId="26FA8978" w:rsidR="00367E1E" w:rsidRDefault="00367E1E" w:rsidP="00367E1E">
      <w:pPr>
        <w:spacing w:after="0" w:line="276" w:lineRule="auto"/>
        <w:ind w:firstLine="851"/>
        <w:jc w:val="both"/>
        <w:rPr>
          <w:rFonts w:ascii="Book Antiqua" w:hAnsi="Book Antiqua"/>
          <w:szCs w:val="20"/>
          <w:lang w:val="id-ID"/>
        </w:rPr>
      </w:pPr>
    </w:p>
    <w:p w14:paraId="6EC34F80" w14:textId="2C2F1A0D" w:rsidR="00367E1E" w:rsidRDefault="00367E1E" w:rsidP="00367E1E">
      <w:pPr>
        <w:spacing w:after="0" w:line="276" w:lineRule="auto"/>
        <w:ind w:firstLine="851"/>
        <w:jc w:val="both"/>
        <w:rPr>
          <w:rFonts w:ascii="Book Antiqua" w:hAnsi="Book Antiqua"/>
          <w:szCs w:val="20"/>
          <w:lang w:val="id-ID"/>
        </w:rPr>
      </w:pPr>
    </w:p>
    <w:p w14:paraId="51734086" w14:textId="26072936" w:rsid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1552" behindDoc="0" locked="0" layoutInCell="1" allowOverlap="1" wp14:anchorId="021F302A" wp14:editId="5AF3E814">
                <wp:simplePos x="0" y="0"/>
                <wp:positionH relativeFrom="column">
                  <wp:posOffset>2107565</wp:posOffset>
                </wp:positionH>
                <wp:positionV relativeFrom="paragraph">
                  <wp:posOffset>160493</wp:posOffset>
                </wp:positionV>
                <wp:extent cx="1579245" cy="652780"/>
                <wp:effectExtent l="57150" t="38100" r="59055" b="71120"/>
                <wp:wrapNone/>
                <wp:docPr id="44" name="Rounded Rectangle 44"/>
                <wp:cNvGraphicFramePr/>
                <a:graphic xmlns:a="http://schemas.openxmlformats.org/drawingml/2006/main">
                  <a:graphicData uri="http://schemas.microsoft.com/office/word/2010/wordprocessingShape">
                    <wps:wsp>
                      <wps:cNvSpPr/>
                      <wps:spPr>
                        <a:xfrm>
                          <a:off x="0" y="0"/>
                          <a:ext cx="1579245" cy="65278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23421FEA"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Transparansi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1F302A" id="Rounded Rectangle 44" o:spid="_x0000_s1034" style="position:absolute;left:0;text-align:left;margin-left:165.95pt;margin-top:12.65pt;width:124.35pt;height:51.4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" fillcolor="#4f7ac7 [3028]" stroked="f">
                <v:fill color2="#416fc3 [3172]" rotate="t" colors="0 #6083cb;.5 #3e70ca;1 #2e61ba" focus="100%" type="gradient">
                  <o:fill v:ext="view" type="gradientUnscaled"/>
                </v:fill>
                <v:shadow on="t" color="black" opacity="41287f" offset="0,1.5pt"/>
                <v:textbox>
                  <w:txbxContent>
                    <w:p w14:paraId="23421FEA" w14:textId="77777777" w:rsidR="00367E1E" w:rsidRPr="000E01D8" w:rsidRDefault="00367E1E" w:rsidP="00367E1E">
                      <w:pPr>
                        <w:jc w:val="center"/>
                        <w:rPr>
                          <w:rFonts w:ascii="Times New Roman" w:hAnsi="Times New Roman" w:cs="Times New Roman"/>
                        </w:rPr>
                      </w:pPr>
                      <w:r w:rsidRPr="000E01D8">
                        <w:rPr>
                          <w:rFonts w:ascii="Times New Roman" w:hAnsi="Times New Roman" w:cs="Times New Roman"/>
                        </w:rPr>
                        <w:t xml:space="preserve">Transparansi </w:t>
                      </w:r>
                    </w:p>
                  </w:txbxContent>
                </v:textbox>
              </v:roundrect>
            </w:pict>
          </mc:Fallback>
        </mc:AlternateContent>
      </w:r>
    </w:p>
    <w:p w14:paraId="2331159A" w14:textId="77777777" w:rsidR="00367E1E" w:rsidRDefault="00367E1E" w:rsidP="00367E1E">
      <w:pPr>
        <w:spacing w:after="0" w:line="276" w:lineRule="auto"/>
        <w:ind w:firstLine="851"/>
        <w:jc w:val="both"/>
        <w:rPr>
          <w:rFonts w:ascii="Book Antiqua" w:hAnsi="Book Antiqua"/>
          <w:szCs w:val="20"/>
          <w:lang w:val="id-ID"/>
        </w:rPr>
      </w:pPr>
    </w:p>
    <w:p w14:paraId="5384FCCE" w14:textId="77777777" w:rsidR="00367E1E" w:rsidRDefault="00367E1E" w:rsidP="00367E1E">
      <w:pPr>
        <w:spacing w:after="0" w:line="276" w:lineRule="auto"/>
        <w:ind w:firstLine="851"/>
        <w:jc w:val="both"/>
        <w:rPr>
          <w:rFonts w:ascii="Book Antiqua" w:hAnsi="Book Antiqua"/>
          <w:szCs w:val="20"/>
          <w:lang w:val="id-ID"/>
        </w:rPr>
      </w:pPr>
    </w:p>
    <w:p w14:paraId="3EDC7ADA" w14:textId="77777777" w:rsidR="00367E1E" w:rsidRDefault="00367E1E" w:rsidP="00367E1E">
      <w:pPr>
        <w:spacing w:after="0" w:line="276" w:lineRule="auto"/>
        <w:ind w:firstLine="851"/>
        <w:jc w:val="both"/>
        <w:rPr>
          <w:rFonts w:ascii="Book Antiqua" w:hAnsi="Book Antiqua"/>
          <w:szCs w:val="20"/>
          <w:lang w:val="id-ID"/>
        </w:rPr>
      </w:pPr>
    </w:p>
    <w:p w14:paraId="65691015" w14:textId="77777777" w:rsidR="00367E1E" w:rsidRDefault="00367E1E" w:rsidP="00367E1E">
      <w:pPr>
        <w:spacing w:after="0" w:line="276" w:lineRule="auto"/>
        <w:ind w:firstLine="851"/>
        <w:jc w:val="both"/>
        <w:rPr>
          <w:rFonts w:ascii="Book Antiqua" w:hAnsi="Book Antiqua"/>
          <w:szCs w:val="20"/>
          <w:lang w:val="id-ID"/>
        </w:rPr>
      </w:pPr>
    </w:p>
    <w:p w14:paraId="74E1690A" w14:textId="77777777" w:rsidR="00367E1E" w:rsidRDefault="00367E1E" w:rsidP="00367E1E">
      <w:pPr>
        <w:spacing w:after="0" w:line="276" w:lineRule="auto"/>
        <w:ind w:firstLine="851"/>
        <w:jc w:val="both"/>
        <w:rPr>
          <w:rFonts w:ascii="Book Antiqua" w:hAnsi="Book Antiqua"/>
          <w:szCs w:val="20"/>
          <w:lang w:val="id-ID"/>
        </w:rPr>
      </w:pPr>
    </w:p>
    <w:p w14:paraId="3C2C2F7D" w14:textId="77777777" w:rsidR="00367E1E" w:rsidRP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 xml:space="preserve">Studi menunjukkan bahwa korupsi dan penyalahgunaan kekuasaan menantang keamanan kepemilikan tanah, yang berdampak buruk pada kepercayaan sektor swasta dalam mengamankan hak-hak properti, yang menyebabkan kurang dimanfaatkannya lahan. Karena itu, tata kelola yang baik dalam </w:t>
      </w:r>
      <w:r w:rsidRPr="00367E1E">
        <w:rPr>
          <w:rFonts w:ascii="Book Antiqua" w:hAnsi="Book Antiqua"/>
          <w:szCs w:val="20"/>
          <w:lang w:val="id-ID"/>
        </w:rPr>
        <w:t>sistem administrasi pertanahan</w:t>
      </w:r>
      <w:r w:rsidRPr="00367E1E">
        <w:rPr>
          <w:rFonts w:ascii="Book Antiqua" w:hAnsi="Book Antiqua"/>
          <w:szCs w:val="20"/>
        </w:rPr>
        <w:t xml:space="preserve"> sangat penting untuk mempromosikan pembangunan ekonomi dan memastikan manajemen yang baik melalui semua lapisan masyarakat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{"citationItems":[{"id":"ITEM-1","itemData":{"abstract":"To enable investigation of nematode mitochondrial DNA evolution, methodology has been developed to amplify intact nematode mitochondrial genomes in preparative yields using a rolling circle replication strategy. Successful reactions were gener- ated from whole cell template DNA prepared by alkaline lysis of the rhabditid nematode Caenorhabditis elegans and a mermithid nematode, Thaumamermis cosgrovei. These taxa, representing the two major nematode classes Chromodorea and Enoplea, maintain mitochondrial genomes of 13.8 kb and 20.0 kb, respectively. Efficient amplifications were conducted on template DNA isolated from individual or pooled nematodes that were alive or stored at −80°C. Unexpectedly, these experiments revealed that multiple T. cosgrovei mitochondrial DNA haplotypes are maintained in our local population. Rolling circle amplification products can be used as templates for standard PCR reactions with specific primers that target mitochondrial genes or for direct DNA sequencing.","author":[{"dropping-particle":"","family":"Blake","given":"Cecille","non-dropping-particle":"","parse-names":false,"suffix":""}],"id":"ITEM-1","issue":"July","issued":{"date-parts":[["2015"]]},"page":"1-28","title":"The Application of Geospatial Information – Land Administration and Management","type":"article-journal"},"uris":["http://www.mendeley.com/documents/?uuid=f6641606-9c04-4a40-bfb5-97a2e0a67afb"]}],"mendeley":{"formattedCitation":"(Blake, 2015)","plainTextFormattedCitation":"(Blake, 2015)","previouslyFormattedCitation":"(Blake, 2015)"},"properties":{"noteIndex":0},"schema":"https://github.com/citation-style-language/schema/raw/master/csl-citation.json"}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(Blake, 2015)</w:t>
      </w:r>
      <w:r w:rsidRPr="00367E1E">
        <w:rPr>
          <w:rFonts w:ascii="Book Antiqua" w:hAnsi="Book Antiqua"/>
          <w:szCs w:val="20"/>
        </w:rPr>
        <w:fldChar w:fldCharType="end"/>
      </w:r>
      <w:r w:rsidRPr="00367E1E">
        <w:rPr>
          <w:rFonts w:ascii="Book Antiqua" w:hAnsi="Book Antiqua"/>
          <w:szCs w:val="20"/>
        </w:rPr>
        <w:t xml:space="preserve">. </w:t>
      </w:r>
      <w:r w:rsidRPr="00367E1E">
        <w:rPr>
          <w:rFonts w:ascii="Book Antiqua" w:hAnsi="Book Antiqua"/>
          <w:szCs w:val="20"/>
          <w:lang w:val="id-ID"/>
        </w:rPr>
        <w:t>Kebijakan a</w:t>
      </w:r>
      <w:r w:rsidRPr="00367E1E">
        <w:rPr>
          <w:rFonts w:ascii="Book Antiqua" w:hAnsi="Book Antiqua"/>
          <w:szCs w:val="20"/>
        </w:rPr>
        <w:t xml:space="preserve">dministrasi lahan juga akan berhasil jika layanan yang disediakan di bawah sistem tersebut sesuai, dapat diakses, dapat diprediksi, dan dapat diandalkan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{"citationItems":[{"id":"ITEM-1","itemData":{"ISBN":"1876-4142","abstract":"This paper is based on a chapter in “New Perspectives on Natural Resource Management in the Sahel” (Simon Bolwig, Kjeld Rasmussen and Malene Kauffmann Hansen (eds.)), a technical report submitted to the Danish Agency for International Development Assistance (Danida). Through Danida, Denmark has established a long tradition of providing support to the countries in the Sahel region, starting with considerable contributions to the United Nations Sudano-Sahelian Office (UNSO) under UNDP during the 1980s and early 1990s. Since then, it has mainly provided bilateral support to Burkina Faso and Niger and now Mali. Harvesting experiences from development and research activities in the Sahel is already being carried out as part of regular and targeted review activities, with a view to updating Denmark’s development assistance programmes in the region. To contribute to this process, Danida commissioned the University of Copenhagen to carry out a study aimed at providing an overview of the lessons learnt from Danish (and to some extent international) activities in natural resources management in the Sahel, with a focus on Niger, Burkina Faso and Mali. The study objectives were to: i) ii) identify the most important operational experiences from two decades of Danish assistance to natural resources management in the Sahel extract from research findings the recent trends, as well as the key problems and drivers, related to natural resources management that are relevant to development assistance. The reports were coordinated by the Department of Geography and Geology at the University of Copenhagen. Sub-studies on pastoral systems and on local governance institutions were contributed by, respectively, the International Institute for Environment and Development (IIED) in Edinburgh and the Royal Tropical Institute (KIT) in Amsterdam, and integrated into the reports. It is expected that the full report will be published in 2008.","author":[{"dropping-particle":"","family":"Hilhorst","given":"Thea","non-dropping-particle":"","parse-names":false,"suffix":""}],"id":"ITEM-1","issued":{"date-parts":[["2008"]]},"page":"1-31","title":"Local governance institutions for sustainable natural resource management in Mali, Burkina Faso and Niger","type":"article-journal"},"uris":["http://www.mendeley.com/documents/?uuid=6783b08a-40ce-4a11-affa-653243dde469"]}],"mendeley":{"formattedCitation":"(Hilhorst, 2008)","plainTextFormattedCitation":"(Hilhorst, 2008)","previouslyFormattedCitation":"(Hilhorst, 2008)"},"properties":{"noteIndex":0},"schema":"https://github.com/citation-style-language/schema/raw/master/csl-citation.json"}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(Hilhorst, 2008)</w:t>
      </w:r>
      <w:r w:rsidRPr="00367E1E">
        <w:rPr>
          <w:rFonts w:ascii="Book Antiqua" w:hAnsi="Book Antiqua"/>
          <w:szCs w:val="20"/>
        </w:rPr>
        <w:fldChar w:fldCharType="end"/>
      </w:r>
      <w:r w:rsidRPr="00367E1E">
        <w:rPr>
          <w:rFonts w:ascii="Book Antiqua" w:hAnsi="Book Antiqua"/>
          <w:szCs w:val="20"/>
        </w:rPr>
        <w:t xml:space="preserve">. </w:t>
      </w:r>
      <w:r w:rsidRPr="00367E1E">
        <w:rPr>
          <w:rFonts w:ascii="Book Antiqua" w:hAnsi="Book Antiqua"/>
          <w:szCs w:val="20"/>
          <w:lang w:val="id-ID"/>
        </w:rPr>
        <w:t>Kebijakan sistem administrasi pertanahan</w:t>
      </w:r>
      <w:r w:rsidRPr="00367E1E">
        <w:rPr>
          <w:rFonts w:ascii="Book Antiqua" w:hAnsi="Book Antiqua"/>
          <w:szCs w:val="20"/>
        </w:rPr>
        <w:t xml:space="preserve"> yang efektif juga harus mencakup pengembangan kapasitas, pengembangan kelembagaan, dan interaksi </w:t>
      </w:r>
      <w:r w:rsidRPr="00367E1E">
        <w:rPr>
          <w:rFonts w:ascii="Book Antiqua" w:hAnsi="Book Antiqua"/>
          <w:szCs w:val="20"/>
        </w:rPr>
        <w:lastRenderedPageBreak/>
        <w:t>sosial dan fokus pada pengguna dan tidak hanya pada penyedia layanan administrasi pertanahan.</w:t>
      </w:r>
    </w:p>
    <w:p w14:paraId="0626A09C" w14:textId="01871F07" w:rsidR="00367E1E" w:rsidRDefault="00367E1E" w:rsidP="008579F2">
      <w:pPr>
        <w:spacing w:after="0" w:line="276" w:lineRule="auto"/>
        <w:ind w:firstLine="426"/>
        <w:jc w:val="both"/>
        <w:rPr>
          <w:rFonts w:ascii="Book Antiqua" w:hAnsi="Book Antiqua"/>
          <w:szCs w:val="20"/>
        </w:rPr>
      </w:pPr>
      <w:r w:rsidRPr="00367E1E">
        <w:rPr>
          <w:rFonts w:ascii="Book Antiqua" w:hAnsi="Book Antiqua"/>
          <w:szCs w:val="20"/>
        </w:rPr>
        <w:t xml:space="preserve">Beberapa manfaat dari penerapan </w:t>
      </w:r>
      <w:r w:rsidRPr="00367E1E">
        <w:rPr>
          <w:rFonts w:ascii="Book Antiqua" w:hAnsi="Book Antiqua"/>
          <w:i/>
          <w:szCs w:val="20"/>
          <w:lang w:val="id-ID"/>
        </w:rPr>
        <w:t>Good Land Governance</w:t>
      </w:r>
      <w:r w:rsidRPr="00367E1E">
        <w:rPr>
          <w:rFonts w:ascii="Book Antiqua" w:hAnsi="Book Antiqua"/>
          <w:szCs w:val="20"/>
        </w:rPr>
        <w:t xml:space="preserve"> </w:t>
      </w:r>
      <w:r w:rsidRPr="00367E1E">
        <w:rPr>
          <w:rFonts w:ascii="Book Antiqua" w:hAnsi="Book Antiqua"/>
          <w:szCs w:val="20"/>
        </w:rPr>
        <w:fldChar w:fldCharType="begin" w:fldLock="1"/>
      </w:r>
      <w:r w:rsidRPr="00367E1E">
        <w:rPr>
          <w:rFonts w:ascii="Book Antiqua" w:hAnsi="Book Antiqua"/>
          <w:szCs w:val="20"/>
        </w:rPr>
        <w:instrText>ADDIN CSL_CITATION {"citationItems":[{"id":"ITEM-1","itemData":{"ISBN":"9789251057537","ISSN":"02511894","abstract":"This article presents the framework, key thinking and conclusions of the recently published FAO guide on Good governance in land tenure and administration (FAO, 2007a). Land is the single greatest resource in most countries. However, land administration systems often fail as a result of weak governance. Failings in governance have adverse consequences for society as a whole. In contrast, good governance can help to achieve economic development and reduce poverty. Land administrators may be part of the overall problem of governance, or they can, and should, be part of the solution. Their role is critical. Achieving good governance in land tenure and administration is not easy but it is attainable.","author":[{"dropping-particle":"","family":"Grover","given":"Richard","non-dropping-particle":"","parse-names":false,"suffix":""},{"dropping-particle":"","family":"Törhönen","given":"Mika Petteri","non-dropping-particle":"","parse-names":false,"suffix":""},{"dropping-particle":"","family":"Palmer","given":"David","non-dropping-particle":"","parse-names":false,"suffix":""},{"dropping-particle":"","family":"Munro-Faure","given":"Paul","non-dropping-particle":"","parse-names":false,"suffix":""}],"container-title":"Land Reform, Land Settlement and Cooperatives","id":"ITEM-1","issue":"2","issued":{"date-parts":[["2007"]]},"number-of-pages":"6-17","title":"Good governance in land administration and land tenure","type":"book"},"uris":["http://www.mendeley.com/documents/?uuid=6715e227-6854-44f7-93d5-be6bc50d9d6a"]}],"mendeley":{"formattedCitation":"(Grover &lt;i&gt;et al.&lt;/i&gt;, 2007)","plainTextFormattedCitation":"(Grover et al., 2007)","previouslyFormattedCitation":"(Grover &lt;i&gt;et al.&lt;/i&gt;, 2007)"},"properties":{"noteIndex":0},"schema":"https://github.com/citation-style-language/schema/raw/master/csl-citation.json"}</w:instrText>
      </w:r>
      <w:r w:rsidRPr="00367E1E">
        <w:rPr>
          <w:rFonts w:ascii="Book Antiqua" w:hAnsi="Book Antiqua"/>
          <w:szCs w:val="20"/>
        </w:rPr>
        <w:fldChar w:fldCharType="separate"/>
      </w:r>
      <w:r w:rsidRPr="00367E1E">
        <w:rPr>
          <w:rFonts w:ascii="Book Antiqua" w:hAnsi="Book Antiqua"/>
          <w:szCs w:val="20"/>
        </w:rPr>
        <w:t xml:space="preserve">(Grover </w:t>
      </w:r>
      <w:r w:rsidRPr="00367E1E">
        <w:rPr>
          <w:rFonts w:ascii="Book Antiqua" w:hAnsi="Book Antiqua"/>
          <w:i/>
          <w:szCs w:val="20"/>
        </w:rPr>
        <w:t>et al.</w:t>
      </w:r>
      <w:r w:rsidRPr="00367E1E">
        <w:rPr>
          <w:rFonts w:ascii="Book Antiqua" w:hAnsi="Book Antiqua"/>
          <w:szCs w:val="20"/>
        </w:rPr>
        <w:t>, 2007)</w:t>
      </w:r>
      <w:r w:rsidRPr="00367E1E">
        <w:rPr>
          <w:rFonts w:ascii="Book Antiqua" w:hAnsi="Book Antiqua"/>
          <w:szCs w:val="20"/>
        </w:rPr>
        <w:fldChar w:fldCharType="end"/>
      </w:r>
      <w:r w:rsidRPr="00367E1E">
        <w:rPr>
          <w:rFonts w:ascii="Book Antiqua" w:hAnsi="Book Antiqua"/>
          <w:szCs w:val="20"/>
        </w:rPr>
        <w:t xml:space="preserve"> adalah:</w:t>
      </w:r>
    </w:p>
    <w:p w14:paraId="0E263700" w14:textId="77777777" w:rsidR="00367E1E" w:rsidRPr="00367E1E" w:rsidRDefault="00367E1E" w:rsidP="00367E1E">
      <w:pPr>
        <w:spacing w:after="0" w:line="276" w:lineRule="auto"/>
        <w:ind w:firstLine="851"/>
        <w:jc w:val="center"/>
        <w:rPr>
          <w:rFonts w:ascii="Book Antiqua" w:hAnsi="Book Antiqua"/>
          <w:b/>
          <w:i/>
          <w:szCs w:val="20"/>
          <w:lang w:val="id-ID"/>
        </w:rPr>
      </w:pPr>
      <w:r w:rsidRPr="00367E1E">
        <w:rPr>
          <w:rFonts w:ascii="Book Antiqua" w:hAnsi="Book Antiqua"/>
          <w:b/>
          <w:szCs w:val="20"/>
          <w:lang w:val="id-ID"/>
        </w:rPr>
        <w:t xml:space="preserve">Gambar 3. Manfaat </w:t>
      </w:r>
      <w:r w:rsidRPr="00367E1E">
        <w:rPr>
          <w:rFonts w:ascii="Book Antiqua" w:hAnsi="Book Antiqua"/>
          <w:b/>
          <w:i/>
          <w:szCs w:val="20"/>
          <w:lang w:val="id-ID"/>
        </w:rPr>
        <w:t>Good Land Governance</w:t>
      </w:r>
    </w:p>
    <w:p w14:paraId="12EC3E1E" w14:textId="34308204" w:rsidR="00367E1E" w:rsidRPr="00367E1E" w:rsidRDefault="00367E1E" w:rsidP="00367E1E">
      <w:pPr>
        <w:spacing w:after="0" w:line="276" w:lineRule="auto"/>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4624" behindDoc="0" locked="0" layoutInCell="1" allowOverlap="1" wp14:anchorId="40827892" wp14:editId="31D5B931">
                <wp:simplePos x="0" y="0"/>
                <wp:positionH relativeFrom="column">
                  <wp:posOffset>414985</wp:posOffset>
                </wp:positionH>
                <wp:positionV relativeFrom="paragraph">
                  <wp:posOffset>93345</wp:posOffset>
                </wp:positionV>
                <wp:extent cx="3669475" cy="629392"/>
                <wp:effectExtent l="0" t="0" r="26670" b="18415"/>
                <wp:wrapNone/>
                <wp:docPr id="15" name="Rounded Rectangle 15"/>
                <wp:cNvGraphicFramePr/>
                <a:graphic xmlns:a="http://schemas.openxmlformats.org/drawingml/2006/main">
                  <a:graphicData uri="http://schemas.microsoft.com/office/word/2010/wordprocessingShape">
                    <wps:wsp>
                      <wps:cNvSpPr/>
                      <wps:spPr>
                        <a:xfrm>
                          <a:off x="0" y="0"/>
                          <a:ext cx="3669475" cy="62939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CF0888" w14:textId="77777777" w:rsidR="00367E1E" w:rsidRPr="006851BB" w:rsidRDefault="00367E1E" w:rsidP="00367E1E">
                            <w:pPr>
                              <w:jc w:val="center"/>
                              <w:rPr>
                                <w:rFonts w:ascii="Times New Roman" w:hAnsi="Times New Roman" w:cs="Times New Roman"/>
                              </w:rPr>
                            </w:pPr>
                            <w:r w:rsidRPr="006851BB">
                              <w:rPr>
                                <w:rFonts w:ascii="Times New Roman" w:hAnsi="Times New Roman" w:cs="Times New Roman"/>
                              </w:rPr>
                              <w:t xml:space="preserve">Pertumbuhan dan eluang ekonomi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827892" id="Rounded Rectangle 15" o:spid="_x0000_s1035" style="position:absolute;left:0;text-align:left;margin-left:32.7pt;margin-top:7.35pt;width:288.95pt;height:49.5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" fillcolor="#4472c4 [3204]" strokecolor="#1f3763 [1604]" strokeweight="1pt">
                <v:stroke joinstyle="miter"/>
                <v:textbox>
                  <w:txbxContent>
                    <w:p w14:paraId="3ACF0888" w14:textId="77777777" w:rsidR="00367E1E" w:rsidRPr="006851BB" w:rsidRDefault="00367E1E" w:rsidP="00367E1E">
                      <w:pPr>
                        <w:jc w:val="center"/>
                        <w:rPr>
                          <w:rFonts w:ascii="Times New Roman" w:hAnsi="Times New Roman" w:cs="Times New Roman"/>
                        </w:rPr>
                      </w:pPr>
                      <w:r w:rsidRPr="006851BB">
                        <w:rPr>
                          <w:rFonts w:ascii="Times New Roman" w:hAnsi="Times New Roman" w:cs="Times New Roman"/>
                        </w:rPr>
                        <w:t xml:space="preserve">Pertumbuhan dan eluang ekonomi </w:t>
                      </w:r>
                    </w:p>
                  </w:txbxContent>
                </v:textbox>
              </v:roundrect>
            </w:pict>
          </mc:Fallback>
        </mc:AlternateContent>
      </w:r>
    </w:p>
    <w:p w14:paraId="0C17B648" w14:textId="43F890BF" w:rsidR="00367E1E" w:rsidRPr="00367E1E" w:rsidRDefault="00442E8B"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5648" behindDoc="1" locked="0" layoutInCell="1" allowOverlap="1" wp14:anchorId="1F5EDAB8" wp14:editId="3A17930F">
                <wp:simplePos x="0" y="0"/>
                <wp:positionH relativeFrom="column">
                  <wp:posOffset>3305497</wp:posOffset>
                </wp:positionH>
                <wp:positionV relativeFrom="paragraph">
                  <wp:posOffset>17145</wp:posOffset>
                </wp:positionV>
                <wp:extent cx="771525" cy="735965"/>
                <wp:effectExtent l="19050" t="0" r="28575" b="45085"/>
                <wp:wrapNone/>
                <wp:docPr id="16" name="Down Arrow 16"/>
                <wp:cNvGraphicFramePr/>
                <a:graphic xmlns:a="http://schemas.openxmlformats.org/drawingml/2006/main">
                  <a:graphicData uri="http://schemas.microsoft.com/office/word/2010/wordprocessingShape">
                    <wps:wsp>
                      <wps:cNvSpPr/>
                      <wps:spPr>
                        <a:xfrm>
                          <a:off x="0" y="0"/>
                          <a:ext cx="771525" cy="735965"/>
                        </a:xfrm>
                        <a:prstGeom prst="downArrow">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8C6B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style="position:absolute;margin-left:260.3pt;margin-top:1.35pt;width:60.75pt;height:57.9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" adj="10800" fillcolor="#8eaadb [1940]" strokecolor="#1f3763 [1604]" strokeweight="1pt"/>
            </w:pict>
          </mc:Fallback>
        </mc:AlternateContent>
      </w:r>
    </w:p>
    <w:p w14:paraId="04B8902C" w14:textId="68517AFC" w:rsidR="00367E1E" w:rsidRPr="00367E1E" w:rsidRDefault="00367E1E" w:rsidP="00367E1E">
      <w:pPr>
        <w:spacing w:after="0" w:line="276" w:lineRule="auto"/>
        <w:ind w:firstLine="851"/>
        <w:jc w:val="both"/>
        <w:rPr>
          <w:rFonts w:ascii="Book Antiqua" w:hAnsi="Book Antiqua"/>
          <w:szCs w:val="20"/>
          <w:lang w:val="id-ID"/>
        </w:rPr>
      </w:pPr>
    </w:p>
    <w:p w14:paraId="377F9B50" w14:textId="6AC4A093" w:rsidR="00367E1E" w:rsidRPr="00367E1E" w:rsidRDefault="00367E1E" w:rsidP="00367E1E">
      <w:pPr>
        <w:spacing w:after="0" w:line="276" w:lineRule="auto"/>
        <w:ind w:firstLine="851"/>
        <w:jc w:val="both"/>
        <w:rPr>
          <w:rFonts w:ascii="Book Antiqua" w:hAnsi="Book Antiqua"/>
          <w:szCs w:val="20"/>
          <w:lang w:val="id-ID"/>
        </w:rPr>
      </w:pPr>
    </w:p>
    <w:p w14:paraId="35760FCC" w14:textId="3457C4C6" w:rsidR="00367E1E" w:rsidRPr="00367E1E" w:rsidRDefault="00442E8B"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6672" behindDoc="0" locked="0" layoutInCell="1" allowOverlap="1" wp14:anchorId="43587EA4" wp14:editId="1B1A475D">
                <wp:simplePos x="0" y="0"/>
                <wp:positionH relativeFrom="column">
                  <wp:posOffset>845820</wp:posOffset>
                </wp:positionH>
                <wp:positionV relativeFrom="paragraph">
                  <wp:posOffset>175573</wp:posOffset>
                </wp:positionV>
                <wp:extent cx="3669030" cy="629285"/>
                <wp:effectExtent l="0" t="0" r="26670" b="18415"/>
                <wp:wrapNone/>
                <wp:docPr id="17" name="Rounded Rectangle 17"/>
                <wp:cNvGraphicFramePr/>
                <a:graphic xmlns:a="http://schemas.openxmlformats.org/drawingml/2006/main">
                  <a:graphicData uri="http://schemas.microsoft.com/office/word/2010/wordprocessingShape">
                    <wps:wsp>
                      <wps:cNvSpPr/>
                      <wps:spPr>
                        <a:xfrm>
                          <a:off x="0" y="0"/>
                          <a:ext cx="3669030" cy="6292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872FE9" w14:textId="77777777" w:rsidR="00367E1E" w:rsidRPr="006851BB" w:rsidRDefault="00367E1E" w:rsidP="00367E1E">
                            <w:pPr>
                              <w:jc w:val="center"/>
                              <w:rPr>
                                <w:rFonts w:ascii="Times New Roman" w:hAnsi="Times New Roman" w:cs="Times New Roman"/>
                              </w:rPr>
                            </w:pPr>
                            <w:r>
                              <w:rPr>
                                <w:rFonts w:ascii="Times New Roman" w:hAnsi="Times New Roman" w:cs="Times New Roman"/>
                              </w:rPr>
                              <w:t xml:space="preserve">Tanah milik negara yang dikelola dengan baik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587EA4" id="Rounded Rectangle 17" o:spid="_x0000_s1036" style="position:absolute;left:0;text-align:left;margin-left:66.6pt;margin-top:13.8pt;width:288.9pt;height:49.5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" fillcolor="#4472c4 [3204]" strokecolor="#1f3763 [1604]" strokeweight="1pt">
                <v:stroke joinstyle="miter"/>
                <v:textbox>
                  <w:txbxContent>
                    <w:p w14:paraId="33872FE9" w14:textId="77777777" w:rsidR="00367E1E" w:rsidRPr="006851BB" w:rsidRDefault="00367E1E" w:rsidP="00367E1E">
                      <w:pPr>
                        <w:jc w:val="center"/>
                        <w:rPr>
                          <w:rFonts w:ascii="Times New Roman" w:hAnsi="Times New Roman" w:cs="Times New Roman"/>
                        </w:rPr>
                      </w:pPr>
                      <w:r>
                        <w:rPr>
                          <w:rFonts w:ascii="Times New Roman" w:hAnsi="Times New Roman" w:cs="Times New Roman"/>
                        </w:rPr>
                        <w:t xml:space="preserve">Tanah milik negara yang dikelola dengan baik </w:t>
                      </w:r>
                    </w:p>
                  </w:txbxContent>
                </v:textbox>
              </v:roundrect>
            </w:pict>
          </mc:Fallback>
        </mc:AlternateContent>
      </w:r>
    </w:p>
    <w:p w14:paraId="0D48E6BF" w14:textId="1F041DCD" w:rsidR="00367E1E" w:rsidRPr="00367E1E" w:rsidRDefault="00442E8B"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7696" behindDoc="1" locked="0" layoutInCell="1" allowOverlap="1" wp14:anchorId="3BA115D9" wp14:editId="72816653">
                <wp:simplePos x="0" y="0"/>
                <wp:positionH relativeFrom="column">
                  <wp:posOffset>3723005</wp:posOffset>
                </wp:positionH>
                <wp:positionV relativeFrom="paragraph">
                  <wp:posOffset>126687</wp:posOffset>
                </wp:positionV>
                <wp:extent cx="771525" cy="735965"/>
                <wp:effectExtent l="19050" t="0" r="28575" b="45085"/>
                <wp:wrapNone/>
                <wp:docPr id="18" name="Down Arrow 18"/>
                <wp:cNvGraphicFramePr/>
                <a:graphic xmlns:a="http://schemas.openxmlformats.org/drawingml/2006/main">
                  <a:graphicData uri="http://schemas.microsoft.com/office/word/2010/wordprocessingShape">
                    <wps:wsp>
                      <wps:cNvSpPr/>
                      <wps:spPr>
                        <a:xfrm>
                          <a:off x="0" y="0"/>
                          <a:ext cx="771525" cy="735965"/>
                        </a:xfrm>
                        <a:prstGeom prst="downArrow">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D422DD" id="Down Arrow 18" o:spid="_x0000_s1026" type="#_x0000_t67" style="position:absolute;margin-left:293.15pt;margin-top:10pt;width:60.75pt;height:57.9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" adj="10800" fillcolor="#8eaadb [1940]" strokecolor="#1f3763 [1604]" strokeweight="1pt"/>
            </w:pict>
          </mc:Fallback>
        </mc:AlternateContent>
      </w:r>
    </w:p>
    <w:p w14:paraId="40C8D480" w14:textId="72F43E3A" w:rsidR="00367E1E" w:rsidRPr="00367E1E" w:rsidRDefault="00367E1E" w:rsidP="00367E1E">
      <w:pPr>
        <w:spacing w:after="0" w:line="276" w:lineRule="auto"/>
        <w:ind w:firstLine="851"/>
        <w:jc w:val="both"/>
        <w:rPr>
          <w:rFonts w:ascii="Book Antiqua" w:hAnsi="Book Antiqua"/>
          <w:szCs w:val="20"/>
          <w:lang w:val="id-ID"/>
        </w:rPr>
      </w:pPr>
    </w:p>
    <w:p w14:paraId="738D054B" w14:textId="5819AEAC" w:rsidR="00367E1E" w:rsidRPr="00367E1E" w:rsidRDefault="00367E1E" w:rsidP="00367E1E">
      <w:pPr>
        <w:spacing w:after="0" w:line="276" w:lineRule="auto"/>
        <w:ind w:firstLine="851"/>
        <w:jc w:val="both"/>
        <w:rPr>
          <w:rFonts w:ascii="Book Antiqua" w:hAnsi="Book Antiqua"/>
          <w:szCs w:val="20"/>
          <w:lang w:val="id-ID"/>
        </w:rPr>
      </w:pPr>
    </w:p>
    <w:p w14:paraId="04110370" w14:textId="52A9673F" w:rsidR="00367E1E" w:rsidRPr="00367E1E" w:rsidRDefault="00367E1E" w:rsidP="00367E1E">
      <w:pPr>
        <w:spacing w:after="0" w:line="276" w:lineRule="auto"/>
        <w:ind w:firstLine="851"/>
        <w:jc w:val="both"/>
        <w:rPr>
          <w:rFonts w:ascii="Book Antiqua" w:hAnsi="Book Antiqua"/>
          <w:szCs w:val="20"/>
          <w:lang w:val="id-ID"/>
        </w:rPr>
      </w:pPr>
    </w:p>
    <w:p w14:paraId="1BBD9676" w14:textId="2B395B4D" w:rsidR="00367E1E" w:rsidRPr="00367E1E" w:rsidRDefault="00442E8B"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8720" behindDoc="0" locked="0" layoutInCell="1" allowOverlap="1" wp14:anchorId="1EB8A4DC" wp14:editId="5C42BB6B">
                <wp:simplePos x="0" y="0"/>
                <wp:positionH relativeFrom="column">
                  <wp:posOffset>1249045</wp:posOffset>
                </wp:positionH>
                <wp:positionV relativeFrom="paragraph">
                  <wp:posOffset>90483</wp:posOffset>
                </wp:positionV>
                <wp:extent cx="3669030" cy="629285"/>
                <wp:effectExtent l="0" t="0" r="26670" b="18415"/>
                <wp:wrapNone/>
                <wp:docPr id="19" name="Rounded Rectangle 19"/>
                <wp:cNvGraphicFramePr/>
                <a:graphic xmlns:a="http://schemas.openxmlformats.org/drawingml/2006/main">
                  <a:graphicData uri="http://schemas.microsoft.com/office/word/2010/wordprocessingShape">
                    <wps:wsp>
                      <wps:cNvSpPr/>
                      <wps:spPr>
                        <a:xfrm>
                          <a:off x="0" y="0"/>
                          <a:ext cx="3669030" cy="6292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45C3B3" w14:textId="77777777" w:rsidR="00367E1E" w:rsidRPr="006851BB" w:rsidRDefault="00367E1E" w:rsidP="00367E1E">
                            <w:pPr>
                              <w:jc w:val="center"/>
                              <w:rPr>
                                <w:rFonts w:ascii="Times New Roman" w:hAnsi="Times New Roman" w:cs="Times New Roman"/>
                              </w:rPr>
                            </w:pPr>
                            <w:r>
                              <w:rPr>
                                <w:rFonts w:ascii="Times New Roman" w:hAnsi="Times New Roman" w:cs="Times New Roman"/>
                              </w:rPr>
                              <w:t xml:space="preserve">Pajak properti dan penilaian tanah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B8A4DC" id="Rounded Rectangle 19" o:spid="_x0000_s1037" style="position:absolute;left:0;text-align:left;margin-left:98.35pt;margin-top:7.1pt;width:288.9pt;height:49.5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" fillcolor="#4472c4 [3204]" strokecolor="#1f3763 [1604]" strokeweight="1pt">
                <v:stroke joinstyle="miter"/>
                <v:textbox>
                  <w:txbxContent>
                    <w:p w14:paraId="6445C3B3" w14:textId="77777777" w:rsidR="00367E1E" w:rsidRPr="006851BB" w:rsidRDefault="00367E1E" w:rsidP="00367E1E">
                      <w:pPr>
                        <w:jc w:val="center"/>
                        <w:rPr>
                          <w:rFonts w:ascii="Times New Roman" w:hAnsi="Times New Roman" w:cs="Times New Roman"/>
                        </w:rPr>
                      </w:pPr>
                      <w:r>
                        <w:rPr>
                          <w:rFonts w:ascii="Times New Roman" w:hAnsi="Times New Roman" w:cs="Times New Roman"/>
                        </w:rPr>
                        <w:t xml:space="preserve">Pajak properti dan penilaian tanah </w:t>
                      </w:r>
                    </w:p>
                  </w:txbxContent>
                </v:textbox>
              </v:roundrect>
            </w:pict>
          </mc:Fallback>
        </mc:AlternateContent>
      </w:r>
    </w:p>
    <w:p w14:paraId="5341FE3D" w14:textId="660C03A2" w:rsidR="00367E1E" w:rsidRPr="00367E1E" w:rsidRDefault="00442E8B"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79744" behindDoc="1" locked="0" layoutInCell="1" allowOverlap="1" wp14:anchorId="0E641AC1" wp14:editId="4DAFB443">
                <wp:simplePos x="0" y="0"/>
                <wp:positionH relativeFrom="column">
                  <wp:posOffset>4121150</wp:posOffset>
                </wp:positionH>
                <wp:positionV relativeFrom="paragraph">
                  <wp:posOffset>31428</wp:posOffset>
                </wp:positionV>
                <wp:extent cx="771525" cy="735965"/>
                <wp:effectExtent l="19050" t="0" r="28575" b="45085"/>
                <wp:wrapNone/>
                <wp:docPr id="20" name="Down Arrow 20"/>
                <wp:cNvGraphicFramePr/>
                <a:graphic xmlns:a="http://schemas.openxmlformats.org/drawingml/2006/main">
                  <a:graphicData uri="http://schemas.microsoft.com/office/word/2010/wordprocessingShape">
                    <wps:wsp>
                      <wps:cNvSpPr/>
                      <wps:spPr>
                        <a:xfrm>
                          <a:off x="0" y="0"/>
                          <a:ext cx="771525" cy="735965"/>
                        </a:xfrm>
                        <a:prstGeom prst="downArrow">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804FEB" id="Down Arrow 20" o:spid="_x0000_s1026" type="#_x0000_t67" style="position:absolute;margin-left:324.5pt;margin-top:2.45pt;width:60.75pt;height:57.9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" adj="10800" fillcolor="#8eaadb [1940]" strokecolor="#1f3763 [1604]" strokeweight="1pt"/>
            </w:pict>
          </mc:Fallback>
        </mc:AlternateContent>
      </w:r>
    </w:p>
    <w:p w14:paraId="25C34E0B" w14:textId="6F4C880B" w:rsidR="00367E1E" w:rsidRPr="00367E1E" w:rsidRDefault="00367E1E" w:rsidP="00367E1E">
      <w:pPr>
        <w:spacing w:after="0" w:line="276" w:lineRule="auto"/>
        <w:ind w:firstLine="851"/>
        <w:jc w:val="both"/>
        <w:rPr>
          <w:rFonts w:ascii="Book Antiqua" w:hAnsi="Book Antiqua"/>
          <w:szCs w:val="20"/>
          <w:lang w:val="id-ID"/>
        </w:rPr>
      </w:pPr>
    </w:p>
    <w:p w14:paraId="457D1C95" w14:textId="7E0FE57B" w:rsidR="00367E1E" w:rsidRDefault="00367E1E" w:rsidP="00367E1E">
      <w:pPr>
        <w:spacing w:after="0" w:line="276" w:lineRule="auto"/>
        <w:ind w:firstLine="851"/>
        <w:jc w:val="both"/>
        <w:rPr>
          <w:rFonts w:ascii="Book Antiqua" w:hAnsi="Book Antiqua"/>
          <w:szCs w:val="20"/>
          <w:lang w:val="id-ID"/>
        </w:rPr>
      </w:pPr>
    </w:p>
    <w:p w14:paraId="01F8807A" w14:textId="77A5EBB2" w:rsidR="00367E1E" w:rsidRDefault="00442E8B"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80768" behindDoc="0" locked="0" layoutInCell="1" allowOverlap="1" wp14:anchorId="43A05D42" wp14:editId="1DCAB917">
                <wp:simplePos x="0" y="0"/>
                <wp:positionH relativeFrom="column">
                  <wp:posOffset>1741805</wp:posOffset>
                </wp:positionH>
                <wp:positionV relativeFrom="paragraph">
                  <wp:posOffset>189230</wp:posOffset>
                </wp:positionV>
                <wp:extent cx="3669030" cy="629285"/>
                <wp:effectExtent l="0" t="0" r="26670" b="18415"/>
                <wp:wrapNone/>
                <wp:docPr id="21" name="Rounded Rectangle 21"/>
                <wp:cNvGraphicFramePr/>
                <a:graphic xmlns:a="http://schemas.openxmlformats.org/drawingml/2006/main">
                  <a:graphicData uri="http://schemas.microsoft.com/office/word/2010/wordprocessingShape">
                    <wps:wsp>
                      <wps:cNvSpPr/>
                      <wps:spPr>
                        <a:xfrm>
                          <a:off x="0" y="0"/>
                          <a:ext cx="3669030" cy="6292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1A3DC" w14:textId="77777777" w:rsidR="00367E1E" w:rsidRPr="006851BB" w:rsidRDefault="00367E1E" w:rsidP="00367E1E">
                            <w:pPr>
                              <w:jc w:val="center"/>
                              <w:rPr>
                                <w:rFonts w:ascii="Times New Roman" w:hAnsi="Times New Roman" w:cs="Times New Roman"/>
                              </w:rPr>
                            </w:pPr>
                            <w:r>
                              <w:rPr>
                                <w:rFonts w:ascii="Times New Roman" w:hAnsi="Times New Roman" w:cs="Times New Roman"/>
                              </w:rPr>
                              <w:t xml:space="preserve">Perencanaan penggunaan lahan yang efektif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A05D42" id="Rounded Rectangle 21" o:spid="_x0000_s1038" style="position:absolute;left:0;text-align:left;margin-left:137.15pt;margin-top:14.9pt;width:288.9pt;height:49.5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" fillcolor="#4472c4 [3204]" strokecolor="#1f3763 [1604]" strokeweight="1pt">
                <v:stroke joinstyle="miter"/>
                <v:textbox>
                  <w:txbxContent>
                    <w:p w14:paraId="6371A3DC" w14:textId="77777777" w:rsidR="00367E1E" w:rsidRPr="006851BB" w:rsidRDefault="00367E1E" w:rsidP="00367E1E">
                      <w:pPr>
                        <w:jc w:val="center"/>
                        <w:rPr>
                          <w:rFonts w:ascii="Times New Roman" w:hAnsi="Times New Roman" w:cs="Times New Roman"/>
                        </w:rPr>
                      </w:pPr>
                      <w:r>
                        <w:rPr>
                          <w:rFonts w:ascii="Times New Roman" w:hAnsi="Times New Roman" w:cs="Times New Roman"/>
                        </w:rPr>
                        <w:t xml:space="preserve">Perencanaan penggunaan lahan yang efektif </w:t>
                      </w:r>
                    </w:p>
                  </w:txbxContent>
                </v:textbox>
              </v:roundrect>
            </w:pict>
          </mc:Fallback>
        </mc:AlternateContent>
      </w:r>
    </w:p>
    <w:p w14:paraId="3F38AFE1" w14:textId="58E8D7A6" w:rsidR="00367E1E" w:rsidRDefault="00367E1E" w:rsidP="00367E1E">
      <w:pPr>
        <w:spacing w:after="0" w:line="276" w:lineRule="auto"/>
        <w:ind w:firstLine="851"/>
        <w:jc w:val="both"/>
        <w:rPr>
          <w:rFonts w:ascii="Book Antiqua" w:hAnsi="Book Antiqua"/>
          <w:szCs w:val="20"/>
          <w:lang w:val="id-ID"/>
        </w:rPr>
      </w:pPr>
    </w:p>
    <w:p w14:paraId="6EE11A9F" w14:textId="58FFE642" w:rsidR="00367E1E" w:rsidRDefault="00367E1E" w:rsidP="00367E1E">
      <w:pPr>
        <w:spacing w:after="0" w:line="276" w:lineRule="auto"/>
        <w:ind w:firstLine="851"/>
        <w:jc w:val="both"/>
        <w:rPr>
          <w:rFonts w:ascii="Book Antiqua" w:hAnsi="Book Antiqua"/>
          <w:szCs w:val="20"/>
          <w:lang w:val="id-ID"/>
        </w:rPr>
      </w:pPr>
    </w:p>
    <w:p w14:paraId="112D8500" w14:textId="67A12A08" w:rsidR="00367E1E" w:rsidRDefault="00367E1E" w:rsidP="00367E1E">
      <w:pPr>
        <w:spacing w:after="0" w:line="276" w:lineRule="auto"/>
        <w:ind w:firstLine="851"/>
        <w:jc w:val="both"/>
        <w:rPr>
          <w:rFonts w:ascii="Book Antiqua" w:hAnsi="Book Antiqua"/>
          <w:szCs w:val="20"/>
          <w:lang w:val="id-ID"/>
        </w:rPr>
      </w:pPr>
    </w:p>
    <w:p w14:paraId="273C0B77" w14:textId="2D833438" w:rsidR="00367E1E" w:rsidRDefault="00367E1E" w:rsidP="00367E1E">
      <w:pPr>
        <w:spacing w:after="0" w:line="276" w:lineRule="auto"/>
        <w:ind w:firstLine="851"/>
        <w:jc w:val="both"/>
        <w:rPr>
          <w:rFonts w:ascii="Book Antiqua" w:hAnsi="Book Antiqua"/>
          <w:szCs w:val="20"/>
          <w:lang w:val="id-ID"/>
        </w:rPr>
      </w:pPr>
    </w:p>
    <w:p w14:paraId="2E37F7D2" w14:textId="52186F4D" w:rsidR="00367E1E" w:rsidRDefault="00367E1E" w:rsidP="00442E8B">
      <w:pPr>
        <w:spacing w:after="0" w:line="276" w:lineRule="auto"/>
        <w:jc w:val="both"/>
        <w:rPr>
          <w:rFonts w:ascii="Book Antiqua" w:hAnsi="Book Antiqua"/>
          <w:szCs w:val="20"/>
          <w:lang w:val="id-ID"/>
        </w:rPr>
      </w:pPr>
    </w:p>
    <w:p w14:paraId="1A345E3A" w14:textId="342B0D94" w:rsidR="00367E1E" w:rsidRDefault="00367E1E" w:rsidP="008579F2">
      <w:pPr>
        <w:spacing w:after="0" w:line="276" w:lineRule="auto"/>
        <w:ind w:firstLine="426"/>
        <w:jc w:val="both"/>
        <w:rPr>
          <w:rFonts w:ascii="Book Antiqua" w:hAnsi="Book Antiqua"/>
          <w:szCs w:val="20"/>
          <w:lang w:val="id-ID"/>
        </w:rPr>
      </w:pPr>
      <w:r w:rsidRPr="00367E1E">
        <w:rPr>
          <w:rFonts w:ascii="Book Antiqua" w:hAnsi="Book Antiqua"/>
          <w:szCs w:val="20"/>
          <w:lang w:val="id-ID"/>
        </w:rPr>
        <w:t xml:space="preserve">Sehingga dari tinjauan pustaka tersebut dapat digambarkan dalam road map terkait dengan penelitian ini yaitu: </w:t>
      </w:r>
    </w:p>
    <w:p w14:paraId="72B4BBE2" w14:textId="1A98B421" w:rsidR="00367E1E" w:rsidRDefault="00367E1E" w:rsidP="008579F2">
      <w:pPr>
        <w:spacing w:after="0" w:line="276" w:lineRule="auto"/>
        <w:ind w:firstLine="426"/>
        <w:jc w:val="both"/>
        <w:rPr>
          <w:rFonts w:ascii="Book Antiqua" w:hAnsi="Book Antiqua"/>
          <w:szCs w:val="20"/>
          <w:lang w:val="id-ID"/>
        </w:rPr>
      </w:pPr>
    </w:p>
    <w:p w14:paraId="6F432689" w14:textId="18CC8D02" w:rsidR="00367E1E" w:rsidRPr="00367E1E" w:rsidRDefault="00367E1E" w:rsidP="00367E1E">
      <w:pPr>
        <w:spacing w:after="0" w:line="276" w:lineRule="auto"/>
        <w:ind w:firstLine="851"/>
        <w:jc w:val="center"/>
        <w:rPr>
          <w:rFonts w:ascii="Book Antiqua" w:hAnsi="Book Antiqua"/>
          <w:b/>
          <w:szCs w:val="20"/>
          <w:lang w:val="id-ID"/>
        </w:rPr>
      </w:pPr>
      <w:r w:rsidRPr="00367E1E">
        <w:rPr>
          <w:rFonts w:ascii="Book Antiqua" w:hAnsi="Book Antiqua"/>
          <w:b/>
          <w:szCs w:val="20"/>
          <w:lang w:val="id-ID"/>
        </w:rPr>
        <w:t>Gambar 4. Kerangka Pikir Penelitian</w:t>
      </w:r>
    </w:p>
    <w:p w14:paraId="660F8AC5"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81792" behindDoc="0" locked="0" layoutInCell="1" allowOverlap="1" wp14:anchorId="304E9149" wp14:editId="51285CD5">
                <wp:simplePos x="0" y="0"/>
                <wp:positionH relativeFrom="column">
                  <wp:posOffset>1804670</wp:posOffset>
                </wp:positionH>
                <wp:positionV relativeFrom="paragraph">
                  <wp:posOffset>58893</wp:posOffset>
                </wp:positionV>
                <wp:extent cx="2208530" cy="771525"/>
                <wp:effectExtent l="0" t="0" r="20320" b="28575"/>
                <wp:wrapNone/>
                <wp:docPr id="23" name="Rounded Rectangle 23"/>
                <wp:cNvGraphicFramePr/>
                <a:graphic xmlns:a="http://schemas.openxmlformats.org/drawingml/2006/main">
                  <a:graphicData uri="http://schemas.microsoft.com/office/word/2010/wordprocessingShape">
                    <wps:wsp>
                      <wps:cNvSpPr/>
                      <wps:spPr>
                        <a:xfrm>
                          <a:off x="0" y="0"/>
                          <a:ext cx="2208530" cy="77152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9A8161A" w14:textId="77777777" w:rsidR="00367E1E" w:rsidRPr="009D1362" w:rsidRDefault="00367E1E" w:rsidP="00367E1E">
                            <w:pPr>
                              <w:jc w:val="center"/>
                              <w:rPr>
                                <w:rFonts w:ascii="Times New Roman" w:hAnsi="Times New Roman" w:cs="Times New Roman"/>
                                <w:color w:val="000000" w:themeColor="text1"/>
                              </w:rPr>
                            </w:pPr>
                            <w:r w:rsidRPr="009D1362">
                              <w:rPr>
                                <w:rFonts w:ascii="Times New Roman" w:hAnsi="Times New Roman" w:cs="Times New Roman"/>
                                <w:color w:val="000000" w:themeColor="text1"/>
                              </w:rPr>
                              <w:t xml:space="preserve">KEBIJAKAN PENATAAN PERTANAHAN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4E9149" id="Rounded Rectangle 23" o:spid="_x0000_s1039" style="position:absolute;left:0;text-align:left;margin-left:142.1pt;margin-top:4.65pt;width:173.9pt;height:6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" fillcolor="#4f7ac7 [3028]" strokecolor="#4472c4 [3204]" strokeweight=".5pt">
                <v:fill color2="#416fc3 [3172]" rotate="t" colors="0 #6083cb;.5 #3e70ca;1 #2e61ba" focus="100%" type="gradient">
                  <o:fill v:ext="view" type="gradientUnscaled"/>
                </v:fill>
                <v:stroke joinstyle="miter"/>
                <v:textbox>
                  <w:txbxContent>
                    <w:p w14:paraId="19A8161A" w14:textId="77777777" w:rsidR="00367E1E" w:rsidRPr="009D1362" w:rsidRDefault="00367E1E" w:rsidP="00367E1E">
                      <w:pPr>
                        <w:jc w:val="center"/>
                        <w:rPr>
                          <w:rFonts w:ascii="Times New Roman" w:hAnsi="Times New Roman" w:cs="Times New Roman"/>
                          <w:color w:val="000000" w:themeColor="text1"/>
                        </w:rPr>
                      </w:pPr>
                      <w:r w:rsidRPr="009D1362">
                        <w:rPr>
                          <w:rFonts w:ascii="Times New Roman" w:hAnsi="Times New Roman" w:cs="Times New Roman"/>
                          <w:color w:val="000000" w:themeColor="text1"/>
                        </w:rPr>
                        <w:t xml:space="preserve">KEBIJAKAN PENATAAN PERTANAHAN </w:t>
                      </w:r>
                    </w:p>
                  </w:txbxContent>
                </v:textbox>
              </v:roundrect>
            </w:pict>
          </mc:Fallback>
        </mc:AlternateContent>
      </w:r>
    </w:p>
    <w:p w14:paraId="7D4B8E24"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82816" behindDoc="1" locked="0" layoutInCell="1" allowOverlap="1" wp14:anchorId="147E43E1" wp14:editId="4AFEC2D0">
                <wp:simplePos x="0" y="0"/>
                <wp:positionH relativeFrom="column">
                  <wp:posOffset>1599565</wp:posOffset>
                </wp:positionH>
                <wp:positionV relativeFrom="paragraph">
                  <wp:posOffset>337185</wp:posOffset>
                </wp:positionV>
                <wp:extent cx="1344339" cy="616688"/>
                <wp:effectExtent l="38100" t="0" r="27305" b="69215"/>
                <wp:wrapNone/>
                <wp:docPr id="24" name="Straight Arrow Connector 24"/>
                <wp:cNvGraphicFramePr/>
                <a:graphic xmlns:a="http://schemas.openxmlformats.org/drawingml/2006/main">
                  <a:graphicData uri="http://schemas.microsoft.com/office/word/2010/wordprocessingShape">
                    <wps:wsp>
                      <wps:cNvCnPr/>
                      <wps:spPr>
                        <a:xfrm flipH="1">
                          <a:off x="0" y="0"/>
                          <a:ext cx="1344339" cy="6166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CBEF50" id="_x0000_t32" coordsize="21600,21600" o:spt="32" o:oned="t" path="m,l21600,21600e" filled="f">
                <v:path arrowok="t" fillok="f" o:connecttype="none"/>
                <o:lock v:ext="edit" shapetype="t"/>
              </v:shapetype>
              <v:shape id="Straight Arrow Connector 24" o:spid="_x0000_s1026" type="#_x0000_t32" style="position:absolute;margin-left:125.95pt;margin-top:26.55pt;width:105.85pt;height:48.55p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" strokecolor="#4472c4 [3204]" strokeweight=".5pt">
                <v:stroke endarrow="block" joinstyle="miter"/>
              </v:shape>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84864" behindDoc="1" locked="0" layoutInCell="1" allowOverlap="1" wp14:anchorId="2A84889F" wp14:editId="3979F42F">
                <wp:simplePos x="0" y="0"/>
                <wp:positionH relativeFrom="column">
                  <wp:posOffset>2932430</wp:posOffset>
                </wp:positionH>
                <wp:positionV relativeFrom="paragraph">
                  <wp:posOffset>323850</wp:posOffset>
                </wp:positionV>
                <wp:extent cx="1448435" cy="629285"/>
                <wp:effectExtent l="0" t="0" r="56515" b="56515"/>
                <wp:wrapNone/>
                <wp:docPr id="27" name="Straight Arrow Connector 27"/>
                <wp:cNvGraphicFramePr/>
                <a:graphic xmlns:a="http://schemas.openxmlformats.org/drawingml/2006/main">
                  <a:graphicData uri="http://schemas.microsoft.com/office/word/2010/wordprocessingShape">
                    <wps:wsp>
                      <wps:cNvCnPr/>
                      <wps:spPr>
                        <a:xfrm>
                          <a:off x="0" y="0"/>
                          <a:ext cx="1448435" cy="6292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F51089" id="Straight Arrow Connector 27" o:spid="_x0000_s1026" type="#_x0000_t32" style="position:absolute;margin-left:230.9pt;margin-top:25.5pt;width:114.05pt;height:49.55pt;z-index:-2516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" strokecolor="#4472c4 [3204]" strokeweight=".5pt">
                <v:stroke endarrow="block" joinstyle="miter"/>
              </v:shape>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83840" behindDoc="1" locked="0" layoutInCell="1" allowOverlap="1" wp14:anchorId="1699804D" wp14:editId="19DBB98E">
                <wp:simplePos x="0" y="0"/>
                <wp:positionH relativeFrom="column">
                  <wp:posOffset>2945765</wp:posOffset>
                </wp:positionH>
                <wp:positionV relativeFrom="paragraph">
                  <wp:posOffset>337185</wp:posOffset>
                </wp:positionV>
                <wp:extent cx="0" cy="985520"/>
                <wp:effectExtent l="76200" t="0" r="95250" b="62230"/>
                <wp:wrapNone/>
                <wp:docPr id="26" name="Straight Arrow Connector 26"/>
                <wp:cNvGraphicFramePr/>
                <a:graphic xmlns:a="http://schemas.openxmlformats.org/drawingml/2006/main">
                  <a:graphicData uri="http://schemas.microsoft.com/office/word/2010/wordprocessingShape">
                    <wps:wsp>
                      <wps:cNvCnPr/>
                      <wps:spPr>
                        <a:xfrm>
                          <a:off x="0" y="0"/>
                          <a:ext cx="0" cy="985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EB0BFE" id="Straight Arrow Connector 26" o:spid="_x0000_s1026" type="#_x0000_t32" style="position:absolute;margin-left:231.95pt;margin-top:26.55pt;width:0;height:77.6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" strokecolor="#4472c4 [3204]" strokeweight=".5pt">
                <v:stroke endarrow="block" joinstyle="miter"/>
              </v:shape>
            </w:pict>
          </mc:Fallback>
        </mc:AlternateContent>
      </w:r>
    </w:p>
    <w:p w14:paraId="5698EE77" w14:textId="77777777" w:rsidR="00367E1E" w:rsidRPr="00367E1E" w:rsidRDefault="00367E1E" w:rsidP="00367E1E">
      <w:pPr>
        <w:spacing w:after="0" w:line="276" w:lineRule="auto"/>
        <w:ind w:firstLine="851"/>
        <w:jc w:val="both"/>
        <w:rPr>
          <w:rFonts w:ascii="Book Antiqua" w:hAnsi="Book Antiqua"/>
          <w:szCs w:val="20"/>
          <w:lang w:val="id-ID"/>
        </w:rPr>
      </w:pPr>
    </w:p>
    <w:p w14:paraId="440140F1"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85888" behindDoc="0" locked="0" layoutInCell="1" allowOverlap="1" wp14:anchorId="1D6A3D2D" wp14:editId="0FB9B0DB">
                <wp:simplePos x="0" y="0"/>
                <wp:positionH relativeFrom="column">
                  <wp:posOffset>142240</wp:posOffset>
                </wp:positionH>
                <wp:positionV relativeFrom="paragraph">
                  <wp:posOffset>200660</wp:posOffset>
                </wp:positionV>
                <wp:extent cx="1661795" cy="462915"/>
                <wp:effectExtent l="0" t="0" r="14605" b="13335"/>
                <wp:wrapNone/>
                <wp:docPr id="28" name="Rounded Rectangle 28"/>
                <wp:cNvGraphicFramePr/>
                <a:graphic xmlns:a="http://schemas.openxmlformats.org/drawingml/2006/main">
                  <a:graphicData uri="http://schemas.microsoft.com/office/word/2010/wordprocessingShape">
                    <wps:wsp>
                      <wps:cNvSpPr/>
                      <wps:spPr>
                        <a:xfrm>
                          <a:off x="0" y="0"/>
                          <a:ext cx="1661795" cy="46291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0649B7D" w14:textId="77777777" w:rsidR="00367E1E" w:rsidRPr="009D1362" w:rsidRDefault="00367E1E" w:rsidP="00367E1E">
                            <w:pPr>
                              <w:jc w:val="center"/>
                              <w:rPr>
                                <w:rFonts w:ascii="Times New Roman" w:hAnsi="Times New Roman" w:cs="Times New Roman"/>
                                <w:color w:val="FFFFFF" w:themeColor="background1"/>
                              </w:rPr>
                            </w:pPr>
                            <w:r w:rsidRPr="009D1362">
                              <w:rPr>
                                <w:rFonts w:ascii="Times New Roman" w:hAnsi="Times New Roman" w:cs="Times New Roman"/>
                                <w:color w:val="FFFFFF" w:themeColor="background1"/>
                              </w:rPr>
                              <w:t>Kepemilikan Tanah (Land Ownership)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6A3D2D" id="Rounded Rectangle 28" o:spid="_x0000_s1040" style="position:absolute;left:0;text-align:left;margin-left:11.2pt;margin-top:15.8pt;width:130.85pt;height:36.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" fillcolor="#4f7ac7 [3028]" strokecolor="#4472c4 [3204]" strokeweight=".5pt">
                <v:fill color2="#416fc3 [3172]" rotate="t" colors="0 #6083cb;.5 #3e70ca;1 #2e61ba" focus="100%" type="gradient">
                  <o:fill v:ext="view" type="gradientUnscaled"/>
                </v:fill>
                <v:stroke joinstyle="miter"/>
                <v:textbox>
                  <w:txbxContent>
                    <w:p w14:paraId="60649B7D" w14:textId="77777777" w:rsidR="00367E1E" w:rsidRPr="009D1362" w:rsidRDefault="00367E1E" w:rsidP="00367E1E">
                      <w:pPr>
                        <w:jc w:val="center"/>
                        <w:rPr>
                          <w:rFonts w:ascii="Times New Roman" w:hAnsi="Times New Roman" w:cs="Times New Roman"/>
                          <w:color w:val="FFFFFF" w:themeColor="background1"/>
                        </w:rPr>
                      </w:pPr>
                      <w:r w:rsidRPr="009D1362">
                        <w:rPr>
                          <w:rFonts w:ascii="Times New Roman" w:hAnsi="Times New Roman" w:cs="Times New Roman"/>
                          <w:color w:val="FFFFFF" w:themeColor="background1"/>
                        </w:rPr>
                        <w:t>Kepemilikan Tanah (Land Ownership)</w:t>
                      </w:r>
                    </w:p>
                  </w:txbxContent>
                </v:textbox>
              </v:roundrect>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87936" behindDoc="0" locked="0" layoutInCell="1" allowOverlap="1" wp14:anchorId="61C27C4D" wp14:editId="7D277F65">
                <wp:simplePos x="0" y="0"/>
                <wp:positionH relativeFrom="column">
                  <wp:posOffset>4011295</wp:posOffset>
                </wp:positionH>
                <wp:positionV relativeFrom="paragraph">
                  <wp:posOffset>197541</wp:posOffset>
                </wp:positionV>
                <wp:extent cx="1661795" cy="462915"/>
                <wp:effectExtent l="0" t="0" r="14605" b="13335"/>
                <wp:wrapNone/>
                <wp:docPr id="30" name="Rounded Rectangle 30"/>
                <wp:cNvGraphicFramePr/>
                <a:graphic xmlns:a="http://schemas.openxmlformats.org/drawingml/2006/main">
                  <a:graphicData uri="http://schemas.microsoft.com/office/word/2010/wordprocessingShape">
                    <wps:wsp>
                      <wps:cNvSpPr/>
                      <wps:spPr>
                        <a:xfrm>
                          <a:off x="0" y="0"/>
                          <a:ext cx="1661795" cy="46291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0EAE0585" w14:textId="77777777" w:rsidR="00367E1E" w:rsidRPr="009D1362" w:rsidRDefault="00367E1E" w:rsidP="00367E1E">
                            <w:pPr>
                              <w:jc w:val="center"/>
                              <w:rPr>
                                <w:rFonts w:ascii="Times New Roman" w:hAnsi="Times New Roman" w:cs="Times New Roman"/>
                                <w:color w:val="FFFFFF" w:themeColor="background1"/>
                              </w:rPr>
                            </w:pPr>
                            <w:r>
                              <w:rPr>
                                <w:rFonts w:ascii="Times New Roman" w:hAnsi="Times New Roman" w:cs="Times New Roman"/>
                                <w:color w:val="FFFFFF" w:themeColor="background1"/>
                              </w:rPr>
                              <w:t>Nilai Tanah (Land Value)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27C4D" id="Rounded Rectangle 30" o:spid="_x0000_s1041" style="position:absolute;left:0;text-align:left;margin-left:315.85pt;margin-top:15.55pt;width:130.85pt;height:3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" fillcolor="#4f7ac7 [3028]" strokecolor="#4472c4 [3204]" strokeweight=".5pt">
                <v:fill color2="#416fc3 [3172]" rotate="t" colors="0 #6083cb;.5 #3e70ca;1 #2e61ba" focus="100%" type="gradient">
                  <o:fill v:ext="view" type="gradientUnscaled"/>
                </v:fill>
                <v:stroke joinstyle="miter"/>
                <v:textbox>
                  <w:txbxContent>
                    <w:p w14:paraId="0EAE0585" w14:textId="77777777" w:rsidR="00367E1E" w:rsidRPr="009D1362" w:rsidRDefault="00367E1E" w:rsidP="00367E1E">
                      <w:pPr>
                        <w:jc w:val="center"/>
                        <w:rPr>
                          <w:rFonts w:ascii="Times New Roman" w:hAnsi="Times New Roman" w:cs="Times New Roman"/>
                          <w:color w:val="FFFFFF" w:themeColor="background1"/>
                        </w:rPr>
                      </w:pPr>
                      <w:r>
                        <w:rPr>
                          <w:rFonts w:ascii="Times New Roman" w:hAnsi="Times New Roman" w:cs="Times New Roman"/>
                          <w:color w:val="FFFFFF" w:themeColor="background1"/>
                        </w:rPr>
                        <w:t>Nilai Tanah (Land Value)</w:t>
                      </w:r>
                    </w:p>
                  </w:txbxContent>
                </v:textbox>
              </v:roundrect>
            </w:pict>
          </mc:Fallback>
        </mc:AlternateContent>
      </w:r>
    </w:p>
    <w:p w14:paraId="7F254519"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89984" behindDoc="0" locked="0" layoutInCell="1" allowOverlap="1" wp14:anchorId="6F4F3555" wp14:editId="4CBDF098">
                <wp:simplePos x="0" y="0"/>
                <wp:positionH relativeFrom="column">
                  <wp:posOffset>4844621</wp:posOffset>
                </wp:positionH>
                <wp:positionV relativeFrom="paragraph">
                  <wp:posOffset>275863</wp:posOffset>
                </wp:positionV>
                <wp:extent cx="586" cy="854966"/>
                <wp:effectExtent l="0" t="0" r="19050" b="21590"/>
                <wp:wrapNone/>
                <wp:docPr id="33" name="Straight Connector 33"/>
                <wp:cNvGraphicFramePr/>
                <a:graphic xmlns:a="http://schemas.openxmlformats.org/drawingml/2006/main">
                  <a:graphicData uri="http://schemas.microsoft.com/office/word/2010/wordprocessingShape">
                    <wps:wsp>
                      <wps:cNvCnPr/>
                      <wps:spPr>
                        <a:xfrm>
                          <a:off x="0" y="0"/>
                          <a:ext cx="586" cy="8549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F123B" id="Straight Connector 3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45pt,21.7pt" to="38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" strokecolor="#4472c4 [3204]" strokeweight=".5pt">
                <v:stroke joinstyle="miter"/>
              </v:line>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88960" behindDoc="0" locked="0" layoutInCell="1" allowOverlap="1" wp14:anchorId="2DC3D4A8" wp14:editId="4CC1F7EA">
                <wp:simplePos x="0" y="0"/>
                <wp:positionH relativeFrom="column">
                  <wp:posOffset>973455</wp:posOffset>
                </wp:positionH>
                <wp:positionV relativeFrom="paragraph">
                  <wp:posOffset>277968</wp:posOffset>
                </wp:positionV>
                <wp:extent cx="0" cy="854710"/>
                <wp:effectExtent l="0" t="0" r="19050" b="21590"/>
                <wp:wrapNone/>
                <wp:docPr id="31" name="Straight Connector 31"/>
                <wp:cNvGraphicFramePr/>
                <a:graphic xmlns:a="http://schemas.openxmlformats.org/drawingml/2006/main">
                  <a:graphicData uri="http://schemas.microsoft.com/office/word/2010/wordprocessingShape">
                    <wps:wsp>
                      <wps:cNvCnPr/>
                      <wps:spPr>
                        <a:xfrm>
                          <a:off x="0" y="0"/>
                          <a:ext cx="0" cy="8547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2B45B" id="Straight Connector 3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76.65pt,21.9pt" to="76.65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" strokecolor="#4472c4 [3204]" strokeweight=".5pt">
                <v:stroke joinstyle="miter"/>
              </v:line>
            </w:pict>
          </mc:Fallback>
        </mc:AlternateContent>
      </w:r>
      <w:r w:rsidRPr="00367E1E">
        <w:rPr>
          <w:rFonts w:ascii="Book Antiqua" w:hAnsi="Book Antiqua"/>
          <w:noProof/>
          <w:szCs w:val="20"/>
          <w:lang w:val="id-ID" w:eastAsia="id-ID"/>
        </w:rPr>
        <mc:AlternateContent>
          <mc:Choice Requires="wps">
            <w:drawing>
              <wp:anchor distT="0" distB="0" distL="114300" distR="114300" simplePos="0" relativeHeight="251686912" behindDoc="0" locked="0" layoutInCell="1" allowOverlap="1" wp14:anchorId="48509F67" wp14:editId="580012A0">
                <wp:simplePos x="0" y="0"/>
                <wp:positionH relativeFrom="column">
                  <wp:posOffset>2099310</wp:posOffset>
                </wp:positionH>
                <wp:positionV relativeFrom="paragraph">
                  <wp:posOffset>187007</wp:posOffset>
                </wp:positionV>
                <wp:extent cx="1661795" cy="462915"/>
                <wp:effectExtent l="0" t="0" r="14605" b="13335"/>
                <wp:wrapNone/>
                <wp:docPr id="29" name="Rounded Rectangle 29"/>
                <wp:cNvGraphicFramePr/>
                <a:graphic xmlns:a="http://schemas.openxmlformats.org/drawingml/2006/main">
                  <a:graphicData uri="http://schemas.microsoft.com/office/word/2010/wordprocessingShape">
                    <wps:wsp>
                      <wps:cNvSpPr/>
                      <wps:spPr>
                        <a:xfrm>
                          <a:off x="0" y="0"/>
                          <a:ext cx="1661795" cy="46291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5168380" w14:textId="77777777" w:rsidR="00367E1E" w:rsidRPr="009D1362" w:rsidRDefault="00367E1E" w:rsidP="00367E1E">
                            <w:pPr>
                              <w:jc w:val="center"/>
                              <w:rPr>
                                <w:rFonts w:ascii="Times New Roman" w:hAnsi="Times New Roman" w:cs="Times New Roman"/>
                                <w:color w:val="FFFFFF" w:themeColor="background1"/>
                              </w:rPr>
                            </w:pPr>
                            <w:r>
                              <w:rPr>
                                <w:rFonts w:ascii="Times New Roman" w:hAnsi="Times New Roman" w:cs="Times New Roman"/>
                                <w:color w:val="FFFFFF" w:themeColor="background1"/>
                              </w:rPr>
                              <w:t>Kegunaan Tanah (Land 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509F67" id="Rounded Rectangle 29" o:spid="_x0000_s1042" style="position:absolute;left:0;text-align:left;margin-left:165.3pt;margin-top:14.7pt;width:130.85pt;height:3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" fillcolor="#4f7ac7 [3028]" strokecolor="#4472c4 [3204]" strokeweight=".5pt">
                <v:fill color2="#416fc3 [3172]" rotate="t" colors="0 #6083cb;.5 #3e70ca;1 #2e61ba" focus="100%" type="gradient">
                  <o:fill v:ext="view" type="gradientUnscaled"/>
                </v:fill>
                <v:stroke joinstyle="miter"/>
                <v:textbox>
                  <w:txbxContent>
                    <w:p w14:paraId="45168380" w14:textId="77777777" w:rsidR="00367E1E" w:rsidRPr="009D1362" w:rsidRDefault="00367E1E" w:rsidP="00367E1E">
                      <w:pPr>
                        <w:jc w:val="center"/>
                        <w:rPr>
                          <w:rFonts w:ascii="Times New Roman" w:hAnsi="Times New Roman" w:cs="Times New Roman"/>
                          <w:color w:val="FFFFFF" w:themeColor="background1"/>
                        </w:rPr>
                      </w:pPr>
                      <w:r>
                        <w:rPr>
                          <w:rFonts w:ascii="Times New Roman" w:hAnsi="Times New Roman" w:cs="Times New Roman"/>
                          <w:color w:val="FFFFFF" w:themeColor="background1"/>
                        </w:rPr>
                        <w:t>Kegunaan Tanah (Land Use)</w:t>
                      </w:r>
                    </w:p>
                  </w:txbxContent>
                </v:textbox>
              </v:roundrect>
            </w:pict>
          </mc:Fallback>
        </mc:AlternateContent>
      </w:r>
    </w:p>
    <w:p w14:paraId="53D8D155"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92032" behindDoc="0" locked="0" layoutInCell="1" allowOverlap="1" wp14:anchorId="15D766A9" wp14:editId="038A0F68">
                <wp:simplePos x="0" y="0"/>
                <wp:positionH relativeFrom="column">
                  <wp:posOffset>2942590</wp:posOffset>
                </wp:positionH>
                <wp:positionV relativeFrom="paragraph">
                  <wp:posOffset>266861</wp:posOffset>
                </wp:positionV>
                <wp:extent cx="0" cy="985520"/>
                <wp:effectExtent l="76200" t="0" r="95250" b="62230"/>
                <wp:wrapNone/>
                <wp:docPr id="35" name="Straight Arrow Connector 35"/>
                <wp:cNvGraphicFramePr/>
                <a:graphic xmlns:a="http://schemas.openxmlformats.org/drawingml/2006/main">
                  <a:graphicData uri="http://schemas.microsoft.com/office/word/2010/wordprocessingShape">
                    <wps:wsp>
                      <wps:cNvCnPr/>
                      <wps:spPr>
                        <a:xfrm>
                          <a:off x="0" y="0"/>
                          <a:ext cx="0" cy="985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8F61EE" id="Straight Arrow Connector 35" o:spid="_x0000_s1026" type="#_x0000_t32" style="position:absolute;margin-left:231.7pt;margin-top:21pt;width:0;height:77.6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" strokecolor="#4472c4 [3204]" strokeweight=".5pt">
                <v:stroke endarrow="block" joinstyle="miter"/>
              </v:shape>
            </w:pict>
          </mc:Fallback>
        </mc:AlternateContent>
      </w:r>
    </w:p>
    <w:p w14:paraId="3FE39075"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91008" behindDoc="0" locked="0" layoutInCell="1" allowOverlap="1" wp14:anchorId="627DAA1F" wp14:editId="09F460F3">
                <wp:simplePos x="0" y="0"/>
                <wp:positionH relativeFrom="column">
                  <wp:posOffset>973455</wp:posOffset>
                </wp:positionH>
                <wp:positionV relativeFrom="paragraph">
                  <wp:posOffset>371636</wp:posOffset>
                </wp:positionV>
                <wp:extent cx="3870325" cy="0"/>
                <wp:effectExtent l="0" t="0" r="34925" b="19050"/>
                <wp:wrapNone/>
                <wp:docPr id="34" name="Straight Connector 34"/>
                <wp:cNvGraphicFramePr/>
                <a:graphic xmlns:a="http://schemas.openxmlformats.org/drawingml/2006/main">
                  <a:graphicData uri="http://schemas.microsoft.com/office/word/2010/wordprocessingShape">
                    <wps:wsp>
                      <wps:cNvCnPr/>
                      <wps:spPr>
                        <a:xfrm>
                          <a:off x="0" y="0"/>
                          <a:ext cx="3870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7D43AF" id="Straight Connector 34"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65pt,29.25pt" to="381.4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" strokecolor="#4472c4 [3204]" strokeweight=".5pt">
                <v:stroke joinstyle="miter"/>
              </v:line>
            </w:pict>
          </mc:Fallback>
        </mc:AlternateContent>
      </w:r>
    </w:p>
    <w:p w14:paraId="1829A588" w14:textId="77777777" w:rsidR="00367E1E" w:rsidRPr="00367E1E" w:rsidRDefault="00367E1E" w:rsidP="00367E1E">
      <w:pPr>
        <w:spacing w:after="0" w:line="276" w:lineRule="auto"/>
        <w:ind w:firstLine="851"/>
        <w:jc w:val="both"/>
        <w:rPr>
          <w:rFonts w:ascii="Book Antiqua" w:hAnsi="Book Antiqua"/>
          <w:szCs w:val="20"/>
          <w:lang w:val="id-ID"/>
        </w:rPr>
      </w:pPr>
    </w:p>
    <w:p w14:paraId="10C021C2" w14:textId="77777777" w:rsidR="00367E1E" w:rsidRPr="00367E1E" w:rsidRDefault="00367E1E" w:rsidP="00367E1E">
      <w:pPr>
        <w:spacing w:after="0" w:line="276" w:lineRule="auto"/>
        <w:ind w:firstLine="851"/>
        <w:jc w:val="both"/>
        <w:rPr>
          <w:rFonts w:ascii="Book Antiqua" w:hAnsi="Book Antiqua"/>
          <w:szCs w:val="20"/>
          <w:lang w:val="id-ID"/>
        </w:rPr>
      </w:pPr>
      <w:r w:rsidRPr="00367E1E">
        <w:rPr>
          <w:rFonts w:ascii="Book Antiqua" w:hAnsi="Book Antiqua"/>
          <w:noProof/>
          <w:szCs w:val="20"/>
          <w:lang w:val="id-ID" w:eastAsia="id-ID"/>
        </w:rPr>
        <mc:AlternateContent>
          <mc:Choice Requires="wps">
            <w:drawing>
              <wp:anchor distT="0" distB="0" distL="114300" distR="114300" simplePos="0" relativeHeight="251693056" behindDoc="0" locked="0" layoutInCell="1" allowOverlap="1" wp14:anchorId="7F37FD26" wp14:editId="5DA75E14">
                <wp:simplePos x="0" y="0"/>
                <wp:positionH relativeFrom="column">
                  <wp:posOffset>1908662</wp:posOffset>
                </wp:positionH>
                <wp:positionV relativeFrom="paragraph">
                  <wp:posOffset>119455</wp:posOffset>
                </wp:positionV>
                <wp:extent cx="2065655" cy="534258"/>
                <wp:effectExtent l="0" t="0" r="10795" b="18415"/>
                <wp:wrapNone/>
                <wp:docPr id="36" name="Rounded Rectangle 36"/>
                <wp:cNvGraphicFramePr/>
                <a:graphic xmlns:a="http://schemas.openxmlformats.org/drawingml/2006/main">
                  <a:graphicData uri="http://schemas.microsoft.com/office/word/2010/wordprocessingShape">
                    <wps:wsp>
                      <wps:cNvSpPr/>
                      <wps:spPr>
                        <a:xfrm>
                          <a:off x="0" y="0"/>
                          <a:ext cx="2065655" cy="534258"/>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0BBFAA95" w14:textId="77777777" w:rsidR="00367E1E" w:rsidRPr="009D1362" w:rsidRDefault="00367E1E" w:rsidP="00367E1E">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GOOD LAND GOVERNANCE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7FD26" id="Rounded Rectangle 36" o:spid="_x0000_s1043" style="position:absolute;left:0;text-align:left;margin-left:150.3pt;margin-top:9.4pt;width:162.65pt;height:42.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" fillcolor="#4f7ac7 [3028]" strokecolor="#4472c4 [3204]" strokeweight=".5pt">
                <v:fill color2="#416fc3 [3172]" rotate="t" colors="0 #6083cb;.5 #3e70ca;1 #2e61ba" focus="100%" type="gradient">
                  <o:fill v:ext="view" type="gradientUnscaled"/>
                </v:fill>
                <v:stroke joinstyle="miter"/>
                <v:textbox>
                  <w:txbxContent>
                    <w:p w14:paraId="0BBFAA95" w14:textId="77777777" w:rsidR="00367E1E" w:rsidRPr="009D1362" w:rsidRDefault="00367E1E" w:rsidP="00367E1E">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GOOD LAND GOVERNANCE </w:t>
                      </w:r>
                    </w:p>
                  </w:txbxContent>
                </v:textbox>
              </v:roundrect>
            </w:pict>
          </mc:Fallback>
        </mc:AlternateContent>
      </w:r>
    </w:p>
    <w:p w14:paraId="35DBD0AA" w14:textId="77777777" w:rsidR="00367E1E" w:rsidRPr="00367E1E" w:rsidRDefault="00367E1E" w:rsidP="00367E1E">
      <w:pPr>
        <w:spacing w:after="0" w:line="276" w:lineRule="auto"/>
        <w:ind w:firstLine="851"/>
        <w:jc w:val="both"/>
        <w:rPr>
          <w:rFonts w:ascii="Book Antiqua" w:hAnsi="Book Antiqua"/>
          <w:szCs w:val="20"/>
          <w:lang w:val="id-ID"/>
        </w:rPr>
      </w:pPr>
    </w:p>
    <w:p w14:paraId="4CE0E4A5" w14:textId="77777777" w:rsidR="00367E1E" w:rsidRPr="00367E1E" w:rsidRDefault="00367E1E" w:rsidP="00367E1E">
      <w:pPr>
        <w:spacing w:after="0" w:line="276" w:lineRule="auto"/>
        <w:ind w:firstLine="851"/>
        <w:jc w:val="both"/>
        <w:rPr>
          <w:rFonts w:ascii="Book Antiqua" w:hAnsi="Book Antiqua"/>
          <w:szCs w:val="20"/>
          <w:lang w:val="id-ID"/>
        </w:rPr>
      </w:pPr>
    </w:p>
    <w:p w14:paraId="2189BFF7" w14:textId="4D6B9214" w:rsidR="00916449" w:rsidRPr="008579F2" w:rsidRDefault="00077F82" w:rsidP="00916449">
      <w:pPr>
        <w:spacing w:line="276" w:lineRule="auto"/>
        <w:jc w:val="both"/>
        <w:rPr>
          <w:rFonts w:ascii="Book Antiqua" w:eastAsia="Calibri" w:hAnsi="Book Antiqua" w:cs="Arial"/>
          <w:b/>
          <w:lang w:val="id-ID"/>
        </w:rPr>
      </w:pPr>
      <w:r>
        <w:rPr>
          <w:rFonts w:ascii="Book Antiqua" w:eastAsia="Calibri" w:hAnsi="Book Antiqua" w:cs="Arial"/>
          <w:b/>
          <w:lang w:val="id-ID"/>
        </w:rPr>
        <w:lastRenderedPageBreak/>
        <w:t xml:space="preserve">HASIL dan PEMBAHASAN </w:t>
      </w:r>
    </w:p>
    <w:p w14:paraId="5A9DC9D1" w14:textId="77777777" w:rsidR="008579F2" w:rsidRPr="008579F2" w:rsidRDefault="008579F2" w:rsidP="008579F2">
      <w:pPr>
        <w:pStyle w:val="ListParagraph"/>
        <w:numPr>
          <w:ilvl w:val="0"/>
          <w:numId w:val="5"/>
        </w:numPr>
        <w:spacing w:line="276" w:lineRule="auto"/>
        <w:jc w:val="both"/>
        <w:rPr>
          <w:rFonts w:ascii="Book Antiqua" w:eastAsia="Calibri" w:hAnsi="Book Antiqua" w:cs="Arial"/>
          <w:lang w:val="id-ID"/>
        </w:rPr>
      </w:pPr>
      <w:r w:rsidRPr="008579F2">
        <w:rPr>
          <w:rFonts w:ascii="Book Antiqua" w:eastAsia="Calibri" w:hAnsi="Book Antiqua" w:cs="Arial"/>
          <w:lang w:val="id-ID"/>
        </w:rPr>
        <w:t xml:space="preserve">Kebijakan Penataan Pertanahan Desa Tirtomulyo Kecamatan Kretek dan Desa Gadingsari Kecamatan Sanden Kebupaten Bantul </w:t>
      </w:r>
    </w:p>
    <w:p w14:paraId="72543362" w14:textId="703AAF09" w:rsidR="008579F2" w:rsidRDefault="008579F2" w:rsidP="008579F2">
      <w:pPr>
        <w:spacing w:line="276" w:lineRule="auto"/>
        <w:ind w:left="720" w:firstLine="720"/>
        <w:jc w:val="both"/>
        <w:rPr>
          <w:rFonts w:ascii="Book Antiqua" w:eastAsia="Calibri" w:hAnsi="Book Antiqua" w:cs="Arial"/>
          <w:lang w:val="id-ID"/>
        </w:rPr>
      </w:pPr>
      <w:r w:rsidRPr="008579F2">
        <w:rPr>
          <w:rFonts w:ascii="Book Antiqua" w:eastAsia="Calibri" w:hAnsi="Book Antiqua" w:cs="Arial"/>
          <w:lang w:val="id-ID"/>
        </w:rPr>
        <w:t xml:space="preserve">Secara umum, pengelolaan lahan menggunakan pola manajemen penggunaan lahan yang mencakup kontrol, penggunaan, dan pemanfaatan lahan. Prinsip dasar dalam pengelolaan lahan adalah mencapai manfaat secara optimal dengan mempertimbangkan kesesuaian lahan, alokasi ruang, dan keberlanjutan. Sedangkan tujuan dari pengelolaan lahan adalah menjadikan tanah sebagai sumber daya alam yang dapat dimanfaatkan oleh masyarakat secara berkelanjutan, optimal, harmonis, dan seimbang </w:t>
      </w:r>
      <w:r w:rsidRPr="008579F2">
        <w:rPr>
          <w:rFonts w:ascii="Book Antiqua" w:eastAsia="Calibri" w:hAnsi="Book Antiqua" w:cs="Arial"/>
          <w:lang w:val="id-ID"/>
        </w:rPr>
        <w:fldChar w:fldCharType="begin" w:fldLock="1"/>
      </w:r>
      <w:r w:rsidRPr="008579F2">
        <w:rPr>
          <w:rFonts w:ascii="Book Antiqua" w:eastAsia="Calibri" w:hAnsi="Book Antiqua" w:cs="Arial"/>
          <w:lang w:val="id-ID"/>
        </w:rPr>
        <w:instrText>ADDIN CSL_CITATION {"citationItems":[{"id":"ITEM-1","itemData":{"DOI":"10.31292/jb.v2i2.73","ISSN":"2442-6954","abstract":"Abstract : ASEAN Economic Community (AEC) has the aims to transform ASEAN into a stable, prosperous, and highly competitive region through equitable economic development, poverty reduction and socio-economic disparities. As a consequence, since 2015, ASEAN becomes region with free trade of goods, services, investment, and skilled labor. The impact of the implementation of MEA is shown by the price and quality of goods and services that become competitive, affecting domestic products and services from Small and Medium Enterprises (SMEs), as well as farmers. The government has sought to support SMEs and farmers through direct and indirect assistance. Land is the sector that has the most influential effect among other sectors to provoke economic growth of SMEs and farmers, because land has the function as natural resource as well as work location. To optimize this, land policies are needed to regulate land use arrangement, land asset legalization, control of land utilization and community empowerment through access reform. Asset legalization for SMEs and farmers, as well as asset legalization for infrastructures. Land use and land utilization control was implemented to optimize large-scale agricultural area by set up cooperation scheme with local people. Community empowerment was implemented through access reform, prioritized to the regions that have leading commodities or products. Keywords : competition, land use arrangement, assets legalization, land utilization, community empowermentIntisari : Pembentukan Masyarakat Ekonomi ASEAN (MEA) bertujuan untuk mentransformasikan ASEAN menjadi kawasan yang stabil, makmur, dan sangat kompetitif melalui ekonomi pembangunan yang adil, berkurangnya kemiskinan dan kesenjangan sosial-ekonomi. Sebagai konsekuensinya, ASEAN menjadi daerah dengan pergerakan bebas barang, jasa, investasi, tenaga kerja terampil, dan aliran modal sejak tahun 2015.Dampak pemberlakuan MEA adalah terjadinya persaingan harga dan kualitas barang dan jasa yang berpengaruh terhadap produk dan jasa domestik yang umumnya dilakukan oleh pelaku Usaha Kecil dan Menengah (UKM) dan petani. Pemerintah telah berupaya membantu pelaku UKM dan petani melalui bantuan langsung dan tidak langsung. Sektor pertanahan adalah sektor yang paling berpengaruh terhadap tumbuhnya perekonomian pelaku UKM dan petani. Hal tersebut karena tanah merupakan sumberdaya alam sekaligus ruang tempat berusaha. Agar dapat membantu pelaku UKM dan petani diperlukan langkah–langkah kebi…","author":[{"dropping-particle":"","family":"Arnowo","given":"Hadi","non-dropping-particle":"","parse-names":false,"suffix":""},{"dropping-particle":"","family":"Handayani","given":"Djudjuk Tri","non-dropping-particle":"","parse-names":false,"suffix":""}],"container-title":"BHUMI: Jurnal Agraria dan Pertanahan","id":"ITEM-1","issue":"2","issued":{"date-parts":[["2016"]]},"page":"227","title":"Kebijakan Pertanahan pada Era Masyarakat Ekonomi Asean (MEA)","type":"article-journal","volume":"2"},"uris":["http://www.mendeley.com/documents/?uuid=2f0be6b5-907e-4f8f-94b3-a61a41fd01ef"]}],"mendeley":{"formattedCitation":"(Arnowo and Handayani, 2016)","plainTextFormattedCitation":"(Arnowo and Handayani, 2016)","previouslyFormattedCitation":"(Arnowo and Handayani, 2016)"},"properties":{"noteIndex":0},"schema":"https://github.com/citation-style-language/schema/raw/master/csl-citation.json"}</w:instrText>
      </w:r>
      <w:r w:rsidRPr="008579F2">
        <w:rPr>
          <w:rFonts w:ascii="Book Antiqua" w:eastAsia="Calibri" w:hAnsi="Book Antiqua" w:cs="Arial"/>
          <w:lang w:val="id-ID"/>
        </w:rPr>
        <w:fldChar w:fldCharType="separate"/>
      </w:r>
      <w:r w:rsidRPr="008579F2">
        <w:rPr>
          <w:rFonts w:ascii="Book Antiqua" w:eastAsia="Calibri" w:hAnsi="Book Antiqua" w:cs="Arial"/>
          <w:lang w:val="id-ID"/>
        </w:rPr>
        <w:t>(Arnowo and Handayani, 2016)</w:t>
      </w:r>
      <w:r w:rsidRPr="008579F2">
        <w:rPr>
          <w:rFonts w:ascii="Book Antiqua" w:eastAsia="Calibri" w:hAnsi="Book Antiqua" w:cs="Arial"/>
          <w:lang w:val="id-ID"/>
        </w:rPr>
        <w:fldChar w:fldCharType="end"/>
      </w:r>
      <w:r w:rsidRPr="008579F2">
        <w:rPr>
          <w:rFonts w:ascii="Book Antiqua" w:eastAsia="Calibri" w:hAnsi="Book Antiqua" w:cs="Arial"/>
          <w:lang w:val="id-ID"/>
        </w:rPr>
        <w:t xml:space="preserve">. </w:t>
      </w:r>
    </w:p>
    <w:p w14:paraId="6EB4C605" w14:textId="6030E149" w:rsidR="008579F2" w:rsidRPr="008579F2" w:rsidRDefault="008579F2" w:rsidP="008579F2">
      <w:pPr>
        <w:pStyle w:val="ListParagraph"/>
        <w:numPr>
          <w:ilvl w:val="0"/>
          <w:numId w:val="6"/>
        </w:numPr>
        <w:spacing w:line="360" w:lineRule="auto"/>
        <w:jc w:val="both"/>
        <w:rPr>
          <w:rFonts w:ascii="Book Antiqua" w:hAnsi="Book Antiqua"/>
        </w:rPr>
      </w:pPr>
      <w:r w:rsidRPr="008579F2">
        <w:rPr>
          <w:rFonts w:ascii="Book Antiqua" w:hAnsi="Book Antiqua"/>
        </w:rPr>
        <w:t xml:space="preserve">Kepemilikan Tanah di Desa Tirtomulyo Kecamatan Kretek dan Desa Gadingsari Kecamatan Sanden Kabupaten Bantul </w:t>
      </w:r>
    </w:p>
    <w:p w14:paraId="3E439BFD" w14:textId="0778DCFC" w:rsidR="008579F2" w:rsidRPr="008579F2" w:rsidRDefault="008579F2" w:rsidP="008579F2">
      <w:pPr>
        <w:pStyle w:val="ListParagraph"/>
        <w:tabs>
          <w:tab w:val="left" w:pos="1239"/>
        </w:tabs>
        <w:spacing w:line="240" w:lineRule="auto"/>
        <w:ind w:left="1440"/>
        <w:jc w:val="center"/>
        <w:rPr>
          <w:rFonts w:ascii="Book Antiqua" w:hAnsi="Book Antiqua"/>
          <w:b/>
        </w:rPr>
      </w:pPr>
      <w:r w:rsidRPr="008579F2">
        <w:rPr>
          <w:rFonts w:ascii="Constantia" w:hAnsi="Constantia"/>
          <w:b/>
          <w:noProof/>
          <w:sz w:val="24"/>
          <w:szCs w:val="24"/>
          <w:lang w:val="id-ID" w:eastAsia="id-ID"/>
        </w:rPr>
        <w:drawing>
          <wp:anchor distT="0" distB="0" distL="114300" distR="114300" simplePos="0" relativeHeight="251695104" behindDoc="0" locked="0" layoutInCell="1" allowOverlap="1" wp14:anchorId="281DAE2C" wp14:editId="08B215CB">
            <wp:simplePos x="0" y="0"/>
            <wp:positionH relativeFrom="column">
              <wp:posOffset>239395</wp:posOffset>
            </wp:positionH>
            <wp:positionV relativeFrom="paragraph">
              <wp:posOffset>254797</wp:posOffset>
            </wp:positionV>
            <wp:extent cx="5678170" cy="26289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rosstab Query - Kepemilikan tanah baru.png"/>
                    <pic:cNvPicPr/>
                  </pic:nvPicPr>
                  <pic:blipFill rotWithShape="1">
                    <a:blip r:embed="rId9" cstate="print">
                      <a:extLst>
                        <a:ext uri="{28A0092B-C50C-407E-A947-70E740481C1C}">
                          <a14:useLocalDpi xmlns:a14="http://schemas.microsoft.com/office/drawing/2010/main" val="0"/>
                        </a:ext>
                      </a:extLst>
                    </a:blip>
                    <a:srcRect l="711" r="711"/>
                    <a:stretch/>
                  </pic:blipFill>
                  <pic:spPr bwMode="auto">
                    <a:xfrm>
                      <a:off x="0" y="0"/>
                      <a:ext cx="5678170" cy="262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79F2">
        <w:rPr>
          <w:rFonts w:ascii="Book Antiqua" w:hAnsi="Book Antiqua"/>
          <w:b/>
        </w:rPr>
        <w:t>Gambar 5. Kepemilikan Tanah di Desa Tirtomulyo</w:t>
      </w:r>
    </w:p>
    <w:p w14:paraId="75649E5B" w14:textId="3BB68274" w:rsidR="008579F2" w:rsidRPr="008579F2" w:rsidRDefault="008579F2" w:rsidP="008579F2">
      <w:pPr>
        <w:spacing w:line="360" w:lineRule="auto"/>
        <w:ind w:left="720" w:firstLine="720"/>
        <w:jc w:val="center"/>
        <w:rPr>
          <w:rFonts w:ascii="Book Antiqua" w:hAnsi="Book Antiqua"/>
          <w:lang w:val="id-ID"/>
        </w:rPr>
      </w:pPr>
      <w:r w:rsidRPr="008579F2">
        <w:rPr>
          <w:rFonts w:ascii="Book Antiqua" w:hAnsi="Book Antiqua"/>
          <w:lang w:val="id-ID"/>
        </w:rPr>
        <w:t>Sumber: Crosstab Query Analysis with Nvivo 12 Plus, 2020</w:t>
      </w:r>
    </w:p>
    <w:p w14:paraId="69BCE0AD" w14:textId="77777777" w:rsidR="009E0EFF" w:rsidRPr="009E0EFF" w:rsidRDefault="009E0EFF" w:rsidP="00417EFC">
      <w:pPr>
        <w:spacing w:line="276" w:lineRule="auto"/>
        <w:ind w:left="720" w:firstLine="720"/>
        <w:jc w:val="both"/>
        <w:rPr>
          <w:rFonts w:ascii="Book Antiqua" w:hAnsi="Book Antiqua"/>
        </w:rPr>
      </w:pPr>
      <w:r w:rsidRPr="009E0EFF">
        <w:rPr>
          <w:rFonts w:ascii="Book Antiqua" w:hAnsi="Book Antiqua"/>
        </w:rPr>
        <w:t xml:space="preserve">Berdasarkan Gambar 5. Crosstab analysis diatas menunjukkan bahwa kepemilikan tanah di Desa Tirtomulyo Kecamatan Kretek Kabupaten Bantul, seperti Hak Milik dengan jumlah frekuensi yang didapatkan oleh Kepala Desa serta Kepala Seksi Pemerintahan Desa yaitu sebesar 28%, kemudian Hak Milik Adat dengan jumlah frekuensi yang didapatkan sebesar 28%, dan disusul Tanah Kas Desa dengan jumlah 20%. Sedangkan menurut Pelaksana Konsolidasi Tanah Kantor Wilayah Badan Pertanahan Nasional Daerah </w:t>
      </w:r>
      <w:r w:rsidRPr="009E0EFF">
        <w:rPr>
          <w:rFonts w:ascii="Book Antiqua" w:hAnsi="Book Antiqua"/>
        </w:rPr>
        <w:lastRenderedPageBreak/>
        <w:t xml:space="preserve">Istimewa Yogyakarta dengan indikator Hak Milik sebesar 71%, serta Hak Milik Adat sebesar 71%, dan Tanah Kas Desa sebesar 80%.  </w:t>
      </w:r>
    </w:p>
    <w:p w14:paraId="4E3FA7CD" w14:textId="0E0443D6" w:rsidR="008579F2" w:rsidRPr="009E0EFF" w:rsidRDefault="009E0EFF" w:rsidP="00417EFC">
      <w:pPr>
        <w:spacing w:line="276" w:lineRule="auto"/>
        <w:ind w:left="720" w:firstLine="720"/>
        <w:jc w:val="both"/>
        <w:rPr>
          <w:rFonts w:ascii="Book Antiqua" w:hAnsi="Book Antiqua"/>
        </w:rPr>
      </w:pPr>
      <w:r w:rsidRPr="009E0EFF">
        <w:rPr>
          <w:rFonts w:ascii="Book Antiqua" w:hAnsi="Book Antiqua"/>
        </w:rPr>
        <w:t>Dari dua dusun yang ada di Desa Tirtomulyo dengan status penguasaan tanah, terdiri dari 3 jenis indikator yaitu Hak Milik, Hak Milik Adat dan Tanah Kas Desa. Luas Dusun Tluren kurang lebih 27 Ha yang terdiri dari Pekarangan (kurang lebih 15 Ha) dan Sawah (kurang lebih 12 Ha). Tanah Kas Desa luasnya kurang lebih 43 hektar berupa areal persawahan. Status Penguasaan Tanah di Dusun Tokolan terdiri dari 2 jenis yaitu Hak Milik dan Hak Milik Adat. Luas Dusun Tokolan kurang lebih 16 Ha yang terdiri dari Pekarangan (kurang lebih 7,4 Ha) dan Sawah (kurang lebih 8,8 Ha).</w:t>
      </w:r>
    </w:p>
    <w:p w14:paraId="2DE89FD2" w14:textId="7D5D659A" w:rsidR="004F42F0" w:rsidRPr="004F42F0" w:rsidRDefault="004F42F0" w:rsidP="004F42F0">
      <w:pPr>
        <w:spacing w:line="276" w:lineRule="auto"/>
        <w:ind w:firstLine="720"/>
        <w:jc w:val="center"/>
        <w:rPr>
          <w:rFonts w:ascii="Book Antiqua" w:eastAsia="Calibri" w:hAnsi="Book Antiqua" w:cs="Arial"/>
          <w:b/>
          <w:lang w:val="id-ID"/>
        </w:rPr>
      </w:pPr>
      <w:r w:rsidRPr="004F42F0">
        <w:rPr>
          <w:rFonts w:ascii="Constantia" w:hAnsi="Constantia"/>
          <w:b/>
          <w:noProof/>
          <w:sz w:val="24"/>
          <w:szCs w:val="24"/>
          <w:lang w:val="id-ID" w:eastAsia="id-ID"/>
        </w:rPr>
        <w:drawing>
          <wp:anchor distT="0" distB="0" distL="114300" distR="114300" simplePos="0" relativeHeight="251697152" behindDoc="0" locked="0" layoutInCell="1" allowOverlap="1" wp14:anchorId="79F485C7" wp14:editId="7A8C6E79">
            <wp:simplePos x="0" y="0"/>
            <wp:positionH relativeFrom="column">
              <wp:posOffset>0</wp:posOffset>
            </wp:positionH>
            <wp:positionV relativeFrom="paragraph">
              <wp:posOffset>211617</wp:posOffset>
            </wp:positionV>
            <wp:extent cx="5683250" cy="272161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rosstab Query - Kepemilikan tanah.png"/>
                    <pic:cNvPicPr/>
                  </pic:nvPicPr>
                  <pic:blipFill rotWithShape="1">
                    <a:blip r:embed="rId10" cstate="print">
                      <a:extLst>
                        <a:ext uri="{28A0092B-C50C-407E-A947-70E740481C1C}">
                          <a14:useLocalDpi xmlns:a14="http://schemas.microsoft.com/office/drawing/2010/main" val="0"/>
                        </a:ext>
                      </a:extLst>
                    </a:blip>
                    <a:srcRect l="662" r="662"/>
                    <a:stretch/>
                  </pic:blipFill>
                  <pic:spPr bwMode="auto">
                    <a:xfrm>
                      <a:off x="0" y="0"/>
                      <a:ext cx="5683250" cy="2721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42F0">
        <w:rPr>
          <w:rFonts w:ascii="Book Antiqua" w:eastAsia="Calibri" w:hAnsi="Book Antiqua" w:cs="Arial"/>
          <w:b/>
          <w:lang w:val="id-ID"/>
        </w:rPr>
        <w:t>Gambar 6. Kepemilikan Tanah di Desa Gadingsari</w:t>
      </w:r>
    </w:p>
    <w:p w14:paraId="35767DAF" w14:textId="77777777" w:rsidR="004F42F0" w:rsidRPr="004F42F0" w:rsidRDefault="004F42F0" w:rsidP="004F42F0">
      <w:pPr>
        <w:spacing w:line="276" w:lineRule="auto"/>
        <w:ind w:firstLine="720"/>
        <w:jc w:val="center"/>
        <w:rPr>
          <w:rFonts w:ascii="Book Antiqua" w:eastAsia="Calibri" w:hAnsi="Book Antiqua" w:cs="Arial"/>
          <w:lang w:val="id-ID"/>
        </w:rPr>
      </w:pPr>
      <w:r w:rsidRPr="004F42F0">
        <w:rPr>
          <w:rFonts w:ascii="Book Antiqua" w:eastAsia="Calibri" w:hAnsi="Book Antiqua" w:cs="Arial"/>
          <w:lang w:val="id-ID"/>
        </w:rPr>
        <w:t>Sumber: Crosstab Query Analysis with Nvivo 12 Plus, 2020</w:t>
      </w:r>
    </w:p>
    <w:p w14:paraId="026E8770" w14:textId="77777777" w:rsidR="004F42F0" w:rsidRPr="004F42F0" w:rsidRDefault="004F42F0" w:rsidP="004F42F0">
      <w:pPr>
        <w:spacing w:line="276" w:lineRule="auto"/>
        <w:ind w:left="720" w:firstLine="720"/>
        <w:jc w:val="both"/>
        <w:rPr>
          <w:rFonts w:ascii="Book Antiqua" w:eastAsia="Calibri" w:hAnsi="Book Antiqua" w:cs="Arial"/>
          <w:lang w:val="id-ID"/>
        </w:rPr>
      </w:pPr>
      <w:r w:rsidRPr="004F42F0">
        <w:rPr>
          <w:rFonts w:ascii="Book Antiqua" w:eastAsia="Calibri" w:hAnsi="Book Antiqua" w:cs="Arial"/>
          <w:lang w:val="id-ID"/>
        </w:rPr>
        <w:t xml:space="preserve">Gambar 6. Crosstab analysis diatas menunjukkan bahwa kepemilikan tanah di Desa Gadingsari Kecamatan Sanden Kabupaten Bantul. Kepemilikan tanah berdasarkan pada Hak Milik dengan frekuensi 37%, Hak Milik Adat dengan jumlah 37%, dan diikuti oleh Tanah Kas Desa sebesar 42%. Frekuensi dengan total 116% ini berdasarkan apa yang diucapkan oleh Kepala Desa Gadingsari dan Kepala Seksi Pemerintahan Desa Gadingsari. Dan sedangkan total frekuensi dari Pelaksana Konsolidasi Tanah Kanwil BPN DIY sebesar 181%. Dengan masing-masing indikator yaitu Hak Milik dengan jumlah 62%, diikuti dengan Hak Milik Adat sebesar 62%, dan Tanah Kas desa dengan jumlah 57%. </w:t>
      </w:r>
    </w:p>
    <w:p w14:paraId="654E8C2E" w14:textId="3872EBFA" w:rsidR="004F42F0" w:rsidRDefault="004F42F0" w:rsidP="004F42F0">
      <w:pPr>
        <w:spacing w:line="276" w:lineRule="auto"/>
        <w:ind w:left="720" w:firstLine="720"/>
        <w:jc w:val="both"/>
        <w:rPr>
          <w:rFonts w:ascii="Book Antiqua" w:eastAsia="Calibri" w:hAnsi="Book Antiqua" w:cs="Arial"/>
          <w:lang w:val="id-ID"/>
        </w:rPr>
      </w:pPr>
      <w:r w:rsidRPr="004F42F0">
        <w:rPr>
          <w:rFonts w:ascii="Book Antiqua" w:eastAsia="Calibri" w:hAnsi="Book Antiqua" w:cs="Arial"/>
          <w:lang w:val="id-ID"/>
        </w:rPr>
        <w:lastRenderedPageBreak/>
        <w:t>Dari tiga dusun yang ada di Desa Gadingsari dengan status penguasaan tanah, terdiri dari 3 jenis indikator yaitu Hak Milik, Hak Milik Adat dan Tanah Kas Desa. Status Penguasaan Tanah di Dusun Bongos I terdiri dari 3 jenis yaitu Hak Milik, Hak Milik Adat dan Tanah Kas Desa. Luas tanah yang sudah bersertipikat kurang lebih 21 Ha (66,90 %). Status Penguasaan Tanah di Dusun Demakan terdiri dari 3 jenis yaitu Hak Milik, Hak Milik Adat, dan Tanah Kas Desa. Luas tanah yang sudah bersertipikat kurang lebih 17 Ha (70,83 %). Status Penguasaan Tanah di Dusun Nanggulan terdiri dari 3 jenis yaitu Hak Milik, Hak Milik Adat, dan Tanah Kas Desa. Di Dusun Nanggulan terdapat kurang lebih 339 bidang, yang sudah bersertipikat 226 bidang (66,67 %).</w:t>
      </w:r>
    </w:p>
    <w:p w14:paraId="60CF59D5" w14:textId="16E25C75" w:rsidR="004F42F0" w:rsidRPr="004F42F0" w:rsidRDefault="004F42F0" w:rsidP="004F42F0">
      <w:pPr>
        <w:numPr>
          <w:ilvl w:val="0"/>
          <w:numId w:val="6"/>
        </w:numPr>
        <w:spacing w:line="276" w:lineRule="auto"/>
        <w:jc w:val="both"/>
        <w:rPr>
          <w:rFonts w:ascii="Book Antiqua" w:eastAsia="Calibri" w:hAnsi="Book Antiqua" w:cs="Arial"/>
          <w:lang w:val="id-ID"/>
        </w:rPr>
      </w:pPr>
      <w:r w:rsidRPr="004F42F0">
        <w:rPr>
          <w:rFonts w:ascii="Book Antiqua" w:eastAsia="Calibri" w:hAnsi="Book Antiqua" w:cs="Arial"/>
          <w:lang w:val="id-ID"/>
        </w:rPr>
        <w:t xml:space="preserve">Kegunaan Tanah di Desa Tirtomulyo Kecamatan Kretek dan Desa Gadingsari Kecamatan Sanden Kabupaten Bantul </w:t>
      </w:r>
    </w:p>
    <w:p w14:paraId="2BD3B7FA" w14:textId="6C8E5FCC" w:rsidR="004F42F0" w:rsidRPr="00B81F5D" w:rsidRDefault="004F42F0" w:rsidP="00417EFC">
      <w:pPr>
        <w:tabs>
          <w:tab w:val="left" w:pos="3232"/>
        </w:tabs>
        <w:spacing w:line="240" w:lineRule="auto"/>
        <w:ind w:firstLine="1080"/>
        <w:jc w:val="center"/>
        <w:rPr>
          <w:rFonts w:ascii="Book Antiqua" w:hAnsi="Book Antiqua"/>
          <w:b/>
        </w:rPr>
      </w:pPr>
      <w:r w:rsidRPr="00B81F5D">
        <w:rPr>
          <w:rFonts w:ascii="Book Antiqua" w:eastAsia="Calibri" w:hAnsi="Book Antiqua" w:cs="Arial"/>
          <w:b/>
          <w:noProof/>
          <w:lang w:val="id-ID" w:eastAsia="id-ID"/>
        </w:rPr>
        <w:drawing>
          <wp:anchor distT="0" distB="0" distL="114300" distR="114300" simplePos="0" relativeHeight="251699200" behindDoc="0" locked="0" layoutInCell="1" allowOverlap="1" wp14:anchorId="0DB633FF" wp14:editId="3569E54E">
            <wp:simplePos x="0" y="0"/>
            <wp:positionH relativeFrom="column">
              <wp:posOffset>67945</wp:posOffset>
            </wp:positionH>
            <wp:positionV relativeFrom="paragraph">
              <wp:posOffset>249110</wp:posOffset>
            </wp:positionV>
            <wp:extent cx="5451475" cy="2905125"/>
            <wp:effectExtent l="0" t="0" r="0" b="952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rosstab Query - Kegunaan Tanah Desa Tirtomulyo.png"/>
                    <pic:cNvPicPr/>
                  </pic:nvPicPr>
                  <pic:blipFill rotWithShape="1">
                    <a:blip r:embed="rId11" cstate="print">
                      <a:extLst>
                        <a:ext uri="{28A0092B-C50C-407E-A947-70E740481C1C}">
                          <a14:useLocalDpi xmlns:a14="http://schemas.microsoft.com/office/drawing/2010/main" val="0"/>
                        </a:ext>
                      </a:extLst>
                    </a:blip>
                    <a:srcRect l="19241" r="3055"/>
                    <a:stretch/>
                  </pic:blipFill>
                  <pic:spPr bwMode="auto">
                    <a:xfrm>
                      <a:off x="0" y="0"/>
                      <a:ext cx="545147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1F5D">
        <w:rPr>
          <w:rFonts w:ascii="Book Antiqua" w:hAnsi="Book Antiqua"/>
          <w:b/>
        </w:rPr>
        <w:t>Gambar 7. Kegunaan Tanah di Desa Tirtomulyo</w:t>
      </w:r>
    </w:p>
    <w:p w14:paraId="62F7C76D" w14:textId="52546D07" w:rsidR="008579F2" w:rsidRDefault="004F42F0" w:rsidP="004F42F0">
      <w:pPr>
        <w:spacing w:line="276" w:lineRule="auto"/>
        <w:ind w:left="360" w:firstLine="720"/>
        <w:jc w:val="center"/>
        <w:rPr>
          <w:rFonts w:ascii="Book Antiqua" w:eastAsia="Calibri" w:hAnsi="Book Antiqua" w:cs="Arial"/>
          <w:lang w:val="id-ID"/>
        </w:rPr>
      </w:pPr>
      <w:r w:rsidRPr="004F42F0">
        <w:rPr>
          <w:rFonts w:ascii="Book Antiqua" w:eastAsia="Calibri" w:hAnsi="Book Antiqua" w:cs="Arial"/>
          <w:lang w:val="id-ID"/>
        </w:rPr>
        <w:t>Sumber: Crosstab Query Analysis with Nvivo 12 Plus, 2020</w:t>
      </w:r>
    </w:p>
    <w:p w14:paraId="50AC8940" w14:textId="77777777" w:rsidR="004F42F0" w:rsidRPr="004F42F0" w:rsidRDefault="004F42F0" w:rsidP="004F42F0">
      <w:pPr>
        <w:spacing w:line="276" w:lineRule="auto"/>
        <w:ind w:left="720" w:firstLine="720"/>
        <w:jc w:val="both"/>
        <w:rPr>
          <w:rFonts w:ascii="Book Antiqua" w:eastAsia="Calibri" w:hAnsi="Book Antiqua" w:cs="Arial"/>
          <w:lang w:val="id-ID"/>
        </w:rPr>
      </w:pPr>
      <w:r w:rsidRPr="004F42F0">
        <w:rPr>
          <w:rFonts w:ascii="Book Antiqua" w:eastAsia="Calibri" w:hAnsi="Book Antiqua" w:cs="Arial"/>
          <w:lang w:val="id-ID"/>
        </w:rPr>
        <w:t xml:space="preserve">Gambar 7. Diatas menunjukkan bahwa kegunaan tanah diwilayah Desa Tirtomulyo sebesar 28% berdasarkan Pemerintah Desa. Sedangkan menurut Pelaksana Konsolidasi Tanah Kantor Wilayah Badan Pertanahan Nasional Daerah Istimewa Yogyakarta sebesar 71%. </w:t>
      </w:r>
    </w:p>
    <w:p w14:paraId="061A3C03" w14:textId="77777777" w:rsidR="004F42F0" w:rsidRPr="004F42F0" w:rsidRDefault="004F42F0" w:rsidP="004F42F0">
      <w:pPr>
        <w:spacing w:line="276" w:lineRule="auto"/>
        <w:ind w:left="720" w:firstLine="720"/>
        <w:jc w:val="both"/>
        <w:rPr>
          <w:rFonts w:ascii="Book Antiqua" w:eastAsia="Calibri" w:hAnsi="Book Antiqua" w:cs="Arial"/>
          <w:lang w:val="id-ID"/>
        </w:rPr>
      </w:pPr>
      <w:r w:rsidRPr="004F42F0">
        <w:rPr>
          <w:rFonts w:ascii="Book Antiqua" w:eastAsia="Calibri" w:hAnsi="Book Antiqua" w:cs="Arial"/>
          <w:lang w:val="id-ID"/>
        </w:rPr>
        <w:t xml:space="preserve">Penggunaan Tanah di Dusun Tluren didominasi oleh sawah seluas kurang lebih 11,9 hektar (44,11 %), selanjutnya areal permukiman seluas kurang lebih 8,08 hektar (29,93 %). Dan Penggunaan Tanah di Dusun Tokolan </w:t>
      </w:r>
      <w:r w:rsidRPr="004F42F0">
        <w:rPr>
          <w:rFonts w:ascii="Book Antiqua" w:eastAsia="Calibri" w:hAnsi="Book Antiqua" w:cs="Arial"/>
          <w:lang w:val="id-ID"/>
        </w:rPr>
        <w:lastRenderedPageBreak/>
        <w:t>didominasi oleh sawah seluas kurang lebih 8,8 hektar (54,27 %). Luas permukinan (area terbangun) seluas 29,93 hektar sebesar 25,26 %.</w:t>
      </w:r>
    </w:p>
    <w:p w14:paraId="2196D1AF" w14:textId="747F4873" w:rsidR="004F42F0" w:rsidRPr="004F42F0" w:rsidRDefault="004F42F0" w:rsidP="004F42F0">
      <w:pPr>
        <w:spacing w:line="276" w:lineRule="auto"/>
        <w:ind w:firstLine="720"/>
        <w:jc w:val="center"/>
        <w:rPr>
          <w:rFonts w:ascii="Book Antiqua" w:eastAsia="Calibri" w:hAnsi="Book Antiqua" w:cs="Arial"/>
          <w:b/>
          <w:lang w:val="id-ID"/>
        </w:rPr>
      </w:pPr>
      <w:r w:rsidRPr="003C4B94">
        <w:rPr>
          <w:rFonts w:ascii="Constantia" w:hAnsi="Constantia"/>
          <w:noProof/>
          <w:sz w:val="24"/>
          <w:szCs w:val="24"/>
          <w:lang w:val="id-ID" w:eastAsia="id-ID"/>
        </w:rPr>
        <w:drawing>
          <wp:anchor distT="0" distB="0" distL="114300" distR="114300" simplePos="0" relativeHeight="251701248" behindDoc="0" locked="0" layoutInCell="1" allowOverlap="1" wp14:anchorId="7FAE87DA" wp14:editId="4B669D6E">
            <wp:simplePos x="0" y="0"/>
            <wp:positionH relativeFrom="column">
              <wp:posOffset>0</wp:posOffset>
            </wp:positionH>
            <wp:positionV relativeFrom="paragraph">
              <wp:posOffset>207835</wp:posOffset>
            </wp:positionV>
            <wp:extent cx="5623560" cy="259397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rosstab Query - Kegunaan Tanah.png"/>
                    <pic:cNvPicPr/>
                  </pic:nvPicPr>
                  <pic:blipFill rotWithShape="1">
                    <a:blip r:embed="rId12" cstate="print">
                      <a:extLst>
                        <a:ext uri="{28A0092B-C50C-407E-A947-70E740481C1C}">
                          <a14:useLocalDpi xmlns:a14="http://schemas.microsoft.com/office/drawing/2010/main" val="0"/>
                        </a:ext>
                      </a:extLst>
                    </a:blip>
                    <a:srcRect l="17147" r="9144"/>
                    <a:stretch/>
                  </pic:blipFill>
                  <pic:spPr bwMode="auto">
                    <a:xfrm>
                      <a:off x="0" y="0"/>
                      <a:ext cx="5623560" cy="259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42F0">
        <w:rPr>
          <w:rFonts w:ascii="Book Antiqua" w:eastAsia="Calibri" w:hAnsi="Book Antiqua" w:cs="Arial"/>
          <w:b/>
          <w:lang w:val="id-ID"/>
        </w:rPr>
        <w:t>Gambar 8. Kegunaan Tanah di Desa Gadingsari</w:t>
      </w:r>
    </w:p>
    <w:p w14:paraId="0097FCBE" w14:textId="77777777" w:rsidR="004F42F0" w:rsidRPr="004F42F0" w:rsidRDefault="004F42F0" w:rsidP="004F42F0">
      <w:pPr>
        <w:spacing w:line="276" w:lineRule="auto"/>
        <w:ind w:left="720"/>
        <w:jc w:val="center"/>
        <w:rPr>
          <w:rFonts w:ascii="Book Antiqua" w:eastAsia="Calibri" w:hAnsi="Book Antiqua" w:cs="Arial"/>
          <w:lang w:val="id-ID"/>
        </w:rPr>
      </w:pPr>
      <w:r w:rsidRPr="004F42F0">
        <w:rPr>
          <w:rFonts w:ascii="Book Antiqua" w:eastAsia="Calibri" w:hAnsi="Book Antiqua" w:cs="Arial"/>
          <w:lang w:val="id-ID"/>
        </w:rPr>
        <w:t>Sumber: Crosstab Query Analysis with Nvivo 12 Plus, 2020</w:t>
      </w:r>
    </w:p>
    <w:p w14:paraId="5EAAD1BE" w14:textId="77777777" w:rsidR="004F42F0" w:rsidRPr="004F42F0" w:rsidRDefault="004F42F0" w:rsidP="004F42F0">
      <w:pPr>
        <w:spacing w:line="276" w:lineRule="auto"/>
        <w:ind w:left="720" w:firstLine="720"/>
        <w:jc w:val="both"/>
        <w:rPr>
          <w:rFonts w:ascii="Book Antiqua" w:eastAsia="Calibri" w:hAnsi="Book Antiqua" w:cs="Arial"/>
          <w:lang w:val="id-ID"/>
        </w:rPr>
      </w:pPr>
      <w:r w:rsidRPr="004F42F0">
        <w:rPr>
          <w:rFonts w:ascii="Book Antiqua" w:eastAsia="Calibri" w:hAnsi="Book Antiqua" w:cs="Arial"/>
          <w:lang w:val="id-ID"/>
        </w:rPr>
        <w:t xml:space="preserve">Berdasarkan Gambar 8. Crosstab diatas menunjukkan bahwa kegunaan tanah diwilayah Desa Gadingsari sebesar 44% berdasarkan Kepala Desa Gadingsari dan Kepala Seksi Pemerintahan Desa Gadingsari. Sedangkan menurut Pelaksana Konsolidasi Tanah Kantor Wilayah Badan Pertanahan Nasional Daerah Istimewa Yogyakarta sebesar 55%. </w:t>
      </w:r>
    </w:p>
    <w:p w14:paraId="5A3D4C4D" w14:textId="5C43BEAB" w:rsidR="004F42F0" w:rsidRDefault="004F42F0" w:rsidP="004F42F0">
      <w:pPr>
        <w:spacing w:line="276" w:lineRule="auto"/>
        <w:ind w:left="720" w:firstLine="720"/>
        <w:jc w:val="both"/>
        <w:rPr>
          <w:rFonts w:ascii="Book Antiqua" w:eastAsia="Calibri" w:hAnsi="Book Antiqua" w:cs="Arial"/>
          <w:lang w:val="id-ID"/>
        </w:rPr>
      </w:pPr>
      <w:r w:rsidRPr="004F42F0">
        <w:rPr>
          <w:rFonts w:ascii="Book Antiqua" w:eastAsia="Calibri" w:hAnsi="Book Antiqua" w:cs="Arial"/>
          <w:lang w:val="id-ID"/>
        </w:rPr>
        <w:t>Penggunaan Tanah di Dusun Bongos I didominasi oleh kebun campuran (77,41 %) walaupun status tanahnya adalah Pekarangan.Luas Dusun Bongos I kurang lebih 31,39 Ha yang terdiri dari Pekarangan (kurang lebih 17,06 Ha) dan Sawah (kurang lebih 14,33 Ha). Penggunaan Tanah di Dusun Demakan didominasi oleh kebun campuran (73,36 %) walaupun status tanahnya adalah Pekarangan. Luas Dusun Demakan kurang lebih 24 Ha yang terdiri dari Pekarangan (kurang lebih 17 Ha) dan Sawah (kurang lebih 7 Ha). Penggunaan Tanah di Dusun Nanggulan didominasi oleh kebun campuran (76,06 %) walaupun status tanahnya adalah Pekarangan.</w:t>
      </w:r>
    </w:p>
    <w:p w14:paraId="59A3328D" w14:textId="58FF0968" w:rsidR="004F42F0" w:rsidRPr="004F42F0" w:rsidRDefault="004F42F0" w:rsidP="004F42F0">
      <w:pPr>
        <w:pStyle w:val="ListParagraph"/>
        <w:numPr>
          <w:ilvl w:val="0"/>
          <w:numId w:val="5"/>
        </w:numPr>
        <w:spacing w:line="276" w:lineRule="auto"/>
        <w:jc w:val="both"/>
        <w:rPr>
          <w:rFonts w:ascii="Book Antiqua" w:eastAsia="Calibri" w:hAnsi="Book Antiqua" w:cs="Arial"/>
          <w:lang w:val="id-ID"/>
        </w:rPr>
      </w:pPr>
      <w:r w:rsidRPr="004F42F0">
        <w:rPr>
          <w:rFonts w:ascii="Book Antiqua" w:eastAsia="Calibri" w:hAnsi="Book Antiqua" w:cs="Arial"/>
          <w:lang w:val="id-ID"/>
        </w:rPr>
        <w:t>Permasalahan dalam Penataan Pertanahan di Desa Tirtomulyo Kecamatan Kretek dan Desa Gadingsari Kecamatan Sanden Kabupaten Bantul</w:t>
      </w:r>
    </w:p>
    <w:p w14:paraId="4DA4973E" w14:textId="54299B99" w:rsidR="004F42F0" w:rsidRPr="004F42F0" w:rsidRDefault="004F42F0" w:rsidP="004F42F0">
      <w:pPr>
        <w:spacing w:line="240" w:lineRule="auto"/>
        <w:ind w:firstLine="720"/>
        <w:jc w:val="center"/>
        <w:rPr>
          <w:rFonts w:ascii="Book Antiqua" w:hAnsi="Book Antiqua"/>
          <w:b/>
        </w:rPr>
      </w:pPr>
      <w:r w:rsidRPr="004F42F0">
        <w:rPr>
          <w:b/>
          <w:noProof/>
          <w:lang w:val="id-ID" w:eastAsia="id-ID"/>
        </w:rPr>
        <w:lastRenderedPageBreak/>
        <w:drawing>
          <wp:anchor distT="0" distB="0" distL="114300" distR="114300" simplePos="0" relativeHeight="251703296" behindDoc="0" locked="0" layoutInCell="1" allowOverlap="1" wp14:anchorId="64D739D1" wp14:editId="3866B768">
            <wp:simplePos x="0" y="0"/>
            <wp:positionH relativeFrom="column">
              <wp:posOffset>371750</wp:posOffset>
            </wp:positionH>
            <wp:positionV relativeFrom="paragraph">
              <wp:posOffset>236220</wp:posOffset>
            </wp:positionV>
            <wp:extent cx="5035550" cy="234378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rosstab Query - Problem.png"/>
                    <pic:cNvPicPr/>
                  </pic:nvPicPr>
                  <pic:blipFill rotWithShape="1">
                    <a:blip r:embed="rId13" cstate="print">
                      <a:extLst>
                        <a:ext uri="{28A0092B-C50C-407E-A947-70E740481C1C}">
                          <a14:useLocalDpi xmlns:a14="http://schemas.microsoft.com/office/drawing/2010/main" val="0"/>
                        </a:ext>
                      </a:extLst>
                    </a:blip>
                    <a:srcRect l="948" r="712"/>
                    <a:stretch/>
                  </pic:blipFill>
                  <pic:spPr bwMode="auto">
                    <a:xfrm>
                      <a:off x="0" y="0"/>
                      <a:ext cx="5035550" cy="2343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42F0">
        <w:rPr>
          <w:rFonts w:ascii="Book Antiqua" w:hAnsi="Book Antiqua"/>
          <w:b/>
        </w:rPr>
        <w:t>Gambar 9. Permasalahan dalam Penataan Pertanahan di Desa Tirtomulyo</w:t>
      </w:r>
    </w:p>
    <w:p w14:paraId="53C4B933" w14:textId="04C7564B" w:rsidR="004F42F0" w:rsidRPr="004F42F0" w:rsidRDefault="004F42F0" w:rsidP="00417EFC">
      <w:pPr>
        <w:spacing w:line="276" w:lineRule="auto"/>
        <w:ind w:left="720" w:firstLine="720"/>
        <w:jc w:val="both"/>
        <w:rPr>
          <w:rFonts w:ascii="Book Antiqua" w:eastAsia="Calibri" w:hAnsi="Book Antiqua" w:cs="Arial"/>
          <w:lang w:val="id-ID"/>
        </w:rPr>
      </w:pPr>
      <w:r w:rsidRPr="004F42F0">
        <w:rPr>
          <w:rFonts w:ascii="Book Antiqua" w:eastAsia="Calibri" w:hAnsi="Book Antiqua" w:cs="Arial"/>
          <w:lang w:val="id-ID"/>
        </w:rPr>
        <w:t>Sumber: Crosstab Query Analysis with Nvivo 12 Plus, 2020</w:t>
      </w:r>
    </w:p>
    <w:p w14:paraId="10C8D9FD" w14:textId="7D30CB81" w:rsidR="004F42F0" w:rsidRPr="00417EFC" w:rsidRDefault="004F42F0" w:rsidP="00417EFC">
      <w:pPr>
        <w:spacing w:line="276" w:lineRule="auto"/>
        <w:ind w:left="720" w:firstLine="720"/>
        <w:jc w:val="both"/>
        <w:rPr>
          <w:rFonts w:ascii="Book Antiqua" w:hAnsi="Book Antiqua"/>
        </w:rPr>
      </w:pPr>
      <w:r w:rsidRPr="00A90469">
        <w:rPr>
          <w:rFonts w:ascii="Book Antiqua" w:hAnsi="Book Antiqua"/>
        </w:rPr>
        <w:t>Berdasarkan Gambar 9. Crosstab analysis diatas menunjukkan bahwa adanya permasalahan dalam penataan pertanahan di Desa Tirtomulyo. Hasil diatas memberikan arah pada permasalahan, seperti: Pertama, banyaknya bidang tanah yang tidak mempunyai akses jalan. Kedua, banyak akses jalan yang sifatnya jalan pertolongan (bidang jalan yang masih menumpang dibidang tanah kepemilikan warga. Ketiga, akses jalan yang ada tidak memadai sempit dan berupa jalan tanah belum ada pengerasan jalan. Dari indikator permasalahan yang diucapkan oleh Kepala Seksi Pemerintahan Desa sebesar 100%.</w:t>
      </w:r>
    </w:p>
    <w:p w14:paraId="2B7AD85D" w14:textId="30371259" w:rsidR="00A90469" w:rsidRPr="00A90469" w:rsidRDefault="000758BF" w:rsidP="00417EFC">
      <w:pPr>
        <w:spacing w:line="360" w:lineRule="auto"/>
        <w:ind w:left="720"/>
        <w:jc w:val="center"/>
        <w:rPr>
          <w:rFonts w:ascii="Book Antiqua" w:hAnsi="Book Antiqua"/>
          <w:b/>
          <w:lang w:val="id-ID"/>
        </w:rPr>
      </w:pPr>
      <w:r w:rsidRPr="003C4B94">
        <w:rPr>
          <w:rFonts w:ascii="Constantia" w:hAnsi="Constantia"/>
          <w:noProof/>
          <w:sz w:val="24"/>
          <w:szCs w:val="24"/>
          <w:lang w:eastAsia="id-ID"/>
        </w:rPr>
        <w:drawing>
          <wp:anchor distT="0" distB="0" distL="114300" distR="114300" simplePos="0" relativeHeight="251705344" behindDoc="0" locked="0" layoutInCell="1" allowOverlap="1" wp14:anchorId="3D6731A9" wp14:editId="764F6312">
            <wp:simplePos x="0" y="0"/>
            <wp:positionH relativeFrom="column">
              <wp:posOffset>-27656</wp:posOffset>
            </wp:positionH>
            <wp:positionV relativeFrom="paragraph">
              <wp:posOffset>250190</wp:posOffset>
            </wp:positionV>
            <wp:extent cx="5435600" cy="2679700"/>
            <wp:effectExtent l="0" t="0" r="0" b="635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rosstab Query - Problem.png"/>
                    <pic:cNvPicPr/>
                  </pic:nvPicPr>
                  <pic:blipFill rotWithShape="1">
                    <a:blip r:embed="rId14" cstate="print">
                      <a:extLst>
                        <a:ext uri="{28A0092B-C50C-407E-A947-70E740481C1C}">
                          <a14:useLocalDpi xmlns:a14="http://schemas.microsoft.com/office/drawing/2010/main" val="0"/>
                        </a:ext>
                      </a:extLst>
                    </a:blip>
                    <a:srcRect l="772" r="772"/>
                    <a:stretch/>
                  </pic:blipFill>
                  <pic:spPr bwMode="auto">
                    <a:xfrm>
                      <a:off x="0" y="0"/>
                      <a:ext cx="5435600" cy="267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0469" w:rsidRPr="00A90469">
        <w:rPr>
          <w:rFonts w:ascii="Book Antiqua" w:hAnsi="Book Antiqua"/>
          <w:b/>
          <w:lang w:val="id-ID"/>
        </w:rPr>
        <w:t>Gambar 10. Permasalahan dalam Penataan Pertanahan di Desa Gadingsari</w:t>
      </w:r>
    </w:p>
    <w:p w14:paraId="1212EEBD" w14:textId="36FA024D" w:rsidR="00A90469" w:rsidRPr="00A90469" w:rsidRDefault="00A90469" w:rsidP="00417EFC">
      <w:pPr>
        <w:spacing w:line="276" w:lineRule="auto"/>
        <w:ind w:left="720" w:firstLine="720"/>
        <w:jc w:val="both"/>
        <w:rPr>
          <w:rFonts w:ascii="Book Antiqua" w:hAnsi="Book Antiqua"/>
          <w:lang w:val="id-ID"/>
        </w:rPr>
      </w:pPr>
      <w:r w:rsidRPr="00A90469">
        <w:rPr>
          <w:rFonts w:ascii="Book Antiqua" w:hAnsi="Book Antiqua"/>
          <w:lang w:val="id-ID"/>
        </w:rPr>
        <w:t>Sumber: Crosstab Query Analysis with Nvivo 12 Plus, 2020</w:t>
      </w:r>
    </w:p>
    <w:p w14:paraId="7B5D7517" w14:textId="3235BDEF" w:rsidR="00A90469" w:rsidRDefault="00A90469" w:rsidP="00417EFC">
      <w:pPr>
        <w:spacing w:line="276" w:lineRule="auto"/>
        <w:ind w:left="720" w:firstLine="720"/>
        <w:jc w:val="both"/>
        <w:rPr>
          <w:rFonts w:ascii="Book Antiqua" w:hAnsi="Book Antiqua"/>
          <w:lang w:val="id-ID"/>
        </w:rPr>
      </w:pPr>
      <w:r w:rsidRPr="00A90469">
        <w:rPr>
          <w:rFonts w:ascii="Book Antiqua" w:hAnsi="Book Antiqua"/>
          <w:lang w:val="id-ID"/>
        </w:rPr>
        <w:lastRenderedPageBreak/>
        <w:t xml:space="preserve">Gambar 10. Diatas menunjukkan bahwa adanya permasalahan dalam penataan pertanahan di Desa Gadingsari Kecamatan Sanden Kabupaten Bantul. Hal ini diucapkan oleh Kepala Seksi Pemerintahan Desa Gadingsari sebesar 100%. Dalam permasalahan tersebut yaitu, Pertama, banyaknya bidang tanah yang tidak mempunyai akes jalan, adanya akses jalan yang tidak memadai sehingga kendaraan roda empat tidak dapat melewati jalan tersebut. Kedua, banyak bidang jalan yang belum dikeluarkan dari area kepemilikan yang bisa berpotensi konflik pertanahan dan menghambat pertumbuhan ekonomi dilokasi tersebut. </w:t>
      </w:r>
    </w:p>
    <w:p w14:paraId="45C41F49" w14:textId="77777777" w:rsidR="00417EFC" w:rsidRDefault="00A90469" w:rsidP="00417EFC">
      <w:pPr>
        <w:pStyle w:val="ListParagraph"/>
        <w:numPr>
          <w:ilvl w:val="0"/>
          <w:numId w:val="5"/>
        </w:numPr>
        <w:spacing w:line="276" w:lineRule="auto"/>
        <w:jc w:val="both"/>
        <w:rPr>
          <w:rFonts w:ascii="Book Antiqua" w:hAnsi="Book Antiqua"/>
          <w:lang w:val="id-ID"/>
        </w:rPr>
      </w:pPr>
      <w:r w:rsidRPr="00A90469">
        <w:rPr>
          <w:rFonts w:ascii="Book Antiqua" w:hAnsi="Book Antiqua"/>
          <w:lang w:val="id-ID"/>
        </w:rPr>
        <w:t xml:space="preserve">Keinginan Masyarakat Desa Tirtomulyo Kecamatan Kretek dan Desa Gadingsari Kecamatan Sanden Kabupaten Bantul </w:t>
      </w:r>
    </w:p>
    <w:p w14:paraId="6369A796" w14:textId="2C269C91" w:rsidR="00A90469" w:rsidRPr="00A90469" w:rsidRDefault="000758BF" w:rsidP="000758BF">
      <w:pPr>
        <w:spacing w:line="276" w:lineRule="auto"/>
        <w:ind w:firstLine="360"/>
        <w:jc w:val="center"/>
        <w:rPr>
          <w:rFonts w:ascii="Book Antiqua" w:hAnsi="Book Antiqua"/>
          <w:lang w:val="id-ID"/>
        </w:rPr>
      </w:pPr>
      <w:r w:rsidRPr="00A90469">
        <w:rPr>
          <w:rFonts w:ascii="Book Antiqua" w:hAnsi="Book Antiqua"/>
          <w:noProof/>
          <w:lang w:eastAsia="id-ID"/>
        </w:rPr>
        <w:drawing>
          <wp:anchor distT="0" distB="0" distL="114300" distR="114300" simplePos="0" relativeHeight="251707392" behindDoc="0" locked="0" layoutInCell="1" allowOverlap="1" wp14:anchorId="42417463" wp14:editId="72139C1B">
            <wp:simplePos x="0" y="0"/>
            <wp:positionH relativeFrom="column">
              <wp:posOffset>-320675</wp:posOffset>
            </wp:positionH>
            <wp:positionV relativeFrom="paragraph">
              <wp:posOffset>395124</wp:posOffset>
            </wp:positionV>
            <wp:extent cx="5907405" cy="28600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Keinginan People.png"/>
                    <pic:cNvPicPr/>
                  </pic:nvPicPr>
                  <pic:blipFill rotWithShape="1">
                    <a:blip r:embed="rId15" cstate="print">
                      <a:extLst>
                        <a:ext uri="{28A0092B-C50C-407E-A947-70E740481C1C}">
                          <a14:useLocalDpi xmlns:a14="http://schemas.microsoft.com/office/drawing/2010/main" val="0"/>
                        </a:ext>
                      </a:extLst>
                    </a:blip>
                    <a:srcRect l="13902" t="-1155" r="1091" b="-810"/>
                    <a:stretch/>
                  </pic:blipFill>
                  <pic:spPr bwMode="auto">
                    <a:xfrm>
                      <a:off x="0" y="0"/>
                      <a:ext cx="5907405" cy="2860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0469" w:rsidRPr="00417EFC">
        <w:rPr>
          <w:rFonts w:ascii="Book Antiqua" w:hAnsi="Book Antiqua"/>
          <w:b/>
        </w:rPr>
        <w:t>Gambar 11. Keinginan Masyarakat dalam Penataan Pertanahan Desa Tirtomulyo</w:t>
      </w:r>
    </w:p>
    <w:p w14:paraId="3D1ABEAD" w14:textId="1F2F7C27" w:rsidR="00A90469" w:rsidRPr="00A90469" w:rsidRDefault="00A90469" w:rsidP="00417EFC">
      <w:pPr>
        <w:spacing w:line="276" w:lineRule="auto"/>
        <w:ind w:left="698" w:firstLine="720"/>
        <w:rPr>
          <w:rFonts w:ascii="Book Antiqua" w:hAnsi="Book Antiqua"/>
        </w:rPr>
      </w:pPr>
      <w:r w:rsidRPr="00A90469">
        <w:rPr>
          <w:rFonts w:ascii="Book Antiqua" w:hAnsi="Book Antiqua"/>
        </w:rPr>
        <w:t>Sumber: Crosstab Query Analysis with Nvivo 12 Plus, 2020</w:t>
      </w:r>
    </w:p>
    <w:p w14:paraId="4611CA10" w14:textId="1CCB7A45" w:rsidR="00A90469" w:rsidRDefault="00A90469" w:rsidP="00417EFC">
      <w:pPr>
        <w:spacing w:line="276" w:lineRule="auto"/>
        <w:ind w:left="709" w:firstLine="709"/>
        <w:jc w:val="both"/>
        <w:rPr>
          <w:rFonts w:ascii="Book Antiqua" w:hAnsi="Book Antiqua"/>
        </w:rPr>
      </w:pPr>
      <w:r w:rsidRPr="00A90469">
        <w:rPr>
          <w:rFonts w:ascii="Book Antiqua" w:hAnsi="Book Antiqua"/>
        </w:rPr>
        <w:t>Gambar 11. Crosstab analysis diatas menunjukkan terdapat tiga indikator keinginan masyarakat di Desa Tirtomulyo. Menurut Kepala Seksi Pemerintahan Desa Tirtomulyo dan Pelaksana Konsolidasi Tanah Kantor Wilayah Badan Pertanahan Nasional Daerah Istimewa Yogyakarta, masyarakat Desa Tirtomulyo menginginkan fasilitas sosial dan fasilitas umum (akses jalan). Adanya penataan fisik bidang tanah, sehingga setiap bidang tanah yang ada harus mempunyai akses jalan yang layak baik dari lebar jalan maupun fisik jalan/ ada pengerasan. Kemudian sertipikasi konsolidasi tanah (</w:t>
      </w:r>
      <w:r w:rsidRPr="00A90469">
        <w:rPr>
          <w:rFonts w:ascii="Book Antiqua" w:hAnsi="Book Antiqua"/>
          <w:i/>
        </w:rPr>
        <w:t>assets legalisation</w:t>
      </w:r>
      <w:r w:rsidRPr="00A90469">
        <w:rPr>
          <w:rFonts w:ascii="Book Antiqua" w:hAnsi="Book Antiqua"/>
        </w:rPr>
        <w:t xml:space="preserve">) dapat dilanjutkan pengembangan, pemberdayaan </w:t>
      </w:r>
      <w:r w:rsidRPr="00A90469">
        <w:rPr>
          <w:rFonts w:ascii="Book Antiqua" w:hAnsi="Book Antiqua"/>
        </w:rPr>
        <w:lastRenderedPageBreak/>
        <w:t>masyarakat (</w:t>
      </w:r>
      <w:r w:rsidRPr="00A90469">
        <w:rPr>
          <w:rFonts w:ascii="Book Antiqua" w:hAnsi="Book Antiqua"/>
          <w:i/>
        </w:rPr>
        <w:t>acces reform</w:t>
      </w:r>
      <w:r w:rsidRPr="00A90469">
        <w:rPr>
          <w:rFonts w:ascii="Book Antiqua" w:hAnsi="Book Antiqua"/>
        </w:rPr>
        <w:t xml:space="preserve">) sekitar dengan memperhatikan arahan dalam peraturan perundang-undangan setempat dan terpasangnya batas bidang tanah. </w:t>
      </w:r>
    </w:p>
    <w:p w14:paraId="2DF69624" w14:textId="5E5442E9" w:rsidR="004F42F0" w:rsidRPr="000758BF" w:rsidRDefault="000758BF" w:rsidP="000758BF">
      <w:pPr>
        <w:spacing w:line="276" w:lineRule="auto"/>
        <w:ind w:firstLine="698"/>
        <w:jc w:val="center"/>
        <w:rPr>
          <w:rFonts w:ascii="Book Antiqua" w:hAnsi="Book Antiqua"/>
          <w:b/>
          <w:lang w:val="id-ID"/>
        </w:rPr>
      </w:pPr>
      <w:r w:rsidRPr="00A90469">
        <w:rPr>
          <w:rFonts w:ascii="Book Antiqua" w:hAnsi="Book Antiqua"/>
          <w:noProof/>
          <w:lang w:eastAsia="id-ID"/>
        </w:rPr>
        <w:drawing>
          <wp:anchor distT="0" distB="0" distL="114300" distR="114300" simplePos="0" relativeHeight="251709440" behindDoc="0" locked="0" layoutInCell="1" allowOverlap="1" wp14:anchorId="34855B01" wp14:editId="1E94DCEA">
            <wp:simplePos x="0" y="0"/>
            <wp:positionH relativeFrom="column">
              <wp:posOffset>-162691</wp:posOffset>
            </wp:positionH>
            <wp:positionV relativeFrom="paragraph">
              <wp:posOffset>426545</wp:posOffset>
            </wp:positionV>
            <wp:extent cx="5697855" cy="268986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Keinginan People.png"/>
                    <pic:cNvPicPr/>
                  </pic:nvPicPr>
                  <pic:blipFill rotWithShape="1">
                    <a:blip r:embed="rId16" cstate="print">
                      <a:extLst>
                        <a:ext uri="{28A0092B-C50C-407E-A947-70E740481C1C}">
                          <a14:useLocalDpi xmlns:a14="http://schemas.microsoft.com/office/drawing/2010/main" val="0"/>
                        </a:ext>
                      </a:extLst>
                    </a:blip>
                    <a:srcRect l="17969" t="-2192" r="4409" b="-1936"/>
                    <a:stretch/>
                  </pic:blipFill>
                  <pic:spPr bwMode="auto">
                    <a:xfrm>
                      <a:off x="0" y="0"/>
                      <a:ext cx="5697855" cy="2689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0469" w:rsidRPr="00A90469">
        <w:rPr>
          <w:rFonts w:ascii="Book Antiqua" w:hAnsi="Book Antiqua"/>
          <w:b/>
          <w:lang w:val="id-ID"/>
        </w:rPr>
        <w:t>Gambar 12. Keinginan Masyarakat dalam Penataan Pertanahan Desa Gadingsari</w:t>
      </w:r>
    </w:p>
    <w:p w14:paraId="68BF67EA" w14:textId="6676CE04" w:rsidR="00A90469" w:rsidRPr="00A90469" w:rsidRDefault="00A90469" w:rsidP="00417EFC">
      <w:pPr>
        <w:spacing w:line="276" w:lineRule="auto"/>
        <w:ind w:left="698" w:firstLine="720"/>
        <w:rPr>
          <w:rFonts w:ascii="Book Antiqua" w:hAnsi="Book Antiqua"/>
        </w:rPr>
      </w:pPr>
      <w:r w:rsidRPr="00A90469">
        <w:rPr>
          <w:rFonts w:ascii="Book Antiqua" w:hAnsi="Book Antiqua"/>
        </w:rPr>
        <w:t>Sumber: Crosstab Query Analysis with Nvivo 12 Plus, 2020</w:t>
      </w:r>
    </w:p>
    <w:p w14:paraId="12026D61" w14:textId="16BD1100" w:rsidR="00A90469" w:rsidRPr="00A90469" w:rsidRDefault="00A90469" w:rsidP="00417EFC">
      <w:pPr>
        <w:spacing w:line="276" w:lineRule="auto"/>
        <w:ind w:left="709" w:firstLine="709"/>
        <w:jc w:val="both"/>
        <w:rPr>
          <w:rFonts w:ascii="Book Antiqua" w:hAnsi="Book Antiqua"/>
        </w:rPr>
      </w:pPr>
      <w:r w:rsidRPr="00A90469">
        <w:rPr>
          <w:rFonts w:ascii="Book Antiqua" w:hAnsi="Book Antiqua"/>
        </w:rPr>
        <w:t>Sesuai apa yang disampaikan oleh Pelaksana Konsolidasi Tanah Kanwil Badan Pertanahan Nasional DIY, masyarakat Desa Gadingsari mengharapkan setelah proses sertipikasi konsolidasi tanah (</w:t>
      </w:r>
      <w:r w:rsidRPr="00A90469">
        <w:rPr>
          <w:rFonts w:ascii="Book Antiqua" w:hAnsi="Book Antiqua"/>
          <w:i/>
        </w:rPr>
        <w:t>assets legalisation</w:t>
      </w:r>
      <w:r w:rsidRPr="00A90469">
        <w:rPr>
          <w:rFonts w:ascii="Book Antiqua" w:hAnsi="Book Antiqua"/>
        </w:rPr>
        <w:t>) dapat dilanjutkan pengembangan, pemberdayaan masyarakat (</w:t>
      </w:r>
      <w:r w:rsidRPr="00A90469">
        <w:rPr>
          <w:rFonts w:ascii="Book Antiqua" w:hAnsi="Book Antiqua"/>
          <w:i/>
        </w:rPr>
        <w:t>acces reform</w:t>
      </w:r>
      <w:r w:rsidRPr="00A90469">
        <w:rPr>
          <w:rFonts w:ascii="Book Antiqua" w:hAnsi="Book Antiqua"/>
        </w:rPr>
        <w:t xml:space="preserve">) sekitar dengan memperhatikan arahan dalam peraturan perundang-undangan setempat. Melalui sertipikasi konsolidasi tanah di Desa Gadingsari, masyarakat mendapat edukasi mengenai pentingnya akses yang memadai bagi setiap bidang tanah. Partisipasi masyarakat dalam bentuk keikut sertaan pada setiap tahapan konsolidasi tanah, dalam penyediaan STUP, dalam pembentukan badan jalan dan dalam kegiatan pasca konsolidasi tanah, dan menginginkan akses jalan yang memadai. </w:t>
      </w:r>
    </w:p>
    <w:p w14:paraId="523B8344" w14:textId="77777777" w:rsidR="00A90469" w:rsidRPr="00A90469" w:rsidRDefault="00A90469" w:rsidP="00417EFC">
      <w:pPr>
        <w:pStyle w:val="ListParagraph"/>
        <w:numPr>
          <w:ilvl w:val="0"/>
          <w:numId w:val="5"/>
        </w:numPr>
        <w:spacing w:line="276" w:lineRule="auto"/>
        <w:jc w:val="both"/>
        <w:rPr>
          <w:rFonts w:ascii="Book Antiqua" w:eastAsia="Calibri" w:hAnsi="Book Antiqua" w:cs="Arial"/>
          <w:lang w:val="id-ID"/>
        </w:rPr>
      </w:pPr>
      <w:r w:rsidRPr="00A90469">
        <w:rPr>
          <w:rFonts w:ascii="Book Antiqua" w:eastAsia="Calibri" w:hAnsi="Book Antiqua" w:cs="Arial"/>
          <w:lang w:val="id-ID"/>
        </w:rPr>
        <w:t xml:space="preserve">Partisipasi Masyarakat dalam Penataan Pertanahan di Desa Tirtomulyo dan Desa Gadingsari Kecamatan Sanden Kabupaten Bantul </w:t>
      </w:r>
    </w:p>
    <w:p w14:paraId="0FD38604" w14:textId="77777777" w:rsidR="00417EFC" w:rsidRPr="00417EFC" w:rsidRDefault="00417EFC" w:rsidP="00417EFC">
      <w:pPr>
        <w:spacing w:line="240" w:lineRule="auto"/>
        <w:ind w:firstLine="360"/>
        <w:jc w:val="center"/>
        <w:rPr>
          <w:rFonts w:ascii="Book Antiqua" w:hAnsi="Book Antiqua"/>
          <w:b/>
        </w:rPr>
      </w:pPr>
      <w:r w:rsidRPr="00417EFC">
        <w:rPr>
          <w:rFonts w:ascii="Book Antiqua" w:hAnsi="Book Antiqua"/>
          <w:b/>
        </w:rPr>
        <w:t>Gambar 13. Partisipasi Masyarakat dalam Penataan Pertanahan Desa Tirtomulyo</w:t>
      </w:r>
    </w:p>
    <w:p w14:paraId="07A139BF" w14:textId="19D2783D" w:rsidR="008579F2" w:rsidRDefault="008579F2" w:rsidP="00916449">
      <w:pPr>
        <w:spacing w:line="276" w:lineRule="auto"/>
        <w:jc w:val="both"/>
        <w:rPr>
          <w:rFonts w:ascii="Book Antiqua" w:eastAsia="Calibri" w:hAnsi="Book Antiqua" w:cs="Arial"/>
          <w:lang w:val="id-ID"/>
        </w:rPr>
      </w:pPr>
    </w:p>
    <w:p w14:paraId="1100A2FA" w14:textId="45D21896" w:rsidR="00417EFC" w:rsidRPr="000758BF" w:rsidRDefault="000758BF" w:rsidP="000758BF">
      <w:pPr>
        <w:spacing w:line="276" w:lineRule="auto"/>
        <w:ind w:left="698" w:firstLine="720"/>
        <w:jc w:val="both"/>
        <w:rPr>
          <w:rFonts w:ascii="Book Antiqua" w:eastAsia="Calibri" w:hAnsi="Book Antiqua" w:cs="Arial"/>
          <w:lang w:val="id-ID"/>
        </w:rPr>
      </w:pPr>
      <w:r w:rsidRPr="00417EFC">
        <w:rPr>
          <w:rFonts w:ascii="Book Antiqua" w:hAnsi="Book Antiqua"/>
          <w:noProof/>
          <w:lang w:eastAsia="id-ID"/>
        </w:rPr>
        <w:lastRenderedPageBreak/>
        <w:drawing>
          <wp:anchor distT="0" distB="0" distL="114300" distR="114300" simplePos="0" relativeHeight="251711488" behindDoc="0" locked="0" layoutInCell="1" allowOverlap="1" wp14:anchorId="70D26CD8" wp14:editId="1FECE9E2">
            <wp:simplePos x="0" y="0"/>
            <wp:positionH relativeFrom="column">
              <wp:posOffset>-34925</wp:posOffset>
            </wp:positionH>
            <wp:positionV relativeFrom="paragraph">
              <wp:posOffset>66</wp:posOffset>
            </wp:positionV>
            <wp:extent cx="5212715" cy="2046605"/>
            <wp:effectExtent l="0" t="0" r="698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rosstab Query - Partisipasi mas desa tirt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2715" cy="2046605"/>
                    </a:xfrm>
                    <a:prstGeom prst="rect">
                      <a:avLst/>
                    </a:prstGeom>
                  </pic:spPr>
                </pic:pic>
              </a:graphicData>
            </a:graphic>
            <wp14:sizeRelH relativeFrom="page">
              <wp14:pctWidth>0</wp14:pctWidth>
            </wp14:sizeRelH>
            <wp14:sizeRelV relativeFrom="page">
              <wp14:pctHeight>0</wp14:pctHeight>
            </wp14:sizeRelV>
          </wp:anchor>
        </w:drawing>
      </w:r>
      <w:r w:rsidR="00417EFC" w:rsidRPr="00417EFC">
        <w:rPr>
          <w:rFonts w:ascii="Book Antiqua" w:hAnsi="Book Antiqua"/>
        </w:rPr>
        <w:t>Sumber: Crosstab Query Analysis with Nvivo 12 Plus, 2020</w:t>
      </w:r>
    </w:p>
    <w:p w14:paraId="2D2B4C96" w14:textId="54A83CF1" w:rsidR="00417EFC" w:rsidRPr="00417EFC" w:rsidRDefault="00417EFC" w:rsidP="00403C9A">
      <w:pPr>
        <w:spacing w:line="276" w:lineRule="auto"/>
        <w:ind w:left="709" w:firstLine="709"/>
        <w:jc w:val="both"/>
        <w:rPr>
          <w:rFonts w:ascii="Book Antiqua" w:hAnsi="Book Antiqua"/>
        </w:rPr>
      </w:pPr>
      <w:r w:rsidRPr="00417EFC">
        <w:rPr>
          <w:rFonts w:ascii="Book Antiqua" w:hAnsi="Book Antiqua"/>
        </w:rPr>
        <w:t xml:space="preserve">Gambar 13. diatas menunjukkan bahwa masyarakat ikut berpartisipasi dalam penataan pertanahan di Desa Tirtomulyo. Menurut Pelaksana Konsolidasi Tanah Kanwil DIY masyarakat ikut berpartisipasi dalam penataan pertanahan dengan jumlah frekuensi 42%. Disusul oleh Kepala Seksi Pemerintahan Desa sebesar 28%, kemudian Kepala Desa Tirtomulyo sebesar 14%, dan Kepala Subseksi Konsolidasi Tanah dan Land Reform Kantor Pertanahan Kab Bantul sebesar 14%.  Masyarakat turut berpartisipasi dengan gotongroyong dalam mewujudkan ruas-ruas jalan yang dalam hal ini sudah menjadi program dari pemerintah pada tahun yang sama. Masyarakat juga ikut berpartisipasi dalam tahap konsolidasi tanah, penyediaan Sumbangan Tanah Untuk Pembangunan (STUP), pembentukan badan jalan. Dan ikut serta dalam rapat Supervisi, Monitoring dan Koordinasi yang dilaksanakan secara berkala oleh Tim Koordinasi. </w:t>
      </w:r>
    </w:p>
    <w:p w14:paraId="45B87C75" w14:textId="6B2C2344" w:rsidR="00417EFC" w:rsidRPr="00403C9A" w:rsidRDefault="000758BF" w:rsidP="00403C9A">
      <w:pPr>
        <w:spacing w:after="0" w:line="276" w:lineRule="auto"/>
        <w:ind w:firstLine="709"/>
        <w:jc w:val="center"/>
        <w:rPr>
          <w:rFonts w:ascii="Book Antiqua" w:eastAsia="Calibri" w:hAnsi="Book Antiqua" w:cs="Times New Roman"/>
          <w:b/>
          <w:szCs w:val="18"/>
          <w:lang w:val="id-ID"/>
        </w:rPr>
      </w:pPr>
      <w:r w:rsidRPr="00417EFC">
        <w:rPr>
          <w:rFonts w:ascii="Book Antiqua" w:hAnsi="Book Antiqua"/>
          <w:noProof/>
          <w:lang w:eastAsia="id-ID"/>
        </w:rPr>
        <w:drawing>
          <wp:anchor distT="0" distB="0" distL="114300" distR="114300" simplePos="0" relativeHeight="251713536" behindDoc="0" locked="0" layoutInCell="1" allowOverlap="1" wp14:anchorId="092B858D" wp14:editId="01E810A3">
            <wp:simplePos x="0" y="0"/>
            <wp:positionH relativeFrom="column">
              <wp:posOffset>-68689</wp:posOffset>
            </wp:positionH>
            <wp:positionV relativeFrom="paragraph">
              <wp:posOffset>410845</wp:posOffset>
            </wp:positionV>
            <wp:extent cx="5638800" cy="2395855"/>
            <wp:effectExtent l="0" t="0" r="0" b="444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artisipasi masyaraka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38800" cy="2395855"/>
                    </a:xfrm>
                    <a:prstGeom prst="rect">
                      <a:avLst/>
                    </a:prstGeom>
                  </pic:spPr>
                </pic:pic>
              </a:graphicData>
            </a:graphic>
            <wp14:sizeRelH relativeFrom="page">
              <wp14:pctWidth>0</wp14:pctWidth>
            </wp14:sizeRelH>
            <wp14:sizeRelV relativeFrom="page">
              <wp14:pctHeight>0</wp14:pctHeight>
            </wp14:sizeRelV>
          </wp:anchor>
        </w:drawing>
      </w:r>
      <w:r w:rsidR="00417EFC" w:rsidRPr="00417EFC">
        <w:rPr>
          <w:rFonts w:ascii="Book Antiqua" w:eastAsia="Calibri" w:hAnsi="Book Antiqua" w:cs="Times New Roman"/>
          <w:b/>
          <w:szCs w:val="18"/>
          <w:lang w:val="id-ID"/>
        </w:rPr>
        <w:t>Gambar 14. Partisipasi Masyarakat dalam Penataan Pertanahan Desa Gadingsari</w:t>
      </w:r>
    </w:p>
    <w:p w14:paraId="686118CD" w14:textId="5BE13E9E" w:rsidR="00417EFC" w:rsidRPr="000758BF" w:rsidRDefault="00417EFC" w:rsidP="000758BF">
      <w:pPr>
        <w:spacing w:after="0" w:line="276" w:lineRule="auto"/>
        <w:ind w:left="698" w:firstLine="720"/>
        <w:jc w:val="both"/>
        <w:rPr>
          <w:rFonts w:ascii="Book Antiqua" w:hAnsi="Book Antiqua"/>
        </w:rPr>
      </w:pPr>
      <w:r w:rsidRPr="00417EFC">
        <w:rPr>
          <w:rFonts w:ascii="Book Antiqua" w:hAnsi="Book Antiqua"/>
        </w:rPr>
        <w:lastRenderedPageBreak/>
        <w:t>Sumber: Crosstab Query Analysis with Nvivo 12 Plus, 2020</w:t>
      </w:r>
    </w:p>
    <w:p w14:paraId="0AE88310" w14:textId="467AE52A" w:rsidR="00417EFC" w:rsidRPr="00417EFC" w:rsidRDefault="00417EFC" w:rsidP="00417EFC">
      <w:pPr>
        <w:spacing w:after="0" w:line="276" w:lineRule="auto"/>
        <w:ind w:left="698" w:firstLine="720"/>
        <w:jc w:val="both"/>
        <w:rPr>
          <w:rFonts w:ascii="Book Antiqua" w:eastAsia="Calibri" w:hAnsi="Book Antiqua" w:cs="Times New Roman"/>
          <w:b/>
          <w:lang w:val="pt-BR"/>
        </w:rPr>
      </w:pPr>
    </w:p>
    <w:p w14:paraId="6CE1DBB3" w14:textId="22A12B21" w:rsidR="00403C9A" w:rsidRDefault="00417EFC" w:rsidP="00403C9A">
      <w:pPr>
        <w:spacing w:line="276" w:lineRule="auto"/>
        <w:ind w:left="709" w:firstLine="709"/>
        <w:jc w:val="both"/>
        <w:rPr>
          <w:rFonts w:ascii="Book Antiqua" w:hAnsi="Book Antiqua"/>
        </w:rPr>
      </w:pPr>
      <w:r w:rsidRPr="00417EFC">
        <w:rPr>
          <w:rFonts w:ascii="Book Antiqua" w:hAnsi="Book Antiqua"/>
        </w:rPr>
        <w:t>Gambar diatas menunjukkan masyarakat mendukung terhadap adanya konsolidasi tanah. Hal ini disebabkan Kegiatan Sertipikasi Konsolidasi Tanah di Desa Gadingsari menjadi istimewa karena lokasi tersebut merupakan kawasan yang dilaksanakan Kegiatan Konsolidasi Tanah secara berkesinambungan sejak tahun 2009. Kegiatan Sertipikasi Konsolidasi Tanah Tahun 2015 merupakan Sertipikasi Konsolidasi Tanah yang kelima.</w:t>
      </w:r>
    </w:p>
    <w:p w14:paraId="33CAD4A1" w14:textId="12179115" w:rsidR="00403C9A" w:rsidRPr="00403C9A" w:rsidRDefault="00403C9A" w:rsidP="00403C9A">
      <w:pPr>
        <w:spacing w:line="276" w:lineRule="auto"/>
        <w:ind w:firstLine="709"/>
        <w:jc w:val="center"/>
        <w:rPr>
          <w:rFonts w:ascii="Book Antiqua" w:hAnsi="Book Antiqua"/>
        </w:rPr>
      </w:pPr>
      <w:r w:rsidRPr="003C4B94">
        <w:rPr>
          <w:rFonts w:ascii="Constantia" w:hAnsi="Constantia"/>
          <w:noProof/>
          <w:sz w:val="24"/>
          <w:szCs w:val="24"/>
          <w:lang w:eastAsia="id-ID"/>
        </w:rPr>
        <w:drawing>
          <wp:anchor distT="0" distB="0" distL="114300" distR="114300" simplePos="0" relativeHeight="251715584" behindDoc="0" locked="0" layoutInCell="1" allowOverlap="1" wp14:anchorId="3781B46B" wp14:editId="646CDE1C">
            <wp:simplePos x="0" y="0"/>
            <wp:positionH relativeFrom="column">
              <wp:posOffset>620395</wp:posOffset>
            </wp:positionH>
            <wp:positionV relativeFrom="paragraph">
              <wp:posOffset>659130</wp:posOffset>
            </wp:positionV>
            <wp:extent cx="3558540" cy="5062855"/>
            <wp:effectExtent l="0" t="0" r="3810" b="444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mparasi.jpg"/>
                    <pic:cNvPicPr/>
                  </pic:nvPicPr>
                  <pic:blipFill>
                    <a:blip r:embed="rId19">
                      <a:extLst>
                        <a:ext uri="{28A0092B-C50C-407E-A947-70E740481C1C}">
                          <a14:useLocalDpi xmlns:a14="http://schemas.microsoft.com/office/drawing/2010/main" val="0"/>
                        </a:ext>
                      </a:extLst>
                    </a:blip>
                    <a:stretch>
                      <a:fillRect/>
                    </a:stretch>
                  </pic:blipFill>
                  <pic:spPr>
                    <a:xfrm>
                      <a:off x="0" y="0"/>
                      <a:ext cx="3558540" cy="5062855"/>
                    </a:xfrm>
                    <a:prstGeom prst="rect">
                      <a:avLst/>
                    </a:prstGeom>
                  </pic:spPr>
                </pic:pic>
              </a:graphicData>
            </a:graphic>
            <wp14:sizeRelH relativeFrom="page">
              <wp14:pctWidth>0</wp14:pctWidth>
            </wp14:sizeRelH>
            <wp14:sizeRelV relativeFrom="page">
              <wp14:pctHeight>0</wp14:pctHeight>
            </wp14:sizeRelV>
          </wp:anchor>
        </w:drawing>
      </w:r>
      <w:r w:rsidRPr="00403C9A">
        <w:rPr>
          <w:rFonts w:ascii="Book Antiqua" w:eastAsia="Calibri" w:hAnsi="Book Antiqua" w:cs="Times New Roman"/>
          <w:b/>
          <w:szCs w:val="18"/>
          <w:lang w:val="id-ID"/>
        </w:rPr>
        <w:t>Gambar 15. Variabel dan Indikator yang Saling Berkaitan di Desa Tirtomulyo Kecamatan Kretek dan Desa Gadingsari Kecamatan Sanden Kabupaten Bantul</w:t>
      </w:r>
    </w:p>
    <w:p w14:paraId="18188EC4" w14:textId="7CB6F666" w:rsidR="00417EFC" w:rsidRDefault="00417EFC" w:rsidP="00403C9A">
      <w:pPr>
        <w:spacing w:after="0" w:line="276" w:lineRule="auto"/>
        <w:jc w:val="both"/>
        <w:rPr>
          <w:rFonts w:ascii="Book Antiqua" w:eastAsia="Calibri" w:hAnsi="Book Antiqua" w:cs="Times New Roman"/>
          <w:b/>
          <w:szCs w:val="18"/>
          <w:lang w:val="pt-BR"/>
        </w:rPr>
      </w:pPr>
    </w:p>
    <w:p w14:paraId="37A5FC76" w14:textId="06FCBB66" w:rsidR="00417EFC" w:rsidRDefault="00417EFC" w:rsidP="00916449">
      <w:pPr>
        <w:spacing w:after="0" w:line="276" w:lineRule="auto"/>
        <w:jc w:val="both"/>
        <w:rPr>
          <w:rFonts w:ascii="Book Antiqua" w:eastAsia="Calibri" w:hAnsi="Book Antiqua" w:cs="Times New Roman"/>
          <w:b/>
          <w:szCs w:val="18"/>
          <w:lang w:val="pt-BR"/>
        </w:rPr>
      </w:pPr>
    </w:p>
    <w:p w14:paraId="3A0B4C37" w14:textId="4AABDFBC" w:rsidR="00417EFC" w:rsidRDefault="00417EFC" w:rsidP="00916449">
      <w:pPr>
        <w:spacing w:after="0" w:line="276" w:lineRule="auto"/>
        <w:jc w:val="both"/>
        <w:rPr>
          <w:rFonts w:ascii="Book Antiqua" w:eastAsia="Calibri" w:hAnsi="Book Antiqua" w:cs="Times New Roman"/>
          <w:b/>
          <w:szCs w:val="18"/>
          <w:lang w:val="pt-BR"/>
        </w:rPr>
      </w:pPr>
    </w:p>
    <w:p w14:paraId="2FE1607B" w14:textId="319D8B59" w:rsidR="00417EFC" w:rsidRDefault="00417EFC" w:rsidP="00916449">
      <w:pPr>
        <w:spacing w:after="0" w:line="276" w:lineRule="auto"/>
        <w:jc w:val="both"/>
        <w:rPr>
          <w:rFonts w:ascii="Book Antiqua" w:eastAsia="Calibri" w:hAnsi="Book Antiqua" w:cs="Times New Roman"/>
          <w:b/>
          <w:szCs w:val="18"/>
          <w:lang w:val="pt-BR"/>
        </w:rPr>
      </w:pPr>
    </w:p>
    <w:p w14:paraId="3550365F" w14:textId="731918A5" w:rsidR="00417EFC" w:rsidRDefault="00417EFC" w:rsidP="00916449">
      <w:pPr>
        <w:spacing w:after="0" w:line="276" w:lineRule="auto"/>
        <w:jc w:val="both"/>
        <w:rPr>
          <w:rFonts w:ascii="Book Antiqua" w:eastAsia="Calibri" w:hAnsi="Book Antiqua" w:cs="Times New Roman"/>
          <w:b/>
          <w:szCs w:val="18"/>
          <w:lang w:val="pt-BR"/>
        </w:rPr>
      </w:pPr>
    </w:p>
    <w:p w14:paraId="550849A5" w14:textId="151DD0D8" w:rsidR="00417EFC" w:rsidRDefault="00403C9A" w:rsidP="00403C9A">
      <w:pPr>
        <w:tabs>
          <w:tab w:val="left" w:pos="3161"/>
        </w:tabs>
        <w:spacing w:after="0" w:line="276" w:lineRule="auto"/>
        <w:jc w:val="both"/>
        <w:rPr>
          <w:rFonts w:ascii="Book Antiqua" w:eastAsia="Calibri" w:hAnsi="Book Antiqua" w:cs="Times New Roman"/>
          <w:b/>
          <w:szCs w:val="18"/>
          <w:lang w:val="pt-BR"/>
        </w:rPr>
      </w:pPr>
      <w:r>
        <w:rPr>
          <w:rFonts w:ascii="Book Antiqua" w:eastAsia="Calibri" w:hAnsi="Book Antiqua" w:cs="Times New Roman"/>
          <w:b/>
          <w:szCs w:val="18"/>
          <w:lang w:val="pt-BR"/>
        </w:rPr>
        <w:tab/>
      </w:r>
    </w:p>
    <w:p w14:paraId="65E6ACDC" w14:textId="5E8B5303" w:rsidR="00417EFC" w:rsidRDefault="00417EFC" w:rsidP="00916449">
      <w:pPr>
        <w:spacing w:after="0" w:line="276" w:lineRule="auto"/>
        <w:jc w:val="both"/>
        <w:rPr>
          <w:rFonts w:ascii="Book Antiqua" w:eastAsia="Calibri" w:hAnsi="Book Antiqua" w:cs="Times New Roman"/>
          <w:b/>
          <w:szCs w:val="18"/>
          <w:lang w:val="pt-BR"/>
        </w:rPr>
      </w:pPr>
    </w:p>
    <w:p w14:paraId="6BD3F92A" w14:textId="5685B343" w:rsidR="00417EFC" w:rsidRDefault="00417EFC" w:rsidP="00916449">
      <w:pPr>
        <w:spacing w:after="0" w:line="276" w:lineRule="auto"/>
        <w:jc w:val="both"/>
        <w:rPr>
          <w:rFonts w:ascii="Book Antiqua" w:eastAsia="Calibri" w:hAnsi="Book Antiqua" w:cs="Times New Roman"/>
          <w:b/>
          <w:szCs w:val="18"/>
          <w:lang w:val="pt-BR"/>
        </w:rPr>
      </w:pPr>
    </w:p>
    <w:p w14:paraId="4F2FF723" w14:textId="0AA10068" w:rsidR="004F42F0" w:rsidRDefault="004F42F0" w:rsidP="00916449">
      <w:pPr>
        <w:spacing w:after="0" w:line="276" w:lineRule="auto"/>
        <w:jc w:val="both"/>
        <w:rPr>
          <w:rFonts w:ascii="Book Antiqua" w:eastAsia="Calibri" w:hAnsi="Book Antiqua" w:cs="Times New Roman"/>
          <w:b/>
          <w:szCs w:val="18"/>
          <w:lang w:val="pt-BR"/>
        </w:rPr>
      </w:pPr>
    </w:p>
    <w:p w14:paraId="1857F4EE" w14:textId="78CA50D8" w:rsidR="00417EFC" w:rsidRDefault="00417EFC" w:rsidP="00916449">
      <w:pPr>
        <w:spacing w:after="0" w:line="276" w:lineRule="auto"/>
        <w:jc w:val="both"/>
        <w:rPr>
          <w:rFonts w:ascii="Book Antiqua" w:eastAsia="Calibri" w:hAnsi="Book Antiqua" w:cs="Times New Roman"/>
          <w:b/>
          <w:szCs w:val="18"/>
          <w:lang w:val="pt-BR"/>
        </w:rPr>
      </w:pPr>
    </w:p>
    <w:p w14:paraId="41198D7D" w14:textId="1BECD10D" w:rsidR="00417EFC" w:rsidRDefault="00417EFC" w:rsidP="00916449">
      <w:pPr>
        <w:spacing w:after="0" w:line="276" w:lineRule="auto"/>
        <w:jc w:val="both"/>
        <w:rPr>
          <w:rFonts w:ascii="Book Antiqua" w:eastAsia="Calibri" w:hAnsi="Book Antiqua" w:cs="Times New Roman"/>
          <w:b/>
          <w:szCs w:val="18"/>
          <w:lang w:val="pt-BR"/>
        </w:rPr>
      </w:pPr>
    </w:p>
    <w:p w14:paraId="54B654CA" w14:textId="71DF9D13" w:rsidR="00417EFC" w:rsidRDefault="00417EFC" w:rsidP="00916449">
      <w:pPr>
        <w:spacing w:after="0" w:line="276" w:lineRule="auto"/>
        <w:jc w:val="both"/>
        <w:rPr>
          <w:rFonts w:ascii="Book Antiqua" w:eastAsia="Calibri" w:hAnsi="Book Antiqua" w:cs="Times New Roman"/>
          <w:b/>
          <w:szCs w:val="18"/>
          <w:lang w:val="pt-BR"/>
        </w:rPr>
      </w:pPr>
    </w:p>
    <w:p w14:paraId="2A99DDFC" w14:textId="6BE5DE97" w:rsidR="00417EFC" w:rsidRDefault="00417EFC" w:rsidP="00916449">
      <w:pPr>
        <w:spacing w:after="0" w:line="276" w:lineRule="auto"/>
        <w:jc w:val="both"/>
        <w:rPr>
          <w:rFonts w:ascii="Book Antiqua" w:eastAsia="Calibri" w:hAnsi="Book Antiqua" w:cs="Times New Roman"/>
          <w:b/>
          <w:szCs w:val="18"/>
          <w:lang w:val="pt-BR"/>
        </w:rPr>
      </w:pPr>
    </w:p>
    <w:p w14:paraId="6C994316" w14:textId="4EAF8320" w:rsidR="00417EFC" w:rsidRDefault="00417EFC" w:rsidP="00916449">
      <w:pPr>
        <w:spacing w:after="0" w:line="276" w:lineRule="auto"/>
        <w:jc w:val="both"/>
        <w:rPr>
          <w:rFonts w:ascii="Book Antiqua" w:eastAsia="Calibri" w:hAnsi="Book Antiqua" w:cs="Times New Roman"/>
          <w:b/>
          <w:szCs w:val="18"/>
          <w:lang w:val="pt-BR"/>
        </w:rPr>
      </w:pPr>
    </w:p>
    <w:p w14:paraId="3E463E43" w14:textId="27CF6FCD" w:rsidR="00417EFC" w:rsidRDefault="00417EFC" w:rsidP="00916449">
      <w:pPr>
        <w:spacing w:after="0" w:line="276" w:lineRule="auto"/>
        <w:jc w:val="both"/>
        <w:rPr>
          <w:rFonts w:ascii="Book Antiqua" w:eastAsia="Calibri" w:hAnsi="Book Antiqua" w:cs="Times New Roman"/>
          <w:b/>
          <w:szCs w:val="18"/>
          <w:lang w:val="pt-BR"/>
        </w:rPr>
      </w:pPr>
    </w:p>
    <w:p w14:paraId="5C00CEAF" w14:textId="2605E6CB" w:rsidR="00417EFC" w:rsidRDefault="00417EFC" w:rsidP="00916449">
      <w:pPr>
        <w:spacing w:after="0" w:line="276" w:lineRule="auto"/>
        <w:jc w:val="both"/>
        <w:rPr>
          <w:rFonts w:ascii="Book Antiqua" w:eastAsia="Calibri" w:hAnsi="Book Antiqua" w:cs="Times New Roman"/>
          <w:b/>
          <w:szCs w:val="18"/>
          <w:lang w:val="pt-BR"/>
        </w:rPr>
      </w:pPr>
    </w:p>
    <w:p w14:paraId="4B73BDB5" w14:textId="324198EE" w:rsidR="00417EFC" w:rsidRDefault="00417EFC" w:rsidP="00916449">
      <w:pPr>
        <w:spacing w:after="0" w:line="276" w:lineRule="auto"/>
        <w:jc w:val="both"/>
        <w:rPr>
          <w:rFonts w:ascii="Book Antiqua" w:eastAsia="Calibri" w:hAnsi="Book Antiqua" w:cs="Times New Roman"/>
          <w:b/>
          <w:szCs w:val="18"/>
          <w:lang w:val="pt-BR"/>
        </w:rPr>
      </w:pPr>
    </w:p>
    <w:p w14:paraId="1994A394" w14:textId="76541252" w:rsidR="00417EFC" w:rsidRDefault="00417EFC" w:rsidP="00916449">
      <w:pPr>
        <w:spacing w:after="0" w:line="276" w:lineRule="auto"/>
        <w:jc w:val="both"/>
        <w:rPr>
          <w:rFonts w:ascii="Book Antiqua" w:eastAsia="Calibri" w:hAnsi="Book Antiqua" w:cs="Times New Roman"/>
          <w:b/>
          <w:szCs w:val="18"/>
          <w:lang w:val="pt-BR"/>
        </w:rPr>
      </w:pPr>
    </w:p>
    <w:p w14:paraId="124FBE6A" w14:textId="1848AE45" w:rsidR="00417EFC" w:rsidRDefault="00417EFC" w:rsidP="00916449">
      <w:pPr>
        <w:spacing w:after="0" w:line="276" w:lineRule="auto"/>
        <w:jc w:val="both"/>
        <w:rPr>
          <w:rFonts w:ascii="Book Antiqua" w:eastAsia="Calibri" w:hAnsi="Book Antiqua" w:cs="Times New Roman"/>
          <w:b/>
          <w:szCs w:val="18"/>
          <w:lang w:val="pt-BR"/>
        </w:rPr>
      </w:pPr>
    </w:p>
    <w:p w14:paraId="375244AA" w14:textId="6A20FF0E" w:rsidR="00417EFC" w:rsidRDefault="00417EFC" w:rsidP="00916449">
      <w:pPr>
        <w:spacing w:after="0" w:line="276" w:lineRule="auto"/>
        <w:jc w:val="both"/>
        <w:rPr>
          <w:rFonts w:ascii="Book Antiqua" w:eastAsia="Calibri" w:hAnsi="Book Antiqua" w:cs="Times New Roman"/>
          <w:b/>
          <w:szCs w:val="18"/>
          <w:lang w:val="pt-BR"/>
        </w:rPr>
      </w:pPr>
    </w:p>
    <w:p w14:paraId="0EE59900" w14:textId="3EC61504" w:rsidR="00417EFC" w:rsidRDefault="00417EFC" w:rsidP="00916449">
      <w:pPr>
        <w:spacing w:after="0" w:line="276" w:lineRule="auto"/>
        <w:jc w:val="both"/>
        <w:rPr>
          <w:rFonts w:ascii="Book Antiqua" w:eastAsia="Calibri" w:hAnsi="Book Antiqua" w:cs="Times New Roman"/>
          <w:b/>
          <w:szCs w:val="18"/>
          <w:lang w:val="pt-BR"/>
        </w:rPr>
      </w:pPr>
    </w:p>
    <w:p w14:paraId="5021108C" w14:textId="1F849963" w:rsidR="00403C9A" w:rsidRDefault="00403C9A" w:rsidP="00916449">
      <w:pPr>
        <w:spacing w:after="0" w:line="276" w:lineRule="auto"/>
        <w:jc w:val="both"/>
        <w:rPr>
          <w:rFonts w:ascii="Book Antiqua" w:eastAsia="Calibri" w:hAnsi="Book Antiqua" w:cs="Times New Roman"/>
          <w:b/>
          <w:szCs w:val="18"/>
          <w:lang w:val="pt-BR"/>
        </w:rPr>
      </w:pPr>
    </w:p>
    <w:p w14:paraId="3CFD2C3A" w14:textId="57968EED" w:rsidR="00403C9A" w:rsidRDefault="00403C9A" w:rsidP="00916449">
      <w:pPr>
        <w:spacing w:after="0" w:line="276" w:lineRule="auto"/>
        <w:jc w:val="both"/>
        <w:rPr>
          <w:rFonts w:ascii="Book Antiqua" w:eastAsia="Calibri" w:hAnsi="Book Antiqua" w:cs="Times New Roman"/>
          <w:b/>
          <w:szCs w:val="18"/>
          <w:lang w:val="pt-BR"/>
        </w:rPr>
      </w:pPr>
    </w:p>
    <w:p w14:paraId="45F5FC7A" w14:textId="08E3C11F" w:rsidR="00403C9A" w:rsidRDefault="00403C9A" w:rsidP="00916449">
      <w:pPr>
        <w:spacing w:after="0" w:line="276" w:lineRule="auto"/>
        <w:jc w:val="both"/>
        <w:rPr>
          <w:rFonts w:ascii="Book Antiqua" w:eastAsia="Calibri" w:hAnsi="Book Antiqua" w:cs="Times New Roman"/>
          <w:b/>
          <w:szCs w:val="18"/>
          <w:lang w:val="pt-BR"/>
        </w:rPr>
      </w:pPr>
    </w:p>
    <w:p w14:paraId="24746BD9" w14:textId="215A3668" w:rsidR="00403C9A" w:rsidRDefault="00403C9A" w:rsidP="00916449">
      <w:pPr>
        <w:spacing w:after="0" w:line="276" w:lineRule="auto"/>
        <w:jc w:val="both"/>
        <w:rPr>
          <w:rFonts w:ascii="Book Antiqua" w:eastAsia="Calibri" w:hAnsi="Book Antiqua" w:cs="Times New Roman"/>
          <w:b/>
          <w:szCs w:val="18"/>
          <w:lang w:val="pt-BR"/>
        </w:rPr>
      </w:pPr>
    </w:p>
    <w:p w14:paraId="13131658" w14:textId="77777777" w:rsidR="00812B32" w:rsidRDefault="00812B32" w:rsidP="00812B32">
      <w:pPr>
        <w:tabs>
          <w:tab w:val="left" w:pos="1758"/>
        </w:tabs>
        <w:spacing w:line="240" w:lineRule="auto"/>
        <w:jc w:val="center"/>
        <w:rPr>
          <w:rFonts w:ascii="Constantia" w:hAnsi="Constantia"/>
          <w:sz w:val="24"/>
          <w:szCs w:val="24"/>
        </w:rPr>
      </w:pPr>
    </w:p>
    <w:p w14:paraId="419BE4AC" w14:textId="27B9843E" w:rsidR="00812B32" w:rsidRPr="00812B32" w:rsidRDefault="00812B32" w:rsidP="000758BF">
      <w:pPr>
        <w:tabs>
          <w:tab w:val="left" w:pos="1758"/>
        </w:tabs>
        <w:spacing w:line="276" w:lineRule="auto"/>
        <w:ind w:left="709" w:firstLine="709"/>
        <w:jc w:val="center"/>
        <w:rPr>
          <w:rFonts w:ascii="Book Antiqua" w:hAnsi="Book Antiqua"/>
        </w:rPr>
      </w:pPr>
      <w:r w:rsidRPr="00812B32">
        <w:rPr>
          <w:rFonts w:ascii="Book Antiqua" w:hAnsi="Book Antiqua"/>
        </w:rPr>
        <w:t>Sumber: Comparasison Diagram Analysis with Nvivo 12 Plus, 2020</w:t>
      </w:r>
    </w:p>
    <w:p w14:paraId="21F86C4B" w14:textId="1114FADA" w:rsidR="00403C9A" w:rsidRPr="00812B32" w:rsidRDefault="00812B32" w:rsidP="00812B32">
      <w:pPr>
        <w:spacing w:line="276" w:lineRule="auto"/>
        <w:ind w:left="709" w:firstLine="709"/>
        <w:jc w:val="both"/>
        <w:rPr>
          <w:rFonts w:ascii="Book Antiqua" w:hAnsi="Book Antiqua"/>
        </w:rPr>
      </w:pPr>
      <w:r w:rsidRPr="00812B32">
        <w:rPr>
          <w:rFonts w:ascii="Book Antiqua" w:hAnsi="Book Antiqua"/>
        </w:rPr>
        <w:lastRenderedPageBreak/>
        <w:t xml:space="preserve">Berdasarkan gambar 15 diatas menunjukkan bahwa antara Desa Tirtomulyo Kecamatan Kretek dan Desa Gadingsari Kecamatan Sanden Kabupaten Bantul mempunyai beberapa indikator dengan kesamaan dalam penataan pertanahan. Indikator yang dimaksud yaitu: Kebijakan administrasi pertanahan, kepemilikan tanah, kegunaan tanah, hak milik adat, permasalahan dalam penataan pertanahan, pelaksanaan kegiatan, partisipasi masyarakat, keinginan masyarakat, akses jalan, sertipikasi konsolidasi tanah, dan tanah kas desa. Yang membuat perbedaan yaitu indikator yang bisa berpotensi konflik, indikator ini terdapat di Desa Gadingsari Kecamatan Sanden Kabupaten Bantul. </w:t>
      </w:r>
    </w:p>
    <w:p w14:paraId="2CF73336" w14:textId="44C4BFBD" w:rsidR="00812B32" w:rsidRPr="00812B32" w:rsidRDefault="00812B32" w:rsidP="00812B32">
      <w:pPr>
        <w:spacing w:after="0" w:line="276" w:lineRule="auto"/>
        <w:jc w:val="center"/>
        <w:rPr>
          <w:rFonts w:ascii="Book Antiqua" w:eastAsia="Calibri" w:hAnsi="Book Antiqua" w:cs="Times New Roman"/>
          <w:b/>
          <w:szCs w:val="18"/>
          <w:lang w:val="id-ID"/>
        </w:rPr>
      </w:pPr>
      <w:r w:rsidRPr="003C4B94">
        <w:rPr>
          <w:rFonts w:ascii="Constantia" w:hAnsi="Constantia"/>
          <w:b/>
          <w:noProof/>
          <w:sz w:val="24"/>
          <w:szCs w:val="24"/>
          <w:lang w:eastAsia="id-ID"/>
        </w:rPr>
        <w:drawing>
          <wp:anchor distT="0" distB="0" distL="114300" distR="114300" simplePos="0" relativeHeight="251717632" behindDoc="0" locked="0" layoutInCell="1" allowOverlap="1" wp14:anchorId="456A98CF" wp14:editId="658C8373">
            <wp:simplePos x="0" y="0"/>
            <wp:positionH relativeFrom="column">
              <wp:posOffset>224790</wp:posOffset>
            </wp:positionH>
            <wp:positionV relativeFrom="paragraph">
              <wp:posOffset>240030</wp:posOffset>
            </wp:positionV>
            <wp:extent cx="4789805" cy="3990975"/>
            <wp:effectExtent l="0" t="0" r="0" b="952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luster kabupaten bantul.jpg"/>
                    <pic:cNvPicPr/>
                  </pic:nvPicPr>
                  <pic:blipFill rotWithShape="1">
                    <a:blip r:embed="rId20">
                      <a:extLst>
                        <a:ext uri="{28A0092B-C50C-407E-A947-70E740481C1C}">
                          <a14:useLocalDpi xmlns:a14="http://schemas.microsoft.com/office/drawing/2010/main" val="0"/>
                        </a:ext>
                      </a:extLst>
                    </a:blip>
                    <a:srcRect l="4600" t="23676" r="18433" b="15149"/>
                    <a:stretch/>
                  </pic:blipFill>
                  <pic:spPr bwMode="auto">
                    <a:xfrm>
                      <a:off x="0" y="0"/>
                      <a:ext cx="4789805" cy="399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2B32">
        <w:rPr>
          <w:rFonts w:ascii="Book Antiqua" w:eastAsia="Calibri" w:hAnsi="Book Antiqua" w:cs="Times New Roman"/>
          <w:b/>
          <w:szCs w:val="18"/>
          <w:lang w:val="id-ID"/>
        </w:rPr>
        <w:t>Gambar 16. Korelasi Terhadap Variabel dan Indikator</w:t>
      </w:r>
    </w:p>
    <w:p w14:paraId="2B5A0351" w14:textId="701084D5" w:rsidR="00403C9A" w:rsidRDefault="00403C9A" w:rsidP="00916449">
      <w:pPr>
        <w:spacing w:after="0" w:line="276" w:lineRule="auto"/>
        <w:jc w:val="both"/>
        <w:rPr>
          <w:rFonts w:ascii="Book Antiqua" w:eastAsia="Calibri" w:hAnsi="Book Antiqua" w:cs="Times New Roman"/>
          <w:b/>
          <w:szCs w:val="18"/>
          <w:lang w:val="pt-BR"/>
        </w:rPr>
      </w:pPr>
    </w:p>
    <w:p w14:paraId="606ECAF9" w14:textId="00D9055A" w:rsidR="00403C9A" w:rsidRDefault="00812B32" w:rsidP="00812B32">
      <w:pPr>
        <w:spacing w:after="0" w:line="276" w:lineRule="auto"/>
        <w:ind w:left="698" w:firstLine="720"/>
        <w:jc w:val="both"/>
        <w:rPr>
          <w:rFonts w:ascii="Book Antiqua" w:eastAsia="Calibri" w:hAnsi="Book Antiqua" w:cs="Times New Roman"/>
          <w:lang w:val="id-ID"/>
        </w:rPr>
      </w:pPr>
      <w:r w:rsidRPr="00812B32">
        <w:rPr>
          <w:rFonts w:ascii="Book Antiqua" w:eastAsia="Calibri" w:hAnsi="Book Antiqua" w:cs="Times New Roman"/>
          <w:lang w:val="id-ID"/>
        </w:rPr>
        <w:t>Sumber: Cluster Analysis with Nvivo 12 Plus, 2020</w:t>
      </w:r>
    </w:p>
    <w:p w14:paraId="20AEFE40" w14:textId="77777777" w:rsidR="00812B32" w:rsidRPr="00812B32" w:rsidRDefault="00812B32" w:rsidP="00812B32">
      <w:pPr>
        <w:spacing w:after="0" w:line="276" w:lineRule="auto"/>
        <w:ind w:left="698" w:firstLine="720"/>
        <w:jc w:val="both"/>
        <w:rPr>
          <w:rFonts w:ascii="Book Antiqua" w:eastAsia="Calibri" w:hAnsi="Book Antiqua" w:cs="Times New Roman"/>
          <w:lang w:val="id-ID"/>
        </w:rPr>
      </w:pPr>
    </w:p>
    <w:p w14:paraId="14D90D73" w14:textId="325C3262" w:rsidR="00812B32" w:rsidRPr="00812B32" w:rsidRDefault="00812B32" w:rsidP="00812B32">
      <w:pPr>
        <w:spacing w:line="276" w:lineRule="auto"/>
        <w:ind w:left="709" w:firstLine="709"/>
        <w:jc w:val="both"/>
        <w:rPr>
          <w:rFonts w:ascii="Book Antiqua" w:hAnsi="Book Antiqua"/>
        </w:rPr>
      </w:pPr>
      <w:r w:rsidRPr="00812B32">
        <w:rPr>
          <w:rFonts w:ascii="Book Antiqua" w:eastAsia="Calibri" w:hAnsi="Book Antiqua" w:cs="Times New Roman"/>
          <w:b/>
          <w:lang w:val="pt-BR"/>
        </w:rPr>
        <w:tab/>
      </w:r>
      <w:r w:rsidRPr="00812B32">
        <w:rPr>
          <w:rFonts w:ascii="Book Antiqua" w:hAnsi="Book Antiqua"/>
        </w:rPr>
        <w:t xml:space="preserve">Berdasarkan gambar 16 diatas menunjukkan bahwa besar frekuensi korelasi terhadap variabel dan indikator di Desa Tirtomulyo dan Desa Gadingsari. Besar frekuensi terhadap variabel dan indikator yang telah disampikan oleh Pelaksana Konsolidasi Tanah Kantor Wilayah Badan </w:t>
      </w:r>
      <w:r w:rsidRPr="00812B32">
        <w:rPr>
          <w:rFonts w:ascii="Book Antiqua" w:hAnsi="Book Antiqua"/>
        </w:rPr>
        <w:lastRenderedPageBreak/>
        <w:t xml:space="preserve">Pertanahan Nasional DIY sebesar 23,53%, disusul oleh Kepala Seksi Pemerintahan Desa Gadingsari sebesar 6,24%, kemudian disusul oleh Kepala Seksi Pemerintahan Desa Tirtomulyo sebesar 5,86%, selanjutnya Kasubsi Konsolidasi Kantor Pertanahan Kabupaten Bantul sebesar 1,37%, dan Kepala Desa Tirtomulyo dan Kepala Desa Gadingsari masing-masing sebesar 0,18%. </w:t>
      </w:r>
    </w:p>
    <w:p w14:paraId="4F1C7064" w14:textId="77777777" w:rsidR="00812B32" w:rsidRPr="00812B32" w:rsidRDefault="00812B32" w:rsidP="00812B32">
      <w:pPr>
        <w:pStyle w:val="ListParagraph"/>
        <w:numPr>
          <w:ilvl w:val="0"/>
          <w:numId w:val="5"/>
        </w:numPr>
        <w:spacing w:after="0" w:line="276" w:lineRule="auto"/>
        <w:jc w:val="both"/>
        <w:rPr>
          <w:rFonts w:ascii="Book Antiqua" w:eastAsia="Calibri" w:hAnsi="Book Antiqua" w:cs="Times New Roman"/>
          <w:szCs w:val="18"/>
          <w:lang w:val="id-ID"/>
        </w:rPr>
      </w:pPr>
      <w:r w:rsidRPr="00812B32">
        <w:rPr>
          <w:rFonts w:ascii="Book Antiqua" w:eastAsia="Calibri" w:hAnsi="Book Antiqua" w:cs="Times New Roman"/>
          <w:szCs w:val="18"/>
          <w:lang w:val="id-ID"/>
        </w:rPr>
        <w:t xml:space="preserve">Kebijakan Penataan Pertanahan Desa Kepuharjo dan Desa Umbulharjo Kecamatan Cangkringan Kebupaten Sleman  </w:t>
      </w:r>
    </w:p>
    <w:p w14:paraId="36E4B23E" w14:textId="64974E50" w:rsidR="00812B32" w:rsidRDefault="00812B32" w:rsidP="00916449">
      <w:pPr>
        <w:spacing w:after="0" w:line="276" w:lineRule="auto"/>
        <w:jc w:val="both"/>
        <w:rPr>
          <w:rFonts w:ascii="Book Antiqua" w:eastAsia="Calibri" w:hAnsi="Book Antiqua" w:cs="Times New Roman"/>
          <w:b/>
          <w:szCs w:val="18"/>
          <w:lang w:val="pt-BR"/>
        </w:rPr>
      </w:pPr>
    </w:p>
    <w:p w14:paraId="58A99BD7" w14:textId="1EF34713" w:rsidR="00812B32" w:rsidRPr="00812B32" w:rsidRDefault="00812B32" w:rsidP="00812B32">
      <w:pPr>
        <w:spacing w:after="0" w:line="276" w:lineRule="auto"/>
        <w:ind w:firstLine="720"/>
        <w:jc w:val="center"/>
        <w:rPr>
          <w:rFonts w:ascii="Book Antiqua" w:eastAsia="Calibri" w:hAnsi="Book Antiqua" w:cs="Times New Roman"/>
          <w:b/>
          <w:szCs w:val="18"/>
          <w:lang w:val="id-ID"/>
        </w:rPr>
      </w:pPr>
      <w:r w:rsidRPr="00812B32">
        <w:rPr>
          <w:rFonts w:ascii="Constantia" w:hAnsi="Constantia"/>
          <w:b/>
          <w:noProof/>
          <w:lang w:eastAsia="id-ID"/>
        </w:rPr>
        <w:drawing>
          <wp:anchor distT="0" distB="0" distL="114300" distR="114300" simplePos="0" relativeHeight="251719680" behindDoc="0" locked="0" layoutInCell="1" allowOverlap="1" wp14:anchorId="1B8C4D7B" wp14:editId="1C54FCE7">
            <wp:simplePos x="0" y="0"/>
            <wp:positionH relativeFrom="column">
              <wp:posOffset>-235585</wp:posOffset>
            </wp:positionH>
            <wp:positionV relativeFrom="paragraph">
              <wp:posOffset>240074</wp:posOffset>
            </wp:positionV>
            <wp:extent cx="5881370" cy="2487930"/>
            <wp:effectExtent l="0" t="0" r="5080" b="762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rosstab Query - Kepemilikan tanah desa U&amp;K.png"/>
                    <pic:cNvPicPr/>
                  </pic:nvPicPr>
                  <pic:blipFill rotWithShape="1">
                    <a:blip r:embed="rId21" cstate="print">
                      <a:extLst>
                        <a:ext uri="{28A0092B-C50C-407E-A947-70E740481C1C}">
                          <a14:useLocalDpi xmlns:a14="http://schemas.microsoft.com/office/drawing/2010/main" val="0"/>
                        </a:ext>
                      </a:extLst>
                    </a:blip>
                    <a:srcRect l="779" r="779"/>
                    <a:stretch/>
                  </pic:blipFill>
                  <pic:spPr bwMode="auto">
                    <a:xfrm>
                      <a:off x="0" y="0"/>
                      <a:ext cx="5881370" cy="2487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2B32">
        <w:rPr>
          <w:rFonts w:ascii="Book Antiqua" w:eastAsia="Calibri" w:hAnsi="Book Antiqua" w:cs="Times New Roman"/>
          <w:b/>
          <w:szCs w:val="18"/>
          <w:lang w:val="id-ID"/>
        </w:rPr>
        <w:t>Gambar 17. Kepemilikan Tanah di Desa Kepuharjo dan Desa Umbulharjo</w:t>
      </w:r>
    </w:p>
    <w:p w14:paraId="4C6ED2EA" w14:textId="043BDC07" w:rsidR="00812B32" w:rsidRPr="00812B32" w:rsidRDefault="00812B32" w:rsidP="00812B32">
      <w:pPr>
        <w:spacing w:after="0" w:line="276" w:lineRule="auto"/>
        <w:ind w:left="1440"/>
        <w:rPr>
          <w:rFonts w:ascii="Book Antiqua" w:eastAsia="Calibri" w:hAnsi="Book Antiqua" w:cs="Times New Roman"/>
          <w:szCs w:val="18"/>
          <w:lang w:val="id-ID"/>
        </w:rPr>
      </w:pPr>
      <w:r w:rsidRPr="00812B32">
        <w:rPr>
          <w:rFonts w:ascii="Book Antiqua" w:eastAsia="Calibri" w:hAnsi="Book Antiqua" w:cs="Times New Roman"/>
          <w:szCs w:val="18"/>
          <w:lang w:val="id-ID"/>
        </w:rPr>
        <w:t>Sumber: Crosstab Query Analysis with Nvivo 12 Plus, 2020</w:t>
      </w:r>
    </w:p>
    <w:p w14:paraId="794F84C6" w14:textId="30EDBF39" w:rsidR="00812B32" w:rsidRDefault="00812B32" w:rsidP="00812B32">
      <w:pPr>
        <w:spacing w:after="0" w:line="276" w:lineRule="auto"/>
        <w:ind w:left="709" w:firstLine="709"/>
        <w:jc w:val="both"/>
        <w:rPr>
          <w:rFonts w:ascii="Book Antiqua" w:eastAsia="Calibri" w:hAnsi="Book Antiqua" w:cs="Times New Roman"/>
          <w:szCs w:val="18"/>
          <w:lang w:val="id-ID"/>
        </w:rPr>
      </w:pPr>
      <w:r w:rsidRPr="00812B32">
        <w:rPr>
          <w:rFonts w:ascii="Book Antiqua" w:eastAsia="Calibri" w:hAnsi="Book Antiqua" w:cs="Times New Roman"/>
          <w:szCs w:val="18"/>
          <w:lang w:val="id-ID"/>
        </w:rPr>
        <w:t>Berdasarkan Gambar 17 diatas bahwa terdapat dua indikator yang sama atas kepemilikan tanah, yaitu Hak atas tanah dan Hilangnya batas kepemilikan tanah. Sesuai yang disampaikan oleh Kepala Desa Kepuharjo, Kepala Desa Umbulharjo, dan Kepala Seksi Pengaturan Penataan Pertanahan Kabupaten Sleman bahwa masyarakat pemilik tanah sebagai subjek Hak atas tanah disediakan tempat penampungan sementara yang ditentukan tempatnya oleh Pemerintah daerah Kabupaten Sleman, dan erupsi gunung api merapi yang terjadi bulan november tahun 2010 meluluh lantakkan kawasan lereng merapi, kondisi ini menyebabkan hilangnya batas-batas kepemilikan tanah. Terjadinya pergeseran aliran air atau alur sungai akibat material vulkanik menutupi sungai-sungai besar maupun kecil dan juga menutupi bidang-bidang kepemilikan tanah.</w:t>
      </w:r>
    </w:p>
    <w:p w14:paraId="0D7359CE" w14:textId="4C61742E" w:rsidR="00812B32" w:rsidRPr="00812B32" w:rsidRDefault="00812B32" w:rsidP="00812B32">
      <w:pPr>
        <w:tabs>
          <w:tab w:val="left" w:pos="3047"/>
        </w:tabs>
        <w:spacing w:line="276" w:lineRule="auto"/>
        <w:ind w:left="709" w:firstLine="709"/>
        <w:jc w:val="both"/>
        <w:rPr>
          <w:rFonts w:ascii="Book Antiqua" w:hAnsi="Book Antiqua"/>
        </w:rPr>
      </w:pPr>
      <w:r w:rsidRPr="00812B32">
        <w:rPr>
          <w:rFonts w:ascii="Book Antiqua" w:hAnsi="Book Antiqua"/>
        </w:rPr>
        <w:t xml:space="preserve">Dengan tertimbunnya bidang tanah oleh matrial vulkanik akibat letusan gunung merapi maka banyak terjadi tanda batas bidang tanah yang hilang hal ini akan berpotensi besar menimbulkan sengketa dan konflik pertanahan dan juga banyak bidang bidang tanah di daerah tersebut yang </w:t>
      </w:r>
      <w:r w:rsidRPr="00812B32">
        <w:rPr>
          <w:rFonts w:ascii="Book Antiqua" w:hAnsi="Book Antiqua"/>
        </w:rPr>
        <w:lastRenderedPageBreak/>
        <w:t>akses jalannya tidak optimal dengan kondisi tersebut maka perlu diadakan penataan pertanahan untuk pengembalian tanda batas bidang tanah dan optimasi akses jalan dengan Konsolidasi Tanah.</w:t>
      </w:r>
    </w:p>
    <w:p w14:paraId="676DBD86" w14:textId="655D7CFD" w:rsidR="00812B32" w:rsidRPr="00812B32" w:rsidRDefault="00812B32" w:rsidP="00812B32">
      <w:pPr>
        <w:spacing w:after="0" w:line="276" w:lineRule="auto"/>
        <w:ind w:firstLine="709"/>
        <w:jc w:val="center"/>
        <w:rPr>
          <w:rFonts w:ascii="Book Antiqua" w:eastAsia="Calibri" w:hAnsi="Book Antiqua" w:cs="Times New Roman"/>
          <w:b/>
          <w:szCs w:val="18"/>
          <w:lang w:val="id-ID"/>
        </w:rPr>
      </w:pPr>
      <w:r w:rsidRPr="003C4B94">
        <w:rPr>
          <w:rFonts w:ascii="Constantia" w:hAnsi="Constantia"/>
          <w:noProof/>
          <w:sz w:val="24"/>
          <w:szCs w:val="24"/>
          <w:lang w:eastAsia="id-ID"/>
        </w:rPr>
        <w:drawing>
          <wp:anchor distT="0" distB="0" distL="114300" distR="114300" simplePos="0" relativeHeight="251721728" behindDoc="0" locked="0" layoutInCell="1" allowOverlap="1" wp14:anchorId="1D48F8C6" wp14:editId="7DBD93FF">
            <wp:simplePos x="0" y="0"/>
            <wp:positionH relativeFrom="column">
              <wp:posOffset>13335</wp:posOffset>
            </wp:positionH>
            <wp:positionV relativeFrom="paragraph">
              <wp:posOffset>242768</wp:posOffset>
            </wp:positionV>
            <wp:extent cx="5581650" cy="232410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rosstab Query - Kegunaan tanah BARU BARU.png"/>
                    <pic:cNvPicPr/>
                  </pic:nvPicPr>
                  <pic:blipFill rotWithShape="1">
                    <a:blip r:embed="rId22" cstate="print">
                      <a:extLst>
                        <a:ext uri="{28A0092B-C50C-407E-A947-70E740481C1C}">
                          <a14:useLocalDpi xmlns:a14="http://schemas.microsoft.com/office/drawing/2010/main" val="0"/>
                        </a:ext>
                      </a:extLst>
                    </a:blip>
                    <a:srcRect l="9240" r="3080"/>
                    <a:stretch/>
                  </pic:blipFill>
                  <pic:spPr bwMode="auto">
                    <a:xfrm>
                      <a:off x="0" y="0"/>
                      <a:ext cx="5581650" cy="2324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2B32">
        <w:rPr>
          <w:rFonts w:ascii="Book Antiqua" w:eastAsia="Calibri" w:hAnsi="Book Antiqua" w:cs="Times New Roman"/>
          <w:b/>
          <w:szCs w:val="18"/>
          <w:lang w:val="id-ID"/>
        </w:rPr>
        <w:t>Gambar 18. Kegunaan Tanah di Desa Kepuharjo dan Desa Umbulharjo</w:t>
      </w:r>
    </w:p>
    <w:p w14:paraId="161FF355" w14:textId="30B301AB" w:rsidR="00812B32" w:rsidRDefault="00812B32" w:rsidP="00812B32">
      <w:pPr>
        <w:spacing w:after="0" w:line="276" w:lineRule="auto"/>
        <w:ind w:left="698" w:firstLine="720"/>
        <w:jc w:val="both"/>
        <w:rPr>
          <w:rFonts w:ascii="Book Antiqua" w:eastAsia="Calibri" w:hAnsi="Book Antiqua" w:cs="Times New Roman"/>
          <w:szCs w:val="18"/>
          <w:lang w:val="id-ID"/>
        </w:rPr>
      </w:pPr>
      <w:r w:rsidRPr="00812B32">
        <w:rPr>
          <w:rFonts w:ascii="Book Antiqua" w:eastAsia="Calibri" w:hAnsi="Book Antiqua" w:cs="Times New Roman"/>
          <w:szCs w:val="18"/>
          <w:lang w:val="id-ID"/>
        </w:rPr>
        <w:t>Sumber: Crosstab Query Analysis with Nvivo 12 Plus, 2020</w:t>
      </w:r>
    </w:p>
    <w:p w14:paraId="58939474" w14:textId="77777777" w:rsidR="005A01A4" w:rsidRPr="00812B32" w:rsidRDefault="005A01A4" w:rsidP="00812B32">
      <w:pPr>
        <w:spacing w:after="0" w:line="276" w:lineRule="auto"/>
        <w:ind w:left="698" w:firstLine="720"/>
        <w:jc w:val="both"/>
        <w:rPr>
          <w:rFonts w:ascii="Book Antiqua" w:eastAsia="Calibri" w:hAnsi="Book Antiqua" w:cs="Times New Roman"/>
          <w:szCs w:val="18"/>
          <w:lang w:val="id-ID"/>
        </w:rPr>
      </w:pPr>
    </w:p>
    <w:p w14:paraId="09B2261A" w14:textId="5781B0EA" w:rsidR="005A01A4" w:rsidRDefault="00812B32" w:rsidP="005A01A4">
      <w:pPr>
        <w:spacing w:after="0" w:line="276" w:lineRule="auto"/>
        <w:ind w:left="709" w:firstLine="709"/>
        <w:jc w:val="both"/>
        <w:rPr>
          <w:rFonts w:ascii="Book Antiqua" w:eastAsia="Calibri" w:hAnsi="Book Antiqua" w:cs="Times New Roman"/>
          <w:szCs w:val="18"/>
          <w:lang w:val="id-ID"/>
        </w:rPr>
      </w:pPr>
      <w:r w:rsidRPr="00812B32">
        <w:rPr>
          <w:rFonts w:ascii="Book Antiqua" w:eastAsia="Calibri" w:hAnsi="Book Antiqua" w:cs="Times New Roman"/>
          <w:szCs w:val="18"/>
          <w:lang w:val="id-ID"/>
        </w:rPr>
        <w:t xml:space="preserve">Berdasarkan hasil Crosstab diatas menunjukkan bahwa kegunaan tanah di Desa Kepuharjo berdasarkan Kepala Seksi Pengaturan Penataan Pertanahan Kantah Sleman. Penggunaan bidang tanah di Dusun Palemsari setelah terjadinya erupsi gunung merapi menjadi kawasan yang hitam hangus terbakar. Kawasan ini telah berubah menjadi kawasan pariwisata gunung api, dengan pengunjung turis domestik maupun international setiap bulannya cukup padat. Sedangkan di Dusun Pangukrejo penggunaan bidang tanah pasca terjadinya erupsi gunung merapi menjadi tanah tandus, kawasan ini menjadi tempat kunjungan turis domestik dan Internasional untuk menikmati keindahan Alam di kawasan lereng merapi. Selanjutnya penggunaan bidang tanah di Dusun Kaliadem setelah terjadinya erupsi gunung merapi telah menjadi Bunker Kaliadem Merapi yang sering juga dikunjungi oleh para wisatawan domestik maupun mancanegara. </w:t>
      </w:r>
    </w:p>
    <w:p w14:paraId="60199A34" w14:textId="77777777" w:rsidR="005A01A4" w:rsidRDefault="005A01A4" w:rsidP="005A01A4">
      <w:pPr>
        <w:pStyle w:val="ListParagraph"/>
        <w:spacing w:after="0" w:line="276" w:lineRule="auto"/>
        <w:jc w:val="both"/>
        <w:rPr>
          <w:rFonts w:ascii="Book Antiqua" w:eastAsia="Calibri" w:hAnsi="Book Antiqua" w:cs="Times New Roman"/>
          <w:szCs w:val="18"/>
          <w:lang w:val="id-ID"/>
        </w:rPr>
      </w:pPr>
    </w:p>
    <w:p w14:paraId="72A6C462" w14:textId="256CF5AC" w:rsidR="005A01A4" w:rsidRPr="005A01A4" w:rsidRDefault="005A01A4" w:rsidP="005A01A4">
      <w:pPr>
        <w:pStyle w:val="ListParagraph"/>
        <w:numPr>
          <w:ilvl w:val="0"/>
          <w:numId w:val="5"/>
        </w:numPr>
        <w:spacing w:after="0" w:line="276" w:lineRule="auto"/>
        <w:jc w:val="both"/>
        <w:rPr>
          <w:rFonts w:ascii="Book Antiqua" w:eastAsia="Calibri" w:hAnsi="Book Antiqua" w:cs="Times New Roman"/>
          <w:szCs w:val="18"/>
          <w:lang w:val="id-ID"/>
        </w:rPr>
      </w:pPr>
      <w:r w:rsidRPr="005A01A4">
        <w:rPr>
          <w:rFonts w:ascii="Book Antiqua" w:eastAsia="Calibri" w:hAnsi="Book Antiqua" w:cs="Times New Roman"/>
          <w:szCs w:val="18"/>
          <w:lang w:val="id-ID"/>
        </w:rPr>
        <w:t xml:space="preserve">Permasalahan Penataan Pertanahan di Desa Kepuharjo dan Desa Umbulharjo Kecamatan Cangkringan Kabupaten Sleman </w:t>
      </w:r>
    </w:p>
    <w:p w14:paraId="45DA326E" w14:textId="77777777" w:rsidR="005A01A4" w:rsidRDefault="005A01A4" w:rsidP="005A01A4">
      <w:pPr>
        <w:tabs>
          <w:tab w:val="left" w:pos="3047"/>
        </w:tabs>
        <w:spacing w:line="276" w:lineRule="auto"/>
        <w:jc w:val="center"/>
        <w:rPr>
          <w:rFonts w:ascii="Book Antiqua" w:hAnsi="Book Antiqua"/>
          <w:b/>
        </w:rPr>
      </w:pPr>
    </w:p>
    <w:p w14:paraId="4E7F58B4" w14:textId="06AE053E" w:rsidR="005A01A4" w:rsidRPr="005A01A4" w:rsidRDefault="005A01A4" w:rsidP="008A67F2">
      <w:pPr>
        <w:tabs>
          <w:tab w:val="left" w:pos="3047"/>
        </w:tabs>
        <w:spacing w:line="276" w:lineRule="auto"/>
        <w:ind w:left="426"/>
        <w:jc w:val="center"/>
        <w:rPr>
          <w:rFonts w:ascii="Book Antiqua" w:hAnsi="Book Antiqua"/>
          <w:b/>
        </w:rPr>
      </w:pPr>
      <w:r w:rsidRPr="005A01A4">
        <w:rPr>
          <w:rFonts w:ascii="Book Antiqua" w:hAnsi="Book Antiqua"/>
          <w:b/>
        </w:rPr>
        <w:t>Gambar 19. Permasalahan di Desa Kepuharjo dan Desa Umbulharjo</w:t>
      </w:r>
    </w:p>
    <w:p w14:paraId="349B2B1F" w14:textId="77777777" w:rsidR="005A01A4" w:rsidRPr="005A01A4" w:rsidRDefault="005A01A4" w:rsidP="005A01A4">
      <w:pPr>
        <w:spacing w:after="0" w:line="276" w:lineRule="auto"/>
        <w:ind w:left="709" w:firstLine="709"/>
        <w:jc w:val="center"/>
        <w:rPr>
          <w:rFonts w:ascii="Book Antiqua" w:eastAsia="Calibri" w:hAnsi="Book Antiqua" w:cs="Times New Roman"/>
          <w:b/>
          <w:lang w:val="id-ID"/>
        </w:rPr>
      </w:pPr>
    </w:p>
    <w:p w14:paraId="3F4D867A" w14:textId="6FA47EE1" w:rsidR="00812B32" w:rsidRPr="005A01A4" w:rsidRDefault="00812B32" w:rsidP="005A01A4">
      <w:pPr>
        <w:spacing w:after="0" w:line="276" w:lineRule="auto"/>
        <w:ind w:left="709" w:firstLine="709"/>
        <w:jc w:val="center"/>
        <w:rPr>
          <w:rFonts w:ascii="Book Antiqua" w:eastAsia="Calibri" w:hAnsi="Book Antiqua" w:cs="Times New Roman"/>
          <w:b/>
          <w:lang w:val="pt-BR"/>
        </w:rPr>
      </w:pPr>
    </w:p>
    <w:p w14:paraId="0B98BBBE" w14:textId="1984C1D2" w:rsidR="005A01A4" w:rsidRPr="005A01A4" w:rsidRDefault="005A01A4" w:rsidP="005A01A4">
      <w:pPr>
        <w:spacing w:after="0" w:line="276" w:lineRule="auto"/>
        <w:ind w:left="698" w:firstLine="720"/>
        <w:jc w:val="both"/>
        <w:rPr>
          <w:rFonts w:ascii="Book Antiqua" w:eastAsia="Calibri" w:hAnsi="Book Antiqua" w:cs="Times New Roman"/>
          <w:b/>
          <w:szCs w:val="18"/>
          <w:lang w:val="pt-BR"/>
        </w:rPr>
      </w:pPr>
      <w:r w:rsidRPr="003C4B94">
        <w:rPr>
          <w:rFonts w:ascii="Constantia" w:hAnsi="Constantia"/>
          <w:noProof/>
          <w:sz w:val="24"/>
          <w:szCs w:val="24"/>
          <w:lang w:eastAsia="id-ID"/>
        </w:rPr>
        <w:lastRenderedPageBreak/>
        <w:drawing>
          <wp:anchor distT="0" distB="0" distL="114300" distR="114300" simplePos="0" relativeHeight="251723776" behindDoc="0" locked="0" layoutInCell="1" allowOverlap="1" wp14:anchorId="3E81DA86" wp14:editId="70DCAE5D">
            <wp:simplePos x="0" y="0"/>
            <wp:positionH relativeFrom="column">
              <wp:posOffset>-259307</wp:posOffset>
            </wp:positionH>
            <wp:positionV relativeFrom="paragraph">
              <wp:posOffset>588</wp:posOffset>
            </wp:positionV>
            <wp:extent cx="5646420" cy="2168525"/>
            <wp:effectExtent l="0" t="0" r="0" b="317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rosstab Query - Problem 2 Desa.png"/>
                    <pic:cNvPicPr/>
                  </pic:nvPicPr>
                  <pic:blipFill rotWithShape="1">
                    <a:blip r:embed="rId23" cstate="print">
                      <a:extLst>
                        <a:ext uri="{28A0092B-C50C-407E-A947-70E740481C1C}">
                          <a14:useLocalDpi xmlns:a14="http://schemas.microsoft.com/office/drawing/2010/main" val="0"/>
                        </a:ext>
                      </a:extLst>
                    </a:blip>
                    <a:srcRect l="1339" r="624"/>
                    <a:stretch/>
                  </pic:blipFill>
                  <pic:spPr bwMode="auto">
                    <a:xfrm>
                      <a:off x="0" y="0"/>
                      <a:ext cx="5646420" cy="2168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01A4">
        <w:rPr>
          <w:rFonts w:ascii="Book Antiqua" w:eastAsia="Calibri" w:hAnsi="Book Antiqua" w:cs="Times New Roman"/>
          <w:szCs w:val="18"/>
          <w:lang w:val="id-ID"/>
        </w:rPr>
        <w:t>Sumber: Crosstab Query Analysis with Nvivo 12 Plus, 2020</w:t>
      </w:r>
    </w:p>
    <w:p w14:paraId="17584A73" w14:textId="77777777" w:rsidR="005A01A4" w:rsidRDefault="005A01A4" w:rsidP="005A01A4">
      <w:pPr>
        <w:spacing w:after="0" w:line="276" w:lineRule="auto"/>
        <w:jc w:val="both"/>
        <w:rPr>
          <w:rFonts w:ascii="Book Antiqua" w:eastAsia="Calibri" w:hAnsi="Book Antiqua" w:cs="Times New Roman"/>
          <w:szCs w:val="18"/>
          <w:lang w:val="id-ID"/>
        </w:rPr>
      </w:pPr>
    </w:p>
    <w:p w14:paraId="7D6719EC" w14:textId="150C63AB" w:rsidR="005A01A4" w:rsidRPr="005A01A4" w:rsidRDefault="005A01A4" w:rsidP="005A01A4">
      <w:pPr>
        <w:spacing w:after="0" w:line="276" w:lineRule="auto"/>
        <w:ind w:left="709" w:firstLine="709"/>
        <w:jc w:val="both"/>
        <w:rPr>
          <w:rFonts w:ascii="Book Antiqua" w:eastAsia="Calibri" w:hAnsi="Book Antiqua" w:cs="Times New Roman"/>
          <w:lang w:val="id-ID"/>
        </w:rPr>
      </w:pPr>
      <w:r w:rsidRPr="005A01A4">
        <w:rPr>
          <w:rFonts w:ascii="Book Antiqua" w:eastAsia="Calibri" w:hAnsi="Book Antiqua" w:cs="Times New Roman"/>
          <w:szCs w:val="18"/>
          <w:lang w:val="id-ID"/>
        </w:rPr>
        <w:t xml:space="preserve">Berdasarkan hasil diatas menunjukkan adanya permasalahan di Desa Kepuharjo dan Desa Umbulharjo, seperti tertimbunnya bidang tanah oleh matrial vulkanik akibat letusan Gunung Merapi maka banyak terjadi tanda batas bidang tanah yang hilang hal ini akan berpotensi besar menimbulkan sengketa dan konflik pertanahan dan juga banyak bidang bidang tanah di daerah tersebut yang akses jalannya tidak optimal dengan kondisi tersebut </w:t>
      </w:r>
      <w:r w:rsidRPr="005A01A4">
        <w:rPr>
          <w:rFonts w:ascii="Book Antiqua" w:eastAsia="Calibri" w:hAnsi="Book Antiqua" w:cs="Times New Roman"/>
          <w:lang w:val="id-ID"/>
        </w:rPr>
        <w:t>maka perlu diadakan penataan pertanahan untuk pengembalian tanda batas bidang tanah dan optimasi akses jalan dengan konsolidasi tanah.</w:t>
      </w:r>
    </w:p>
    <w:p w14:paraId="33FAB8A3" w14:textId="77777777" w:rsidR="005A01A4" w:rsidRPr="005A01A4" w:rsidRDefault="005A01A4" w:rsidP="005A01A4">
      <w:pPr>
        <w:spacing w:after="0" w:line="276" w:lineRule="auto"/>
        <w:jc w:val="both"/>
        <w:rPr>
          <w:rFonts w:ascii="Book Antiqua" w:eastAsia="Calibri" w:hAnsi="Book Antiqua" w:cs="Times New Roman"/>
          <w:lang w:val="pt-BR"/>
        </w:rPr>
      </w:pPr>
    </w:p>
    <w:p w14:paraId="76946340" w14:textId="5E7E5C07" w:rsidR="005A01A4" w:rsidRDefault="005A01A4" w:rsidP="005A01A4">
      <w:pPr>
        <w:pStyle w:val="ListParagraph"/>
        <w:numPr>
          <w:ilvl w:val="0"/>
          <w:numId w:val="5"/>
        </w:numPr>
        <w:spacing w:after="0" w:line="276" w:lineRule="auto"/>
        <w:jc w:val="both"/>
        <w:rPr>
          <w:rFonts w:ascii="Book Antiqua" w:eastAsia="Calibri" w:hAnsi="Book Antiqua" w:cs="Times New Roman"/>
          <w:lang w:val="id-ID"/>
        </w:rPr>
      </w:pPr>
      <w:r w:rsidRPr="005A01A4">
        <w:rPr>
          <w:rFonts w:ascii="Book Antiqua" w:eastAsia="Calibri" w:hAnsi="Book Antiqua" w:cs="Times New Roman"/>
          <w:lang w:val="id-ID"/>
        </w:rPr>
        <w:t>Keinginan Masyarakat di Desa Kepuharjo dan Desa Umbulharjo Kecamatan Cangkringan Kabupaten Sleman</w:t>
      </w:r>
    </w:p>
    <w:p w14:paraId="309D6929" w14:textId="2924A25C" w:rsidR="005A01A4" w:rsidRPr="005A01A4" w:rsidRDefault="005A01A4" w:rsidP="005A01A4">
      <w:pPr>
        <w:pStyle w:val="ListParagraph"/>
        <w:spacing w:after="0" w:line="276" w:lineRule="auto"/>
        <w:jc w:val="both"/>
        <w:rPr>
          <w:rFonts w:ascii="Book Antiqua" w:eastAsia="Calibri" w:hAnsi="Book Antiqua" w:cs="Times New Roman"/>
          <w:lang w:val="id-ID"/>
        </w:rPr>
      </w:pPr>
    </w:p>
    <w:p w14:paraId="0C2AA8A9" w14:textId="7D756535" w:rsidR="005A01A4" w:rsidRPr="005A01A4" w:rsidRDefault="005A01A4" w:rsidP="005A01A4">
      <w:pPr>
        <w:tabs>
          <w:tab w:val="left" w:pos="3047"/>
        </w:tabs>
        <w:spacing w:line="276" w:lineRule="auto"/>
        <w:ind w:firstLine="360"/>
        <w:jc w:val="center"/>
        <w:rPr>
          <w:rFonts w:ascii="Book Antiqua" w:hAnsi="Book Antiqua"/>
          <w:b/>
        </w:rPr>
      </w:pPr>
      <w:r w:rsidRPr="005A01A4">
        <w:rPr>
          <w:lang w:val="id-ID"/>
        </w:rPr>
        <w:drawing>
          <wp:anchor distT="0" distB="0" distL="114300" distR="114300" simplePos="0" relativeHeight="251725824" behindDoc="0" locked="0" layoutInCell="1" allowOverlap="1" wp14:anchorId="35B09173" wp14:editId="30120315">
            <wp:simplePos x="0" y="0"/>
            <wp:positionH relativeFrom="column">
              <wp:posOffset>-427355</wp:posOffset>
            </wp:positionH>
            <wp:positionV relativeFrom="paragraph">
              <wp:posOffset>259772</wp:posOffset>
            </wp:positionV>
            <wp:extent cx="6130925" cy="2498090"/>
            <wp:effectExtent l="0" t="0" r="3175"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rosstab Query - Keinginan Masyarakar K&amp;U.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30925" cy="2498090"/>
                    </a:xfrm>
                    <a:prstGeom prst="rect">
                      <a:avLst/>
                    </a:prstGeom>
                  </pic:spPr>
                </pic:pic>
              </a:graphicData>
            </a:graphic>
            <wp14:sizeRelH relativeFrom="page">
              <wp14:pctWidth>0</wp14:pctWidth>
            </wp14:sizeRelH>
            <wp14:sizeRelV relativeFrom="page">
              <wp14:pctHeight>0</wp14:pctHeight>
            </wp14:sizeRelV>
          </wp:anchor>
        </w:drawing>
      </w:r>
      <w:r w:rsidRPr="005A01A4">
        <w:rPr>
          <w:rFonts w:ascii="Book Antiqua" w:hAnsi="Book Antiqua"/>
          <w:b/>
        </w:rPr>
        <w:t>Gambar 20. Permasalahan di Desa Kepuharjo dan Desa Umbulharjo</w:t>
      </w:r>
    </w:p>
    <w:p w14:paraId="0AEC489F" w14:textId="5868EC3B" w:rsidR="005A01A4" w:rsidRPr="005A01A4" w:rsidRDefault="005A01A4" w:rsidP="005A01A4">
      <w:pPr>
        <w:tabs>
          <w:tab w:val="left" w:pos="3047"/>
        </w:tabs>
        <w:spacing w:line="276" w:lineRule="auto"/>
        <w:ind w:left="567" w:firstLine="709"/>
        <w:jc w:val="both"/>
        <w:rPr>
          <w:rFonts w:ascii="Book Antiqua" w:hAnsi="Book Antiqua"/>
        </w:rPr>
      </w:pPr>
      <w:r>
        <w:rPr>
          <w:rFonts w:ascii="Book Antiqua" w:hAnsi="Book Antiqua"/>
          <w:lang w:val="id-ID"/>
        </w:rPr>
        <w:lastRenderedPageBreak/>
        <w:t xml:space="preserve">  </w:t>
      </w:r>
      <w:r w:rsidRPr="005A01A4">
        <w:rPr>
          <w:rFonts w:ascii="Book Antiqua" w:hAnsi="Book Antiqua"/>
        </w:rPr>
        <w:t>Sumber: Crosstab Query Analysis with Nvivo 12 Plus, 2020</w:t>
      </w:r>
    </w:p>
    <w:p w14:paraId="797EF9E4" w14:textId="4797F37A" w:rsidR="005A01A4" w:rsidRPr="005A01A4" w:rsidRDefault="005A01A4" w:rsidP="005A01A4">
      <w:pPr>
        <w:tabs>
          <w:tab w:val="left" w:pos="3047"/>
        </w:tabs>
        <w:spacing w:line="276" w:lineRule="auto"/>
        <w:ind w:left="709" w:firstLine="709"/>
        <w:jc w:val="both"/>
        <w:rPr>
          <w:rFonts w:ascii="Book Antiqua" w:hAnsi="Book Antiqua"/>
        </w:rPr>
      </w:pPr>
      <w:r w:rsidRPr="005A01A4">
        <w:rPr>
          <w:rFonts w:ascii="Book Antiqua" w:hAnsi="Book Antiqua"/>
        </w:rPr>
        <w:t>Berdasarkan Gambar 20. Crosstab analysis diatas menunjukkan bahwa keinginan masyarakat Desa Kepuharjo dan Desa Umbulharjo menginginkan sertipikasi konsolidasi tanah. Seperti yang disampaikan sebesar 100% oleh Pelaksana Konsolidasi Tanah Kanwi</w:t>
      </w:r>
      <w:r>
        <w:rPr>
          <w:rFonts w:ascii="Book Antiqua" w:hAnsi="Book Antiqua"/>
        </w:rPr>
        <w:t>l Badan Pertanahan Nasional DIY</w:t>
      </w:r>
      <w:r w:rsidRPr="005A01A4">
        <w:rPr>
          <w:rFonts w:ascii="Book Antiqua" w:hAnsi="Book Antiqua"/>
        </w:rPr>
        <w:t xml:space="preserve"> bahwa diharapkan setelah proses sertipikasi konsolidasi tanah (</w:t>
      </w:r>
      <w:r w:rsidRPr="005A01A4">
        <w:rPr>
          <w:rFonts w:ascii="Book Antiqua" w:hAnsi="Book Antiqua"/>
          <w:i/>
        </w:rPr>
        <w:t>assets legalisation</w:t>
      </w:r>
      <w:r w:rsidRPr="005A01A4">
        <w:rPr>
          <w:rFonts w:ascii="Book Antiqua" w:hAnsi="Book Antiqua"/>
        </w:rPr>
        <w:t>) dapat dilanjutkan pengembangan, pemberdayaan masyarakat (</w:t>
      </w:r>
      <w:r w:rsidRPr="005A01A4">
        <w:rPr>
          <w:rFonts w:ascii="Book Antiqua" w:hAnsi="Book Antiqua"/>
          <w:i/>
        </w:rPr>
        <w:t>acces reform</w:t>
      </w:r>
      <w:r w:rsidRPr="005A01A4">
        <w:rPr>
          <w:rFonts w:ascii="Book Antiqua" w:hAnsi="Book Antiqua"/>
        </w:rPr>
        <w:t>) sekitar dengan memperhatikan arahan dalam peraturan perundang-undangan setempat.</w:t>
      </w:r>
    </w:p>
    <w:p w14:paraId="1745971E" w14:textId="61F11B66" w:rsidR="005A01A4" w:rsidRDefault="005A01A4" w:rsidP="005A01A4">
      <w:pPr>
        <w:tabs>
          <w:tab w:val="left" w:pos="3047"/>
        </w:tabs>
        <w:spacing w:line="276" w:lineRule="auto"/>
        <w:ind w:left="709" w:firstLine="709"/>
        <w:jc w:val="both"/>
        <w:rPr>
          <w:rFonts w:ascii="Book Antiqua" w:hAnsi="Book Antiqua"/>
        </w:rPr>
      </w:pPr>
      <w:r w:rsidRPr="005A01A4">
        <w:rPr>
          <w:rFonts w:ascii="Book Antiqua" w:hAnsi="Book Antiqua"/>
        </w:rPr>
        <w:t>Program Sertipikasi Konsolidasi Tanah di Kecamatan Cangkringan bermanfaat bagi masyarakat di kawasan rawan bencana dan diharapkan menjadi model penanganan pasca bencana dibidang pertanahan yang terintegrasi dengan pelaksanaan pembangunan di Daerah Istimewa Yogyakarta.</w:t>
      </w:r>
    </w:p>
    <w:p w14:paraId="2FA7B93C" w14:textId="01DEDDD1" w:rsidR="005A01A4" w:rsidRPr="00F30C94" w:rsidRDefault="005A01A4" w:rsidP="00F30C94">
      <w:pPr>
        <w:pStyle w:val="ListParagraph"/>
        <w:numPr>
          <w:ilvl w:val="0"/>
          <w:numId w:val="5"/>
        </w:numPr>
        <w:tabs>
          <w:tab w:val="left" w:pos="3047"/>
        </w:tabs>
        <w:spacing w:line="276" w:lineRule="auto"/>
        <w:jc w:val="both"/>
        <w:rPr>
          <w:rFonts w:ascii="Book Antiqua" w:hAnsi="Book Antiqua"/>
        </w:rPr>
      </w:pPr>
      <w:r w:rsidRPr="00F30C94">
        <w:rPr>
          <w:rFonts w:ascii="Book Antiqua" w:hAnsi="Book Antiqua"/>
        </w:rPr>
        <w:t xml:space="preserve">Tanggapan Pemerintah Terhadap Penataan Pertanahan di Desa Kepuharjo dan Desa Umbulharjo Kecamatan Cangkringan Kabupaten Sleman </w:t>
      </w:r>
    </w:p>
    <w:p w14:paraId="741A6E05" w14:textId="1BBF4E29" w:rsidR="00F30C94" w:rsidRPr="00F30C94" w:rsidRDefault="00F30C94" w:rsidP="00F30C94">
      <w:pPr>
        <w:tabs>
          <w:tab w:val="left" w:pos="3047"/>
        </w:tabs>
        <w:spacing w:line="240" w:lineRule="auto"/>
        <w:ind w:left="720"/>
        <w:jc w:val="center"/>
        <w:rPr>
          <w:rFonts w:ascii="Book Antiqua" w:hAnsi="Book Antiqua"/>
          <w:b/>
        </w:rPr>
      </w:pPr>
      <w:r w:rsidRPr="003C4B94">
        <w:rPr>
          <w:rFonts w:ascii="Constantia" w:hAnsi="Constantia"/>
          <w:noProof/>
          <w:lang w:eastAsia="id-ID"/>
        </w:rPr>
        <w:drawing>
          <wp:anchor distT="0" distB="0" distL="114300" distR="114300" simplePos="0" relativeHeight="251727872" behindDoc="0" locked="0" layoutInCell="1" allowOverlap="1" wp14:anchorId="5079ED9D" wp14:editId="482BB39E">
            <wp:simplePos x="0" y="0"/>
            <wp:positionH relativeFrom="column">
              <wp:posOffset>-167877</wp:posOffset>
            </wp:positionH>
            <wp:positionV relativeFrom="paragraph">
              <wp:posOffset>420588</wp:posOffset>
            </wp:positionV>
            <wp:extent cx="6142990" cy="2679065"/>
            <wp:effectExtent l="0" t="0" r="0" b="698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rosstab Query - Pelaksana Kegiatan.png"/>
                    <pic:cNvPicPr/>
                  </pic:nvPicPr>
                  <pic:blipFill rotWithShape="1">
                    <a:blip r:embed="rId25" cstate="print">
                      <a:extLst>
                        <a:ext uri="{28A0092B-C50C-407E-A947-70E740481C1C}">
                          <a14:useLocalDpi xmlns:a14="http://schemas.microsoft.com/office/drawing/2010/main" val="0"/>
                        </a:ext>
                      </a:extLst>
                    </a:blip>
                    <a:srcRect l="18955" r="5567"/>
                    <a:stretch/>
                  </pic:blipFill>
                  <pic:spPr bwMode="auto">
                    <a:xfrm>
                      <a:off x="0" y="0"/>
                      <a:ext cx="6142990" cy="2679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0C94">
        <w:rPr>
          <w:rFonts w:ascii="Book Antiqua" w:hAnsi="Book Antiqua"/>
          <w:b/>
        </w:rPr>
        <w:t>Gambar 21. Tanggapan Pemerintah Kepada Desa Kepuharjo dan Desa Umbulharjo</w:t>
      </w:r>
    </w:p>
    <w:p w14:paraId="69090287" w14:textId="7CEAF652" w:rsidR="00F30C94" w:rsidRPr="00F30C94" w:rsidRDefault="00F30C94" w:rsidP="00F30C94">
      <w:pPr>
        <w:tabs>
          <w:tab w:val="left" w:pos="3047"/>
        </w:tabs>
        <w:spacing w:line="276" w:lineRule="auto"/>
        <w:ind w:left="709" w:firstLine="709"/>
        <w:jc w:val="both"/>
        <w:rPr>
          <w:rFonts w:ascii="Book Antiqua" w:hAnsi="Book Antiqua"/>
          <w:lang w:val="id-ID"/>
        </w:rPr>
      </w:pPr>
      <w:r w:rsidRPr="00F30C94">
        <w:rPr>
          <w:rFonts w:ascii="Book Antiqua" w:hAnsi="Book Antiqua"/>
          <w:lang w:val="id-ID"/>
        </w:rPr>
        <w:t>Sumber: Crosstab Query Analysis with Nvivo 12 Plus, 2020</w:t>
      </w:r>
    </w:p>
    <w:p w14:paraId="0B7AAF4D" w14:textId="77777777" w:rsidR="00F30C94" w:rsidRPr="00F30C94" w:rsidRDefault="00F30C94" w:rsidP="00F30C94">
      <w:pPr>
        <w:tabs>
          <w:tab w:val="left" w:pos="3047"/>
        </w:tabs>
        <w:spacing w:line="276" w:lineRule="auto"/>
        <w:ind w:left="709" w:firstLine="709"/>
        <w:jc w:val="both"/>
        <w:rPr>
          <w:rFonts w:ascii="Book Antiqua" w:hAnsi="Book Antiqua"/>
          <w:lang w:val="id-ID"/>
        </w:rPr>
      </w:pPr>
      <w:r w:rsidRPr="00F30C94">
        <w:rPr>
          <w:rFonts w:ascii="Book Antiqua" w:hAnsi="Book Antiqua"/>
          <w:lang w:val="id-ID"/>
        </w:rPr>
        <w:t xml:space="preserve">Berdasarkan Gambar 21. diatas Menunjukkan bahwa pemerintah sangat mendukung, </w:t>
      </w:r>
      <w:r w:rsidRPr="00F30C94">
        <w:rPr>
          <w:rFonts w:ascii="Book Antiqua" w:hAnsi="Book Antiqua"/>
        </w:rPr>
        <w:t xml:space="preserve">hal ini diwujudkan dalam partisipasi aktif mereka dalam rapat Supervisi, Monitoring dan Koordinasi yang dilaksanakan secara berkala oleh Tim Koordinasi dan adanya sumbangan bibit-bibit tanaman keras dari </w:t>
      </w:r>
      <w:r w:rsidRPr="00F30C94">
        <w:rPr>
          <w:rFonts w:ascii="Book Antiqua" w:hAnsi="Book Antiqua"/>
        </w:rPr>
        <w:lastRenderedPageBreak/>
        <w:t>Dinas Perkebunan pada saat penyerahan Sertipikat Tanah kepada Warga oleh Menteri Agraria Kepala Badan Pertanahan Nasional yang didampingi oleh Gubernur DIY Sri Sultan Hamengku Buwono X.</w:t>
      </w:r>
    </w:p>
    <w:p w14:paraId="0DE69D85" w14:textId="1F428F66" w:rsidR="00F30C94" w:rsidRPr="00F30C94" w:rsidRDefault="00F30C94" w:rsidP="00F30C94">
      <w:pPr>
        <w:tabs>
          <w:tab w:val="left" w:pos="3047"/>
        </w:tabs>
        <w:spacing w:line="276" w:lineRule="auto"/>
        <w:ind w:left="709"/>
        <w:jc w:val="center"/>
        <w:rPr>
          <w:rFonts w:ascii="Book Antiqua" w:hAnsi="Book Antiqua"/>
          <w:b/>
          <w:lang w:val="id-ID"/>
        </w:rPr>
      </w:pPr>
      <w:r w:rsidRPr="003C4B94">
        <w:rPr>
          <w:rFonts w:ascii="Constantia" w:hAnsi="Constantia"/>
          <w:noProof/>
          <w:sz w:val="24"/>
          <w:szCs w:val="24"/>
          <w:lang w:eastAsia="id-ID"/>
        </w:rPr>
        <w:drawing>
          <wp:anchor distT="0" distB="0" distL="114300" distR="114300" simplePos="0" relativeHeight="251729920" behindDoc="0" locked="0" layoutInCell="1" allowOverlap="1" wp14:anchorId="4D01D794" wp14:editId="09CD39F7">
            <wp:simplePos x="0" y="0"/>
            <wp:positionH relativeFrom="column">
              <wp:posOffset>1731645</wp:posOffset>
            </wp:positionH>
            <wp:positionV relativeFrom="paragraph">
              <wp:posOffset>602615</wp:posOffset>
            </wp:positionV>
            <wp:extent cx="2223770" cy="5057775"/>
            <wp:effectExtent l="0" t="0" r="5080" b="952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omparasi SLEMAN.jpg"/>
                    <pic:cNvPicPr/>
                  </pic:nvPicPr>
                  <pic:blipFill>
                    <a:blip r:embed="rId26">
                      <a:extLst>
                        <a:ext uri="{28A0092B-C50C-407E-A947-70E740481C1C}">
                          <a14:useLocalDpi xmlns:a14="http://schemas.microsoft.com/office/drawing/2010/main" val="0"/>
                        </a:ext>
                      </a:extLst>
                    </a:blip>
                    <a:stretch>
                      <a:fillRect/>
                    </a:stretch>
                  </pic:blipFill>
                  <pic:spPr>
                    <a:xfrm>
                      <a:off x="0" y="0"/>
                      <a:ext cx="2223770" cy="5057775"/>
                    </a:xfrm>
                    <a:prstGeom prst="rect">
                      <a:avLst/>
                    </a:prstGeom>
                  </pic:spPr>
                </pic:pic>
              </a:graphicData>
            </a:graphic>
            <wp14:sizeRelH relativeFrom="page">
              <wp14:pctWidth>0</wp14:pctWidth>
            </wp14:sizeRelH>
            <wp14:sizeRelV relativeFrom="page">
              <wp14:pctHeight>0</wp14:pctHeight>
            </wp14:sizeRelV>
          </wp:anchor>
        </w:drawing>
      </w:r>
      <w:r w:rsidRPr="00F30C94">
        <w:rPr>
          <w:rFonts w:ascii="Book Antiqua" w:hAnsi="Book Antiqua"/>
          <w:b/>
          <w:lang w:val="id-ID"/>
        </w:rPr>
        <w:t>Gambar 22. Variabel dan Indikator yang Saling Berkaitan di Desa Kepuharjo dan Desa Umbulharjo Kecamatan Cangkringan Kabupaten Sleman</w:t>
      </w:r>
    </w:p>
    <w:p w14:paraId="18B9E098" w14:textId="0BC853C6" w:rsidR="00F30C94" w:rsidRPr="00F30C94" w:rsidRDefault="00F30C94" w:rsidP="00F30C94">
      <w:pPr>
        <w:tabs>
          <w:tab w:val="left" w:pos="3047"/>
        </w:tabs>
        <w:spacing w:line="276" w:lineRule="auto"/>
        <w:ind w:left="709" w:firstLine="709"/>
        <w:jc w:val="center"/>
        <w:rPr>
          <w:rFonts w:ascii="Book Antiqua" w:hAnsi="Book Antiqua"/>
          <w:b/>
        </w:rPr>
      </w:pPr>
    </w:p>
    <w:p w14:paraId="27C4787C" w14:textId="196E4E89" w:rsidR="00812B32" w:rsidRDefault="00812B32" w:rsidP="00916449">
      <w:pPr>
        <w:spacing w:after="0" w:line="276" w:lineRule="auto"/>
        <w:jc w:val="both"/>
        <w:rPr>
          <w:rFonts w:ascii="Book Antiqua" w:eastAsia="Calibri" w:hAnsi="Book Antiqua" w:cs="Times New Roman"/>
          <w:b/>
          <w:szCs w:val="18"/>
          <w:lang w:val="pt-BR"/>
        </w:rPr>
      </w:pPr>
    </w:p>
    <w:p w14:paraId="6AA60837" w14:textId="77777777" w:rsidR="00812B32" w:rsidRDefault="00812B32" w:rsidP="00916449">
      <w:pPr>
        <w:spacing w:after="0" w:line="276" w:lineRule="auto"/>
        <w:jc w:val="both"/>
        <w:rPr>
          <w:rFonts w:ascii="Book Antiqua" w:eastAsia="Calibri" w:hAnsi="Book Antiqua" w:cs="Times New Roman"/>
          <w:b/>
          <w:szCs w:val="18"/>
          <w:lang w:val="pt-BR"/>
        </w:rPr>
      </w:pPr>
    </w:p>
    <w:p w14:paraId="61074D76" w14:textId="77777777" w:rsidR="00812B32" w:rsidRDefault="00812B32" w:rsidP="00916449">
      <w:pPr>
        <w:spacing w:after="0" w:line="276" w:lineRule="auto"/>
        <w:jc w:val="both"/>
        <w:rPr>
          <w:rFonts w:ascii="Book Antiqua" w:eastAsia="Calibri" w:hAnsi="Book Antiqua" w:cs="Times New Roman"/>
          <w:b/>
          <w:szCs w:val="18"/>
          <w:lang w:val="pt-BR"/>
        </w:rPr>
      </w:pPr>
    </w:p>
    <w:p w14:paraId="046DFE22" w14:textId="6978D1FF" w:rsidR="00812B32" w:rsidRDefault="00812B32" w:rsidP="00916449">
      <w:pPr>
        <w:spacing w:after="0" w:line="276" w:lineRule="auto"/>
        <w:jc w:val="both"/>
        <w:rPr>
          <w:rFonts w:ascii="Book Antiqua" w:eastAsia="Calibri" w:hAnsi="Book Antiqua" w:cs="Times New Roman"/>
          <w:b/>
          <w:szCs w:val="18"/>
          <w:lang w:val="pt-BR"/>
        </w:rPr>
      </w:pPr>
    </w:p>
    <w:p w14:paraId="5B1D1B25" w14:textId="06A74FC8" w:rsidR="00812B32" w:rsidRDefault="00812B32" w:rsidP="00916449">
      <w:pPr>
        <w:spacing w:after="0" w:line="276" w:lineRule="auto"/>
        <w:jc w:val="both"/>
        <w:rPr>
          <w:rFonts w:ascii="Book Antiqua" w:eastAsia="Calibri" w:hAnsi="Book Antiqua" w:cs="Times New Roman"/>
          <w:b/>
          <w:szCs w:val="18"/>
          <w:lang w:val="pt-BR"/>
        </w:rPr>
      </w:pPr>
    </w:p>
    <w:p w14:paraId="5BAC705D" w14:textId="015F8F48" w:rsidR="00812B32" w:rsidRDefault="00812B32" w:rsidP="00916449">
      <w:pPr>
        <w:spacing w:after="0" w:line="276" w:lineRule="auto"/>
        <w:jc w:val="both"/>
        <w:rPr>
          <w:rFonts w:ascii="Book Antiqua" w:eastAsia="Calibri" w:hAnsi="Book Antiqua" w:cs="Times New Roman"/>
          <w:b/>
          <w:szCs w:val="18"/>
          <w:lang w:val="pt-BR"/>
        </w:rPr>
      </w:pPr>
    </w:p>
    <w:p w14:paraId="4A087B6C" w14:textId="4273B5E7" w:rsidR="00812B32" w:rsidRDefault="00812B32" w:rsidP="00916449">
      <w:pPr>
        <w:spacing w:after="0" w:line="276" w:lineRule="auto"/>
        <w:jc w:val="both"/>
        <w:rPr>
          <w:rFonts w:ascii="Book Antiqua" w:eastAsia="Calibri" w:hAnsi="Book Antiqua" w:cs="Times New Roman"/>
          <w:b/>
          <w:szCs w:val="18"/>
          <w:lang w:val="pt-BR"/>
        </w:rPr>
      </w:pPr>
    </w:p>
    <w:p w14:paraId="6C1631C9" w14:textId="2A80E82D" w:rsidR="00812B32" w:rsidRDefault="00812B32" w:rsidP="00916449">
      <w:pPr>
        <w:spacing w:after="0" w:line="276" w:lineRule="auto"/>
        <w:jc w:val="both"/>
        <w:rPr>
          <w:rFonts w:ascii="Book Antiqua" w:eastAsia="Calibri" w:hAnsi="Book Antiqua" w:cs="Times New Roman"/>
          <w:b/>
          <w:szCs w:val="18"/>
          <w:lang w:val="pt-BR"/>
        </w:rPr>
      </w:pPr>
    </w:p>
    <w:p w14:paraId="2E57DF70" w14:textId="7C23A466" w:rsidR="00812B32" w:rsidRDefault="00812B32" w:rsidP="00916449">
      <w:pPr>
        <w:spacing w:after="0" w:line="276" w:lineRule="auto"/>
        <w:jc w:val="both"/>
        <w:rPr>
          <w:rFonts w:ascii="Book Antiqua" w:eastAsia="Calibri" w:hAnsi="Book Antiqua" w:cs="Times New Roman"/>
          <w:b/>
          <w:szCs w:val="18"/>
          <w:lang w:val="pt-BR"/>
        </w:rPr>
      </w:pPr>
    </w:p>
    <w:p w14:paraId="7E66DFA7" w14:textId="4B9EFA96" w:rsidR="00812B32" w:rsidRDefault="00812B32" w:rsidP="00916449">
      <w:pPr>
        <w:spacing w:after="0" w:line="276" w:lineRule="auto"/>
        <w:jc w:val="both"/>
        <w:rPr>
          <w:rFonts w:ascii="Book Antiqua" w:eastAsia="Calibri" w:hAnsi="Book Antiqua" w:cs="Times New Roman"/>
          <w:b/>
          <w:szCs w:val="18"/>
          <w:lang w:val="pt-BR"/>
        </w:rPr>
      </w:pPr>
    </w:p>
    <w:p w14:paraId="2D001C24" w14:textId="78446E23" w:rsidR="00812B32" w:rsidRDefault="00812B32" w:rsidP="00916449">
      <w:pPr>
        <w:spacing w:after="0" w:line="276" w:lineRule="auto"/>
        <w:jc w:val="both"/>
        <w:rPr>
          <w:rFonts w:ascii="Book Antiqua" w:eastAsia="Calibri" w:hAnsi="Book Antiqua" w:cs="Times New Roman"/>
          <w:b/>
          <w:szCs w:val="18"/>
          <w:lang w:val="pt-BR"/>
        </w:rPr>
      </w:pPr>
    </w:p>
    <w:p w14:paraId="7442257B" w14:textId="28A4C7C3" w:rsidR="00812B32" w:rsidRDefault="00812B32" w:rsidP="00916449">
      <w:pPr>
        <w:spacing w:after="0" w:line="276" w:lineRule="auto"/>
        <w:jc w:val="both"/>
        <w:rPr>
          <w:rFonts w:ascii="Book Antiqua" w:eastAsia="Calibri" w:hAnsi="Book Antiqua" w:cs="Times New Roman"/>
          <w:b/>
          <w:szCs w:val="18"/>
          <w:lang w:val="pt-BR"/>
        </w:rPr>
      </w:pPr>
    </w:p>
    <w:p w14:paraId="549042DB" w14:textId="3D619C2F" w:rsidR="00812B32" w:rsidRDefault="00812B32" w:rsidP="00916449">
      <w:pPr>
        <w:spacing w:after="0" w:line="276" w:lineRule="auto"/>
        <w:jc w:val="both"/>
        <w:rPr>
          <w:rFonts w:ascii="Book Antiqua" w:eastAsia="Calibri" w:hAnsi="Book Antiqua" w:cs="Times New Roman"/>
          <w:b/>
          <w:szCs w:val="18"/>
          <w:lang w:val="pt-BR"/>
        </w:rPr>
      </w:pPr>
    </w:p>
    <w:p w14:paraId="64B17BA2" w14:textId="07E0D769" w:rsidR="00812B32" w:rsidRDefault="00812B32" w:rsidP="00916449">
      <w:pPr>
        <w:spacing w:after="0" w:line="276" w:lineRule="auto"/>
        <w:jc w:val="both"/>
        <w:rPr>
          <w:rFonts w:ascii="Book Antiqua" w:eastAsia="Calibri" w:hAnsi="Book Antiqua" w:cs="Times New Roman"/>
          <w:b/>
          <w:szCs w:val="18"/>
          <w:lang w:val="pt-BR"/>
        </w:rPr>
      </w:pPr>
    </w:p>
    <w:p w14:paraId="57B49DA7" w14:textId="4710E696" w:rsidR="00812B32" w:rsidRDefault="00812B32" w:rsidP="00916449">
      <w:pPr>
        <w:spacing w:after="0" w:line="276" w:lineRule="auto"/>
        <w:jc w:val="both"/>
        <w:rPr>
          <w:rFonts w:ascii="Book Antiqua" w:eastAsia="Calibri" w:hAnsi="Book Antiqua" w:cs="Times New Roman"/>
          <w:b/>
          <w:szCs w:val="18"/>
          <w:lang w:val="pt-BR"/>
        </w:rPr>
      </w:pPr>
    </w:p>
    <w:p w14:paraId="6E6AD6F1" w14:textId="630C1D63" w:rsidR="00812B32" w:rsidRDefault="00812B32" w:rsidP="00916449">
      <w:pPr>
        <w:spacing w:after="0" w:line="276" w:lineRule="auto"/>
        <w:jc w:val="both"/>
        <w:rPr>
          <w:rFonts w:ascii="Book Antiqua" w:eastAsia="Calibri" w:hAnsi="Book Antiqua" w:cs="Times New Roman"/>
          <w:b/>
          <w:szCs w:val="18"/>
          <w:lang w:val="pt-BR"/>
        </w:rPr>
      </w:pPr>
    </w:p>
    <w:p w14:paraId="62D0495C" w14:textId="6B9B4BED" w:rsidR="00F30C94" w:rsidRDefault="00F30C94" w:rsidP="00916449">
      <w:pPr>
        <w:spacing w:after="0" w:line="276" w:lineRule="auto"/>
        <w:jc w:val="both"/>
        <w:rPr>
          <w:rFonts w:ascii="Book Antiqua" w:eastAsia="Calibri" w:hAnsi="Book Antiqua" w:cs="Times New Roman"/>
          <w:b/>
          <w:szCs w:val="18"/>
          <w:lang w:val="pt-BR"/>
        </w:rPr>
      </w:pPr>
    </w:p>
    <w:p w14:paraId="3FBCA674" w14:textId="434A8496" w:rsidR="00F30C94" w:rsidRDefault="00F30C94" w:rsidP="00916449">
      <w:pPr>
        <w:spacing w:after="0" w:line="276" w:lineRule="auto"/>
        <w:jc w:val="both"/>
        <w:rPr>
          <w:rFonts w:ascii="Book Antiqua" w:eastAsia="Calibri" w:hAnsi="Book Antiqua" w:cs="Times New Roman"/>
          <w:b/>
          <w:szCs w:val="18"/>
          <w:lang w:val="pt-BR"/>
        </w:rPr>
      </w:pPr>
    </w:p>
    <w:p w14:paraId="1CCD3D2B" w14:textId="08B069D3" w:rsidR="00F30C94" w:rsidRDefault="00F30C94" w:rsidP="00916449">
      <w:pPr>
        <w:spacing w:after="0" w:line="276" w:lineRule="auto"/>
        <w:jc w:val="both"/>
        <w:rPr>
          <w:rFonts w:ascii="Book Antiqua" w:eastAsia="Calibri" w:hAnsi="Book Antiqua" w:cs="Times New Roman"/>
          <w:b/>
          <w:szCs w:val="18"/>
          <w:lang w:val="pt-BR"/>
        </w:rPr>
      </w:pPr>
    </w:p>
    <w:p w14:paraId="72D876E7" w14:textId="75565F0C" w:rsidR="00F30C94" w:rsidRDefault="00F30C94" w:rsidP="00916449">
      <w:pPr>
        <w:spacing w:after="0" w:line="276" w:lineRule="auto"/>
        <w:jc w:val="both"/>
        <w:rPr>
          <w:rFonts w:ascii="Book Antiqua" w:eastAsia="Calibri" w:hAnsi="Book Antiqua" w:cs="Times New Roman"/>
          <w:b/>
          <w:szCs w:val="18"/>
          <w:lang w:val="pt-BR"/>
        </w:rPr>
      </w:pPr>
    </w:p>
    <w:p w14:paraId="0D893531" w14:textId="63CA4695" w:rsidR="00F30C94" w:rsidRDefault="00F30C94" w:rsidP="00916449">
      <w:pPr>
        <w:spacing w:after="0" w:line="276" w:lineRule="auto"/>
        <w:jc w:val="both"/>
        <w:rPr>
          <w:rFonts w:ascii="Book Antiqua" w:eastAsia="Calibri" w:hAnsi="Book Antiqua" w:cs="Times New Roman"/>
          <w:b/>
          <w:szCs w:val="18"/>
          <w:lang w:val="pt-BR"/>
        </w:rPr>
      </w:pPr>
    </w:p>
    <w:p w14:paraId="62029B4B" w14:textId="190C6BEF" w:rsidR="00F30C94" w:rsidRDefault="00F30C94" w:rsidP="00916449">
      <w:pPr>
        <w:spacing w:after="0" w:line="276" w:lineRule="auto"/>
        <w:jc w:val="both"/>
        <w:rPr>
          <w:rFonts w:ascii="Book Antiqua" w:eastAsia="Calibri" w:hAnsi="Book Antiqua" w:cs="Times New Roman"/>
          <w:b/>
          <w:szCs w:val="18"/>
          <w:lang w:val="pt-BR"/>
        </w:rPr>
      </w:pPr>
    </w:p>
    <w:p w14:paraId="0C956194" w14:textId="59CD359E" w:rsidR="00F30C94" w:rsidRDefault="00F30C94" w:rsidP="00916449">
      <w:pPr>
        <w:spacing w:after="0" w:line="276" w:lineRule="auto"/>
        <w:jc w:val="both"/>
        <w:rPr>
          <w:rFonts w:ascii="Book Antiqua" w:eastAsia="Calibri" w:hAnsi="Book Antiqua" w:cs="Times New Roman"/>
          <w:b/>
          <w:szCs w:val="18"/>
          <w:lang w:val="pt-BR"/>
        </w:rPr>
      </w:pPr>
    </w:p>
    <w:p w14:paraId="308ED9D9" w14:textId="73481F70" w:rsidR="00F30C94" w:rsidRDefault="00F30C94" w:rsidP="00916449">
      <w:pPr>
        <w:spacing w:after="0" w:line="276" w:lineRule="auto"/>
        <w:jc w:val="both"/>
        <w:rPr>
          <w:rFonts w:ascii="Book Antiqua" w:eastAsia="Calibri" w:hAnsi="Book Antiqua" w:cs="Times New Roman"/>
          <w:b/>
          <w:szCs w:val="18"/>
          <w:lang w:val="pt-BR"/>
        </w:rPr>
      </w:pPr>
    </w:p>
    <w:p w14:paraId="30EB0213" w14:textId="42BB6C71" w:rsidR="00F30C94" w:rsidRDefault="00F30C94" w:rsidP="00916449">
      <w:pPr>
        <w:spacing w:after="0" w:line="276" w:lineRule="auto"/>
        <w:jc w:val="both"/>
        <w:rPr>
          <w:rFonts w:ascii="Book Antiqua" w:eastAsia="Calibri" w:hAnsi="Book Antiqua" w:cs="Times New Roman"/>
          <w:b/>
          <w:szCs w:val="18"/>
          <w:lang w:val="pt-BR"/>
        </w:rPr>
      </w:pPr>
    </w:p>
    <w:p w14:paraId="3D186954" w14:textId="77777777" w:rsidR="00F30C94" w:rsidRPr="00F30C94" w:rsidRDefault="00F30C94" w:rsidP="00F30C94">
      <w:pPr>
        <w:spacing w:after="0" w:line="276" w:lineRule="auto"/>
        <w:ind w:left="698" w:firstLine="720"/>
        <w:jc w:val="both"/>
        <w:rPr>
          <w:rFonts w:ascii="Book Antiqua" w:eastAsia="Calibri" w:hAnsi="Book Antiqua" w:cs="Times New Roman"/>
          <w:szCs w:val="18"/>
          <w:lang w:val="id-ID"/>
        </w:rPr>
      </w:pPr>
      <w:r w:rsidRPr="00F30C94">
        <w:rPr>
          <w:rFonts w:ascii="Book Antiqua" w:eastAsia="Calibri" w:hAnsi="Book Antiqua" w:cs="Times New Roman"/>
          <w:szCs w:val="18"/>
          <w:lang w:val="id-ID"/>
        </w:rPr>
        <w:t>Sumber: Comparasison Diagram Analysis with Nvivo 12 Plus, 2020</w:t>
      </w:r>
    </w:p>
    <w:p w14:paraId="2B3C0737" w14:textId="38ED8C7E" w:rsidR="00F30C94" w:rsidRDefault="00F30C94" w:rsidP="00916449">
      <w:pPr>
        <w:spacing w:after="0" w:line="276" w:lineRule="auto"/>
        <w:jc w:val="both"/>
        <w:rPr>
          <w:rFonts w:ascii="Book Antiqua" w:eastAsia="Calibri" w:hAnsi="Book Antiqua" w:cs="Times New Roman"/>
          <w:b/>
          <w:szCs w:val="18"/>
          <w:lang w:val="pt-BR"/>
        </w:rPr>
      </w:pPr>
    </w:p>
    <w:p w14:paraId="0D14F159" w14:textId="4F43A910" w:rsidR="00F30C94" w:rsidRDefault="00F30C94" w:rsidP="00F30C94">
      <w:pPr>
        <w:spacing w:after="0" w:line="276" w:lineRule="auto"/>
        <w:ind w:left="709" w:firstLine="709"/>
        <w:jc w:val="both"/>
        <w:rPr>
          <w:rFonts w:ascii="Book Antiqua" w:eastAsia="Calibri" w:hAnsi="Book Antiqua" w:cs="Times New Roman"/>
          <w:szCs w:val="18"/>
          <w:lang w:val="id-ID"/>
        </w:rPr>
      </w:pPr>
      <w:r w:rsidRPr="00F30C94">
        <w:rPr>
          <w:rFonts w:ascii="Book Antiqua" w:eastAsia="Calibri" w:hAnsi="Book Antiqua" w:cs="Times New Roman"/>
          <w:b/>
          <w:szCs w:val="18"/>
          <w:lang w:val="id-ID"/>
        </w:rPr>
        <w:tab/>
      </w:r>
      <w:r w:rsidRPr="00F30C94">
        <w:rPr>
          <w:rFonts w:ascii="Book Antiqua" w:eastAsia="Calibri" w:hAnsi="Book Antiqua" w:cs="Times New Roman"/>
          <w:szCs w:val="18"/>
          <w:lang w:val="id-ID"/>
        </w:rPr>
        <w:t xml:space="preserve">Berdasarkan gambar 22. diatas menunjukkan bahwa antara Desa Kepuharjo dan Desa Umbulharjo Kecamatan Cangkringan Kabupaten Sleman mempunyai beberapa indikator dengan kesamaan dalam penataan pertanahan. Indikator yang dimaksud yaitu: Kebijakan administrasi pertanahan, kepemilikan tanah, kegunaan tanah, nilai tanah, hilangnya batas </w:t>
      </w:r>
      <w:r w:rsidRPr="00F30C94">
        <w:rPr>
          <w:rFonts w:ascii="Book Antiqua" w:eastAsia="Calibri" w:hAnsi="Book Antiqua" w:cs="Times New Roman"/>
          <w:szCs w:val="18"/>
          <w:lang w:val="id-ID"/>
        </w:rPr>
        <w:lastRenderedPageBreak/>
        <w:t xml:space="preserve">kepemilikan tanah, hak atas tanah, hak milik adat, permasalahan dalam penataan pertanahan, sangketa dan konflik, pelaksanaan kegiatan, partisipasi masyarakat, keinginan masyarakat, terpasang batas bidang tanah, akses jalan, sertipikasi konsolidasi tanah. Dalam variabel maupun indikator yang didapatkan, tidak ditemukan perbedaan antara Desa Kepuharjo dan Desa Umbulharjo. </w:t>
      </w:r>
    </w:p>
    <w:p w14:paraId="71B9AEC4" w14:textId="77777777" w:rsidR="00F30C94" w:rsidRDefault="00F30C94" w:rsidP="00F30C94">
      <w:pPr>
        <w:spacing w:after="0" w:line="276" w:lineRule="auto"/>
        <w:ind w:left="709" w:firstLine="709"/>
        <w:jc w:val="both"/>
        <w:rPr>
          <w:rFonts w:ascii="Book Antiqua" w:eastAsia="Calibri" w:hAnsi="Book Antiqua" w:cs="Times New Roman"/>
          <w:szCs w:val="18"/>
          <w:lang w:val="id-ID"/>
        </w:rPr>
      </w:pPr>
    </w:p>
    <w:p w14:paraId="2126D2A1" w14:textId="77777777" w:rsidR="00F30C94" w:rsidRPr="00F30C94" w:rsidRDefault="00F30C94" w:rsidP="000758BF">
      <w:pPr>
        <w:spacing w:after="0" w:line="276" w:lineRule="auto"/>
        <w:ind w:firstLine="709"/>
        <w:jc w:val="center"/>
        <w:rPr>
          <w:rFonts w:ascii="Book Antiqua" w:eastAsia="Calibri" w:hAnsi="Book Antiqua" w:cs="Times New Roman"/>
          <w:b/>
          <w:szCs w:val="18"/>
          <w:lang w:val="id-ID"/>
        </w:rPr>
      </w:pPr>
      <w:r w:rsidRPr="00F30C94">
        <w:rPr>
          <w:rFonts w:ascii="Book Antiqua" w:eastAsia="Calibri" w:hAnsi="Book Antiqua" w:cs="Times New Roman"/>
          <w:b/>
          <w:szCs w:val="18"/>
          <w:lang w:val="id-ID"/>
        </w:rPr>
        <w:t>Gambar 23. Korelasi Terhadap Variabel dan Indikator</w:t>
      </w:r>
    </w:p>
    <w:p w14:paraId="12720DDF" w14:textId="1E4EEB41" w:rsidR="00F30C94" w:rsidRPr="00F30C94" w:rsidRDefault="00F30C94" w:rsidP="00F30C94">
      <w:pPr>
        <w:spacing w:after="0" w:line="276" w:lineRule="auto"/>
        <w:jc w:val="center"/>
        <w:rPr>
          <w:rFonts w:ascii="Book Antiqua" w:eastAsia="Calibri" w:hAnsi="Book Antiqua" w:cs="Times New Roman"/>
          <w:b/>
          <w:szCs w:val="18"/>
          <w:lang w:val="id-ID"/>
        </w:rPr>
      </w:pPr>
      <w:r w:rsidRPr="003C4B94">
        <w:rPr>
          <w:rFonts w:ascii="Constantia" w:hAnsi="Constantia"/>
          <w:noProof/>
          <w:sz w:val="24"/>
          <w:szCs w:val="24"/>
          <w:lang w:eastAsia="id-ID"/>
        </w:rPr>
        <w:drawing>
          <wp:anchor distT="0" distB="0" distL="114300" distR="114300" simplePos="0" relativeHeight="251731968" behindDoc="0" locked="0" layoutInCell="1" allowOverlap="1" wp14:anchorId="6B28E9F1" wp14:editId="0AD9152C">
            <wp:simplePos x="0" y="0"/>
            <wp:positionH relativeFrom="column">
              <wp:posOffset>415290</wp:posOffset>
            </wp:positionH>
            <wp:positionV relativeFrom="paragraph">
              <wp:posOffset>37465</wp:posOffset>
            </wp:positionV>
            <wp:extent cx="4435475" cy="3914775"/>
            <wp:effectExtent l="0" t="0" r="3175" b="952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Cluster SLEMAN.jpg"/>
                    <pic:cNvPicPr/>
                  </pic:nvPicPr>
                  <pic:blipFill rotWithShape="1">
                    <a:blip r:embed="rId27">
                      <a:extLst>
                        <a:ext uri="{28A0092B-C50C-407E-A947-70E740481C1C}">
                          <a14:useLocalDpi xmlns:a14="http://schemas.microsoft.com/office/drawing/2010/main" val="0"/>
                        </a:ext>
                      </a:extLst>
                    </a:blip>
                    <a:srcRect l="15812" t="25642" r="21648" b="21254"/>
                    <a:stretch/>
                  </pic:blipFill>
                  <pic:spPr bwMode="auto">
                    <a:xfrm>
                      <a:off x="0" y="0"/>
                      <a:ext cx="4435475" cy="3914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38A81" w14:textId="224D92D3" w:rsidR="00F30C94" w:rsidRPr="00F30C94" w:rsidRDefault="00F30C94" w:rsidP="00F30C94">
      <w:pPr>
        <w:spacing w:after="0" w:line="276" w:lineRule="auto"/>
        <w:jc w:val="center"/>
        <w:rPr>
          <w:rFonts w:ascii="Book Antiqua" w:eastAsia="Calibri" w:hAnsi="Book Antiqua" w:cs="Times New Roman"/>
          <w:b/>
          <w:szCs w:val="18"/>
          <w:lang w:val="pt-BR"/>
        </w:rPr>
      </w:pPr>
    </w:p>
    <w:p w14:paraId="4E461D47" w14:textId="0088E1E6" w:rsidR="00F30C94" w:rsidRDefault="00F30C94" w:rsidP="00916449">
      <w:pPr>
        <w:spacing w:after="0" w:line="276" w:lineRule="auto"/>
        <w:jc w:val="both"/>
        <w:rPr>
          <w:rFonts w:ascii="Book Antiqua" w:eastAsia="Calibri" w:hAnsi="Book Antiqua" w:cs="Times New Roman"/>
          <w:b/>
          <w:szCs w:val="18"/>
          <w:lang w:val="pt-BR"/>
        </w:rPr>
      </w:pPr>
    </w:p>
    <w:p w14:paraId="4AA0074D" w14:textId="7844E0B9" w:rsidR="00F30C94" w:rsidRDefault="00F30C94" w:rsidP="00916449">
      <w:pPr>
        <w:spacing w:after="0" w:line="276" w:lineRule="auto"/>
        <w:jc w:val="both"/>
        <w:rPr>
          <w:rFonts w:ascii="Book Antiqua" w:eastAsia="Calibri" w:hAnsi="Book Antiqua" w:cs="Times New Roman"/>
          <w:b/>
          <w:szCs w:val="18"/>
          <w:lang w:val="pt-BR"/>
        </w:rPr>
      </w:pPr>
    </w:p>
    <w:p w14:paraId="056E0B8D" w14:textId="69BDDAE4" w:rsidR="00F30C94" w:rsidRDefault="00F30C94" w:rsidP="00916449">
      <w:pPr>
        <w:spacing w:after="0" w:line="276" w:lineRule="auto"/>
        <w:jc w:val="both"/>
        <w:rPr>
          <w:rFonts w:ascii="Book Antiqua" w:eastAsia="Calibri" w:hAnsi="Book Antiqua" w:cs="Times New Roman"/>
          <w:b/>
          <w:szCs w:val="18"/>
          <w:lang w:val="pt-BR"/>
        </w:rPr>
      </w:pPr>
    </w:p>
    <w:p w14:paraId="33833F49" w14:textId="77777777" w:rsidR="00F30C94" w:rsidRDefault="00F30C94" w:rsidP="00916449">
      <w:pPr>
        <w:spacing w:after="0" w:line="276" w:lineRule="auto"/>
        <w:jc w:val="both"/>
        <w:rPr>
          <w:rFonts w:ascii="Book Antiqua" w:eastAsia="Calibri" w:hAnsi="Book Antiqua" w:cs="Times New Roman"/>
          <w:b/>
          <w:szCs w:val="18"/>
          <w:lang w:val="pt-BR"/>
        </w:rPr>
      </w:pPr>
    </w:p>
    <w:p w14:paraId="7D752361" w14:textId="42829A71" w:rsidR="00812B32" w:rsidRDefault="00812B32" w:rsidP="00916449">
      <w:pPr>
        <w:spacing w:after="0" w:line="276" w:lineRule="auto"/>
        <w:jc w:val="both"/>
        <w:rPr>
          <w:rFonts w:ascii="Book Antiqua" w:eastAsia="Calibri" w:hAnsi="Book Antiqua" w:cs="Times New Roman"/>
          <w:b/>
          <w:szCs w:val="18"/>
          <w:lang w:val="pt-BR"/>
        </w:rPr>
      </w:pPr>
    </w:p>
    <w:p w14:paraId="276BB965" w14:textId="6AB41116" w:rsidR="00F30C94" w:rsidRDefault="00F30C94" w:rsidP="00916449">
      <w:pPr>
        <w:spacing w:after="0" w:line="276" w:lineRule="auto"/>
        <w:jc w:val="both"/>
        <w:rPr>
          <w:rFonts w:ascii="Book Antiqua" w:eastAsia="Calibri" w:hAnsi="Book Antiqua" w:cs="Times New Roman"/>
          <w:b/>
          <w:szCs w:val="18"/>
          <w:lang w:val="pt-BR"/>
        </w:rPr>
      </w:pPr>
    </w:p>
    <w:p w14:paraId="19005814" w14:textId="3D3FBE00" w:rsidR="00F30C94" w:rsidRDefault="00F30C94" w:rsidP="00916449">
      <w:pPr>
        <w:spacing w:after="0" w:line="276" w:lineRule="auto"/>
        <w:jc w:val="both"/>
        <w:rPr>
          <w:rFonts w:ascii="Book Antiqua" w:eastAsia="Calibri" w:hAnsi="Book Antiqua" w:cs="Times New Roman"/>
          <w:b/>
          <w:szCs w:val="18"/>
          <w:lang w:val="pt-BR"/>
        </w:rPr>
      </w:pPr>
    </w:p>
    <w:p w14:paraId="5168CB75" w14:textId="3C522FF4" w:rsidR="00F30C94" w:rsidRDefault="00F30C94" w:rsidP="00916449">
      <w:pPr>
        <w:spacing w:after="0" w:line="276" w:lineRule="auto"/>
        <w:jc w:val="both"/>
        <w:rPr>
          <w:rFonts w:ascii="Book Antiqua" w:eastAsia="Calibri" w:hAnsi="Book Antiqua" w:cs="Times New Roman"/>
          <w:b/>
          <w:szCs w:val="18"/>
          <w:lang w:val="pt-BR"/>
        </w:rPr>
      </w:pPr>
    </w:p>
    <w:p w14:paraId="3806856C" w14:textId="6D395BA5" w:rsidR="00F30C94" w:rsidRDefault="00F30C94" w:rsidP="00916449">
      <w:pPr>
        <w:spacing w:after="0" w:line="276" w:lineRule="auto"/>
        <w:jc w:val="both"/>
        <w:rPr>
          <w:rFonts w:ascii="Book Antiqua" w:eastAsia="Calibri" w:hAnsi="Book Antiqua" w:cs="Times New Roman"/>
          <w:b/>
          <w:szCs w:val="18"/>
          <w:lang w:val="pt-BR"/>
        </w:rPr>
      </w:pPr>
    </w:p>
    <w:p w14:paraId="4C7DB9DC" w14:textId="0E4FFC93" w:rsidR="00F30C94" w:rsidRDefault="00F30C94" w:rsidP="00916449">
      <w:pPr>
        <w:spacing w:after="0" w:line="276" w:lineRule="auto"/>
        <w:jc w:val="both"/>
        <w:rPr>
          <w:rFonts w:ascii="Book Antiqua" w:eastAsia="Calibri" w:hAnsi="Book Antiqua" w:cs="Times New Roman"/>
          <w:b/>
          <w:szCs w:val="18"/>
          <w:lang w:val="pt-BR"/>
        </w:rPr>
      </w:pPr>
    </w:p>
    <w:p w14:paraId="2D994A1A" w14:textId="6CBC91D9" w:rsidR="00F30C94" w:rsidRDefault="00F30C94" w:rsidP="00916449">
      <w:pPr>
        <w:spacing w:after="0" w:line="276" w:lineRule="auto"/>
        <w:jc w:val="both"/>
        <w:rPr>
          <w:rFonts w:ascii="Book Antiqua" w:eastAsia="Calibri" w:hAnsi="Book Antiqua" w:cs="Times New Roman"/>
          <w:b/>
          <w:szCs w:val="18"/>
          <w:lang w:val="pt-BR"/>
        </w:rPr>
      </w:pPr>
    </w:p>
    <w:p w14:paraId="193419D6" w14:textId="7ECFDEB6" w:rsidR="00F30C94" w:rsidRDefault="00F30C94" w:rsidP="00916449">
      <w:pPr>
        <w:spacing w:after="0" w:line="276" w:lineRule="auto"/>
        <w:jc w:val="both"/>
        <w:rPr>
          <w:rFonts w:ascii="Book Antiqua" w:eastAsia="Calibri" w:hAnsi="Book Antiqua" w:cs="Times New Roman"/>
          <w:b/>
          <w:szCs w:val="18"/>
          <w:lang w:val="pt-BR"/>
        </w:rPr>
      </w:pPr>
    </w:p>
    <w:p w14:paraId="079FE043" w14:textId="1B6B0C6F" w:rsidR="00F30C94" w:rsidRDefault="00F30C94" w:rsidP="00916449">
      <w:pPr>
        <w:spacing w:after="0" w:line="276" w:lineRule="auto"/>
        <w:jc w:val="both"/>
        <w:rPr>
          <w:rFonts w:ascii="Book Antiqua" w:eastAsia="Calibri" w:hAnsi="Book Antiqua" w:cs="Times New Roman"/>
          <w:b/>
          <w:szCs w:val="18"/>
          <w:lang w:val="pt-BR"/>
        </w:rPr>
      </w:pPr>
    </w:p>
    <w:p w14:paraId="74C8CA99" w14:textId="56114C56" w:rsidR="00F30C94" w:rsidRDefault="00F30C94" w:rsidP="00916449">
      <w:pPr>
        <w:spacing w:after="0" w:line="276" w:lineRule="auto"/>
        <w:jc w:val="both"/>
        <w:rPr>
          <w:rFonts w:ascii="Book Antiqua" w:eastAsia="Calibri" w:hAnsi="Book Antiqua" w:cs="Times New Roman"/>
          <w:b/>
          <w:szCs w:val="18"/>
          <w:lang w:val="pt-BR"/>
        </w:rPr>
      </w:pPr>
    </w:p>
    <w:p w14:paraId="70AA69B6" w14:textId="54A66F97" w:rsidR="00F30C94" w:rsidRDefault="00F30C94" w:rsidP="00916449">
      <w:pPr>
        <w:spacing w:after="0" w:line="276" w:lineRule="auto"/>
        <w:jc w:val="both"/>
        <w:rPr>
          <w:rFonts w:ascii="Book Antiqua" w:eastAsia="Calibri" w:hAnsi="Book Antiqua" w:cs="Times New Roman"/>
          <w:b/>
          <w:szCs w:val="18"/>
          <w:lang w:val="pt-BR"/>
        </w:rPr>
      </w:pPr>
    </w:p>
    <w:p w14:paraId="1013D318" w14:textId="6395EE06" w:rsidR="00F30C94" w:rsidRDefault="00F30C94" w:rsidP="00916449">
      <w:pPr>
        <w:spacing w:after="0" w:line="276" w:lineRule="auto"/>
        <w:jc w:val="both"/>
        <w:rPr>
          <w:rFonts w:ascii="Book Antiqua" w:eastAsia="Calibri" w:hAnsi="Book Antiqua" w:cs="Times New Roman"/>
          <w:b/>
          <w:szCs w:val="18"/>
          <w:lang w:val="pt-BR"/>
        </w:rPr>
      </w:pPr>
    </w:p>
    <w:p w14:paraId="09D93FC3" w14:textId="6E6FDEAC" w:rsidR="00F30C94" w:rsidRDefault="00F30C94" w:rsidP="00916449">
      <w:pPr>
        <w:spacing w:after="0" w:line="276" w:lineRule="auto"/>
        <w:jc w:val="both"/>
        <w:rPr>
          <w:rFonts w:ascii="Book Antiqua" w:eastAsia="Calibri" w:hAnsi="Book Antiqua" w:cs="Times New Roman"/>
          <w:b/>
          <w:szCs w:val="18"/>
          <w:lang w:val="pt-BR"/>
        </w:rPr>
      </w:pPr>
    </w:p>
    <w:p w14:paraId="54BE6D96" w14:textId="287EEC22" w:rsidR="00F30C94" w:rsidRDefault="00F30C94" w:rsidP="00916449">
      <w:pPr>
        <w:spacing w:after="0" w:line="276" w:lineRule="auto"/>
        <w:jc w:val="both"/>
        <w:rPr>
          <w:rFonts w:ascii="Book Antiqua" w:eastAsia="Calibri" w:hAnsi="Book Antiqua" w:cs="Times New Roman"/>
          <w:b/>
          <w:szCs w:val="18"/>
          <w:lang w:val="pt-BR"/>
        </w:rPr>
      </w:pPr>
    </w:p>
    <w:p w14:paraId="2835A99F" w14:textId="2DB9075D" w:rsidR="00F30C94" w:rsidRDefault="00F30C94" w:rsidP="00916449">
      <w:pPr>
        <w:spacing w:after="0" w:line="276" w:lineRule="auto"/>
        <w:jc w:val="both"/>
        <w:rPr>
          <w:rFonts w:ascii="Book Antiqua" w:eastAsia="Calibri" w:hAnsi="Book Antiqua" w:cs="Times New Roman"/>
          <w:b/>
          <w:szCs w:val="18"/>
          <w:lang w:val="pt-BR"/>
        </w:rPr>
      </w:pPr>
    </w:p>
    <w:p w14:paraId="4345F5CC" w14:textId="77777777" w:rsidR="00F30C94" w:rsidRPr="00F30C94" w:rsidRDefault="00F30C94" w:rsidP="00F30C94">
      <w:pPr>
        <w:spacing w:after="0" w:line="276" w:lineRule="auto"/>
        <w:ind w:left="709" w:firstLine="709"/>
        <w:jc w:val="both"/>
        <w:rPr>
          <w:rFonts w:ascii="Book Antiqua" w:eastAsia="Calibri" w:hAnsi="Book Antiqua" w:cs="Times New Roman"/>
          <w:szCs w:val="18"/>
          <w:lang w:val="id-ID"/>
        </w:rPr>
      </w:pPr>
      <w:r w:rsidRPr="00F30C94">
        <w:rPr>
          <w:rFonts w:ascii="Book Antiqua" w:eastAsia="Calibri" w:hAnsi="Book Antiqua" w:cs="Times New Roman"/>
          <w:szCs w:val="18"/>
          <w:lang w:val="id-ID"/>
        </w:rPr>
        <w:t>Sumber: Cluster Analysis with Nvivo 12 Plus, 2020</w:t>
      </w:r>
    </w:p>
    <w:p w14:paraId="5A56DEAB" w14:textId="77777777" w:rsidR="00F30C94" w:rsidRDefault="00F30C94" w:rsidP="00F30C94">
      <w:pPr>
        <w:spacing w:after="0" w:line="276" w:lineRule="auto"/>
        <w:ind w:left="709" w:firstLine="709"/>
        <w:jc w:val="both"/>
        <w:rPr>
          <w:rFonts w:ascii="Book Antiqua" w:eastAsia="Calibri" w:hAnsi="Book Antiqua" w:cs="Times New Roman"/>
          <w:szCs w:val="18"/>
          <w:lang w:val="id-ID"/>
        </w:rPr>
      </w:pPr>
    </w:p>
    <w:p w14:paraId="0F6B8F52" w14:textId="764F46AA" w:rsidR="00F30C94" w:rsidRPr="00F30C94" w:rsidRDefault="00F30C94" w:rsidP="00F30C94">
      <w:pPr>
        <w:spacing w:after="0" w:line="276" w:lineRule="auto"/>
        <w:ind w:left="709" w:firstLine="709"/>
        <w:jc w:val="both"/>
        <w:rPr>
          <w:rFonts w:ascii="Book Antiqua" w:eastAsia="Calibri" w:hAnsi="Book Antiqua" w:cs="Times New Roman"/>
          <w:szCs w:val="18"/>
          <w:lang w:val="id-ID"/>
        </w:rPr>
      </w:pPr>
      <w:r w:rsidRPr="00F30C94">
        <w:rPr>
          <w:rFonts w:ascii="Book Antiqua" w:eastAsia="Calibri" w:hAnsi="Book Antiqua" w:cs="Times New Roman"/>
          <w:szCs w:val="18"/>
          <w:lang w:val="id-ID"/>
        </w:rPr>
        <w:tab/>
        <w:t xml:space="preserve">Berdasarkan gambar 23 diatas menunjukkan bahwa besar frekuensi korelasi terhadap variabel dan indikator di Desa Kepuharjo dan Desa Umbulharjo. Besar frekuensi terhadap variabel dan indikator yang telah disampikan oleh Pelaksana Konsolidasi Tanah Kantor Wilayah Badan Pertanahan Nasional DIY sebesar 23,53%, disusul oleh Kepala Seksi Pengaturan Penataan Pertanahan Kantor Pertanahan Kabupaten Sleman sebesar 12,16%, kemudian disusul oleh Kepala Desa Kepuharjo dan Kepala Desa Umbulharjo yang masing-masing sebesar 2,37%. </w:t>
      </w:r>
    </w:p>
    <w:p w14:paraId="2E5C4304" w14:textId="2483CE31" w:rsidR="00F30C94" w:rsidRPr="00F30C94" w:rsidRDefault="00F30C94" w:rsidP="00916449">
      <w:pPr>
        <w:spacing w:after="0" w:line="276" w:lineRule="auto"/>
        <w:jc w:val="both"/>
        <w:rPr>
          <w:rFonts w:ascii="Book Antiqua" w:eastAsia="Calibri" w:hAnsi="Book Antiqua" w:cs="Times New Roman"/>
          <w:szCs w:val="18"/>
          <w:lang w:val="pt-BR"/>
        </w:rPr>
      </w:pPr>
    </w:p>
    <w:p w14:paraId="6F89EA31" w14:textId="18EA4314" w:rsidR="00F30C94" w:rsidRDefault="00F30C94" w:rsidP="00916449">
      <w:pPr>
        <w:spacing w:after="0" w:line="276" w:lineRule="auto"/>
        <w:jc w:val="both"/>
        <w:rPr>
          <w:rFonts w:ascii="Book Antiqua" w:eastAsia="Calibri" w:hAnsi="Book Antiqua" w:cs="Times New Roman"/>
          <w:b/>
          <w:szCs w:val="18"/>
          <w:lang w:val="pt-BR"/>
        </w:rPr>
      </w:pPr>
    </w:p>
    <w:p w14:paraId="2BA7E635" w14:textId="6DD3AEDC" w:rsidR="00F30C94" w:rsidRPr="00F30C94" w:rsidRDefault="00F30C94" w:rsidP="00F30C94">
      <w:pPr>
        <w:pStyle w:val="ListParagraph"/>
        <w:numPr>
          <w:ilvl w:val="0"/>
          <w:numId w:val="5"/>
        </w:numPr>
        <w:tabs>
          <w:tab w:val="left" w:pos="1038"/>
        </w:tabs>
        <w:spacing w:line="276" w:lineRule="auto"/>
        <w:jc w:val="both"/>
        <w:rPr>
          <w:rFonts w:ascii="Book Antiqua" w:hAnsi="Book Antiqua"/>
        </w:rPr>
      </w:pPr>
      <w:r w:rsidRPr="00F30C94">
        <w:rPr>
          <w:rFonts w:ascii="Book Antiqua" w:hAnsi="Book Antiqua"/>
        </w:rPr>
        <w:t xml:space="preserve">Perbandingan Kebijakan Penataan Pertanahan di Kabupaten Bantul dan Kabupaten Sleman Provinsi Daerah Istimewa Yogyakarta </w:t>
      </w:r>
    </w:p>
    <w:p w14:paraId="38495679" w14:textId="55373DCA" w:rsidR="00F30C94" w:rsidRPr="00F30C94" w:rsidRDefault="00F30C94" w:rsidP="00F30C94">
      <w:pPr>
        <w:tabs>
          <w:tab w:val="left" w:pos="2143"/>
        </w:tabs>
        <w:spacing w:line="276" w:lineRule="auto"/>
        <w:ind w:left="720"/>
        <w:jc w:val="center"/>
        <w:rPr>
          <w:rFonts w:ascii="Book Antiqua" w:hAnsi="Book Antiqua"/>
          <w:b/>
        </w:rPr>
      </w:pPr>
      <w:r w:rsidRPr="00F30C94">
        <w:rPr>
          <w:rFonts w:ascii="Book Antiqua" w:hAnsi="Book Antiqua"/>
          <w:b/>
        </w:rPr>
        <w:t>Gambar 24. Perbandingan Antara Variabel dan Indikator di Kabupaten Bantul dan Kabupaten Sleman Provinsi Daerah Istimewa Yogyakarta</w:t>
      </w:r>
    </w:p>
    <w:p w14:paraId="6E1C11AE" w14:textId="4750E4BB" w:rsidR="00F30C94" w:rsidRDefault="00F30C94" w:rsidP="00916449">
      <w:pPr>
        <w:spacing w:after="0" w:line="276" w:lineRule="auto"/>
        <w:jc w:val="both"/>
        <w:rPr>
          <w:rFonts w:ascii="Book Antiqua" w:eastAsia="Calibri" w:hAnsi="Book Antiqua" w:cs="Times New Roman"/>
          <w:b/>
          <w:szCs w:val="18"/>
          <w:lang w:val="pt-BR"/>
        </w:rPr>
      </w:pPr>
      <w:r w:rsidRPr="00F30C94">
        <w:rPr>
          <w:rFonts w:ascii="Book Antiqua" w:hAnsi="Book Antiqua"/>
          <w:noProof/>
          <w:lang w:eastAsia="id-ID"/>
        </w:rPr>
        <w:drawing>
          <wp:anchor distT="0" distB="0" distL="114300" distR="114300" simplePos="0" relativeHeight="251734016" behindDoc="0" locked="0" layoutInCell="1" allowOverlap="1" wp14:anchorId="6337598A" wp14:editId="0023CD8B">
            <wp:simplePos x="0" y="0"/>
            <wp:positionH relativeFrom="column">
              <wp:posOffset>361950</wp:posOffset>
            </wp:positionH>
            <wp:positionV relativeFrom="paragraph">
              <wp:posOffset>17780</wp:posOffset>
            </wp:positionV>
            <wp:extent cx="5160645" cy="4720590"/>
            <wp:effectExtent l="0" t="0" r="1905" b="381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omparasi 2 Kabupaten.jpg"/>
                    <pic:cNvPicPr/>
                  </pic:nvPicPr>
                  <pic:blipFill>
                    <a:blip r:embed="rId28">
                      <a:extLst>
                        <a:ext uri="{28A0092B-C50C-407E-A947-70E740481C1C}">
                          <a14:useLocalDpi xmlns:a14="http://schemas.microsoft.com/office/drawing/2010/main" val="0"/>
                        </a:ext>
                      </a:extLst>
                    </a:blip>
                    <a:stretch>
                      <a:fillRect/>
                    </a:stretch>
                  </pic:blipFill>
                  <pic:spPr>
                    <a:xfrm>
                      <a:off x="0" y="0"/>
                      <a:ext cx="5160645" cy="4720590"/>
                    </a:xfrm>
                    <a:prstGeom prst="rect">
                      <a:avLst/>
                    </a:prstGeom>
                  </pic:spPr>
                </pic:pic>
              </a:graphicData>
            </a:graphic>
            <wp14:sizeRelH relativeFrom="page">
              <wp14:pctWidth>0</wp14:pctWidth>
            </wp14:sizeRelH>
            <wp14:sizeRelV relativeFrom="page">
              <wp14:pctHeight>0</wp14:pctHeight>
            </wp14:sizeRelV>
          </wp:anchor>
        </w:drawing>
      </w:r>
    </w:p>
    <w:p w14:paraId="20F35177" w14:textId="084FC4CA" w:rsidR="00F30C94" w:rsidRDefault="00F30C94" w:rsidP="00916449">
      <w:pPr>
        <w:spacing w:after="0" w:line="276" w:lineRule="auto"/>
        <w:jc w:val="both"/>
        <w:rPr>
          <w:rFonts w:ascii="Book Antiqua" w:eastAsia="Calibri" w:hAnsi="Book Antiqua" w:cs="Times New Roman"/>
          <w:b/>
          <w:szCs w:val="18"/>
          <w:lang w:val="pt-BR"/>
        </w:rPr>
      </w:pPr>
    </w:p>
    <w:p w14:paraId="727CE1ED" w14:textId="4F98C3BF" w:rsidR="00F30C94" w:rsidRDefault="00F30C94" w:rsidP="00916449">
      <w:pPr>
        <w:spacing w:after="0" w:line="276" w:lineRule="auto"/>
        <w:jc w:val="both"/>
        <w:rPr>
          <w:rFonts w:ascii="Book Antiqua" w:eastAsia="Calibri" w:hAnsi="Book Antiqua" w:cs="Times New Roman"/>
          <w:b/>
          <w:szCs w:val="18"/>
          <w:lang w:val="pt-BR"/>
        </w:rPr>
      </w:pPr>
    </w:p>
    <w:p w14:paraId="22C7EC2D" w14:textId="0A583B76" w:rsidR="00F30C94" w:rsidRDefault="00F30C94" w:rsidP="00916449">
      <w:pPr>
        <w:spacing w:after="0" w:line="276" w:lineRule="auto"/>
        <w:jc w:val="both"/>
        <w:rPr>
          <w:rFonts w:ascii="Book Antiqua" w:eastAsia="Calibri" w:hAnsi="Book Antiqua" w:cs="Times New Roman"/>
          <w:b/>
          <w:szCs w:val="18"/>
          <w:lang w:val="pt-BR"/>
        </w:rPr>
      </w:pPr>
    </w:p>
    <w:p w14:paraId="516A5B7C" w14:textId="4315FBC5" w:rsidR="00F30C94" w:rsidRDefault="00F30C94" w:rsidP="00916449">
      <w:pPr>
        <w:spacing w:after="0" w:line="276" w:lineRule="auto"/>
        <w:jc w:val="both"/>
        <w:rPr>
          <w:rFonts w:ascii="Book Antiqua" w:eastAsia="Calibri" w:hAnsi="Book Antiqua" w:cs="Times New Roman"/>
          <w:b/>
          <w:szCs w:val="18"/>
          <w:lang w:val="pt-BR"/>
        </w:rPr>
      </w:pPr>
    </w:p>
    <w:p w14:paraId="79757E6A" w14:textId="63CE643E" w:rsidR="00F30C94" w:rsidRDefault="00F30C94" w:rsidP="00916449">
      <w:pPr>
        <w:spacing w:after="0" w:line="276" w:lineRule="auto"/>
        <w:jc w:val="both"/>
        <w:rPr>
          <w:rFonts w:ascii="Book Antiqua" w:eastAsia="Calibri" w:hAnsi="Book Antiqua" w:cs="Times New Roman"/>
          <w:b/>
          <w:szCs w:val="18"/>
          <w:lang w:val="pt-BR"/>
        </w:rPr>
      </w:pPr>
    </w:p>
    <w:p w14:paraId="5A642C47" w14:textId="5973B76E" w:rsidR="00F30C94" w:rsidRDefault="00F30C94" w:rsidP="00916449">
      <w:pPr>
        <w:spacing w:after="0" w:line="276" w:lineRule="auto"/>
        <w:jc w:val="both"/>
        <w:rPr>
          <w:rFonts w:ascii="Book Antiqua" w:eastAsia="Calibri" w:hAnsi="Book Antiqua" w:cs="Times New Roman"/>
          <w:b/>
          <w:szCs w:val="18"/>
          <w:lang w:val="pt-BR"/>
        </w:rPr>
      </w:pPr>
    </w:p>
    <w:p w14:paraId="33240D95" w14:textId="0929D211" w:rsidR="00F30C94" w:rsidRDefault="00F30C94" w:rsidP="00916449">
      <w:pPr>
        <w:spacing w:after="0" w:line="276" w:lineRule="auto"/>
        <w:jc w:val="both"/>
        <w:rPr>
          <w:rFonts w:ascii="Book Antiqua" w:eastAsia="Calibri" w:hAnsi="Book Antiqua" w:cs="Times New Roman"/>
          <w:b/>
          <w:szCs w:val="18"/>
          <w:lang w:val="pt-BR"/>
        </w:rPr>
      </w:pPr>
    </w:p>
    <w:p w14:paraId="246C8DD9" w14:textId="738A9618" w:rsidR="00F30C94" w:rsidRDefault="00F30C94" w:rsidP="00916449">
      <w:pPr>
        <w:spacing w:after="0" w:line="276" w:lineRule="auto"/>
        <w:jc w:val="both"/>
        <w:rPr>
          <w:rFonts w:ascii="Book Antiqua" w:eastAsia="Calibri" w:hAnsi="Book Antiqua" w:cs="Times New Roman"/>
          <w:b/>
          <w:szCs w:val="18"/>
          <w:lang w:val="pt-BR"/>
        </w:rPr>
      </w:pPr>
    </w:p>
    <w:p w14:paraId="26AD15E0" w14:textId="592CEF4A" w:rsidR="00F30C94" w:rsidRDefault="00F30C94" w:rsidP="00916449">
      <w:pPr>
        <w:spacing w:after="0" w:line="276" w:lineRule="auto"/>
        <w:jc w:val="both"/>
        <w:rPr>
          <w:rFonts w:ascii="Book Antiqua" w:eastAsia="Calibri" w:hAnsi="Book Antiqua" w:cs="Times New Roman"/>
          <w:b/>
          <w:szCs w:val="18"/>
          <w:lang w:val="pt-BR"/>
        </w:rPr>
      </w:pPr>
    </w:p>
    <w:p w14:paraId="2BE4DD93" w14:textId="06151544" w:rsidR="00F30C94" w:rsidRDefault="00F30C94" w:rsidP="00916449">
      <w:pPr>
        <w:spacing w:after="0" w:line="276" w:lineRule="auto"/>
        <w:jc w:val="both"/>
        <w:rPr>
          <w:rFonts w:ascii="Book Antiqua" w:eastAsia="Calibri" w:hAnsi="Book Antiqua" w:cs="Times New Roman"/>
          <w:b/>
          <w:szCs w:val="18"/>
          <w:lang w:val="pt-BR"/>
        </w:rPr>
      </w:pPr>
    </w:p>
    <w:p w14:paraId="71DD8267" w14:textId="77777777" w:rsidR="00F30C94" w:rsidRDefault="00F30C94" w:rsidP="00916449">
      <w:pPr>
        <w:spacing w:after="0" w:line="276" w:lineRule="auto"/>
        <w:jc w:val="both"/>
        <w:rPr>
          <w:rFonts w:ascii="Book Antiqua" w:eastAsia="Calibri" w:hAnsi="Book Antiqua" w:cs="Times New Roman"/>
          <w:b/>
          <w:szCs w:val="18"/>
          <w:lang w:val="pt-BR"/>
        </w:rPr>
      </w:pPr>
    </w:p>
    <w:p w14:paraId="266E9A4A" w14:textId="77777777" w:rsidR="00F30C94" w:rsidRDefault="00F30C94" w:rsidP="00916449">
      <w:pPr>
        <w:spacing w:after="0" w:line="276" w:lineRule="auto"/>
        <w:jc w:val="both"/>
        <w:rPr>
          <w:rFonts w:ascii="Book Antiqua" w:eastAsia="Calibri" w:hAnsi="Book Antiqua" w:cs="Times New Roman"/>
          <w:b/>
          <w:szCs w:val="18"/>
          <w:lang w:val="pt-BR"/>
        </w:rPr>
      </w:pPr>
    </w:p>
    <w:p w14:paraId="35BCA1AA" w14:textId="77777777" w:rsidR="00F30C94" w:rsidRDefault="00F30C94" w:rsidP="00916449">
      <w:pPr>
        <w:spacing w:after="0" w:line="276" w:lineRule="auto"/>
        <w:jc w:val="both"/>
        <w:rPr>
          <w:rFonts w:ascii="Book Antiqua" w:eastAsia="Calibri" w:hAnsi="Book Antiqua" w:cs="Times New Roman"/>
          <w:b/>
          <w:szCs w:val="18"/>
          <w:lang w:val="pt-BR"/>
        </w:rPr>
      </w:pPr>
    </w:p>
    <w:p w14:paraId="3856F1EA" w14:textId="77777777" w:rsidR="00F30C94" w:rsidRDefault="00F30C94" w:rsidP="00916449">
      <w:pPr>
        <w:spacing w:after="0" w:line="276" w:lineRule="auto"/>
        <w:jc w:val="both"/>
        <w:rPr>
          <w:rFonts w:ascii="Book Antiqua" w:eastAsia="Calibri" w:hAnsi="Book Antiqua" w:cs="Times New Roman"/>
          <w:b/>
          <w:szCs w:val="18"/>
          <w:lang w:val="pt-BR"/>
        </w:rPr>
      </w:pPr>
    </w:p>
    <w:p w14:paraId="5239E03F" w14:textId="77777777" w:rsidR="00F30C94" w:rsidRDefault="00F30C94" w:rsidP="00916449">
      <w:pPr>
        <w:spacing w:after="0" w:line="276" w:lineRule="auto"/>
        <w:jc w:val="both"/>
        <w:rPr>
          <w:rFonts w:ascii="Book Antiqua" w:eastAsia="Calibri" w:hAnsi="Book Antiqua" w:cs="Times New Roman"/>
          <w:b/>
          <w:szCs w:val="18"/>
          <w:lang w:val="pt-BR"/>
        </w:rPr>
      </w:pPr>
    </w:p>
    <w:p w14:paraId="2C6763B9" w14:textId="77777777" w:rsidR="00F30C94" w:rsidRDefault="00F30C94" w:rsidP="00916449">
      <w:pPr>
        <w:spacing w:after="0" w:line="276" w:lineRule="auto"/>
        <w:jc w:val="both"/>
        <w:rPr>
          <w:rFonts w:ascii="Book Antiqua" w:eastAsia="Calibri" w:hAnsi="Book Antiqua" w:cs="Times New Roman"/>
          <w:b/>
          <w:szCs w:val="18"/>
          <w:lang w:val="pt-BR"/>
        </w:rPr>
      </w:pPr>
    </w:p>
    <w:p w14:paraId="0D717991" w14:textId="55517AD4" w:rsidR="00F30C94" w:rsidRDefault="00F30C94" w:rsidP="00916449">
      <w:pPr>
        <w:spacing w:after="0" w:line="276" w:lineRule="auto"/>
        <w:jc w:val="both"/>
        <w:rPr>
          <w:rFonts w:ascii="Book Antiqua" w:eastAsia="Calibri" w:hAnsi="Book Antiqua" w:cs="Times New Roman"/>
          <w:b/>
          <w:szCs w:val="18"/>
          <w:lang w:val="pt-BR"/>
        </w:rPr>
      </w:pPr>
    </w:p>
    <w:p w14:paraId="31E1F7F9" w14:textId="44F2E6F2" w:rsidR="00F30C94" w:rsidRDefault="00F30C94" w:rsidP="00916449">
      <w:pPr>
        <w:spacing w:after="0" w:line="276" w:lineRule="auto"/>
        <w:jc w:val="both"/>
        <w:rPr>
          <w:rFonts w:ascii="Book Antiqua" w:eastAsia="Calibri" w:hAnsi="Book Antiqua" w:cs="Times New Roman"/>
          <w:b/>
          <w:szCs w:val="18"/>
          <w:lang w:val="pt-BR"/>
        </w:rPr>
      </w:pPr>
    </w:p>
    <w:p w14:paraId="3592A370" w14:textId="5594CB24" w:rsidR="00F30C94" w:rsidRDefault="00F30C94" w:rsidP="00916449">
      <w:pPr>
        <w:spacing w:after="0" w:line="276" w:lineRule="auto"/>
        <w:jc w:val="both"/>
        <w:rPr>
          <w:rFonts w:ascii="Book Antiqua" w:eastAsia="Calibri" w:hAnsi="Book Antiqua" w:cs="Times New Roman"/>
          <w:b/>
          <w:szCs w:val="18"/>
          <w:lang w:val="pt-BR"/>
        </w:rPr>
      </w:pPr>
    </w:p>
    <w:p w14:paraId="4841FA8C" w14:textId="263597DD" w:rsidR="00F30C94" w:rsidRDefault="00F30C94" w:rsidP="00916449">
      <w:pPr>
        <w:spacing w:after="0" w:line="276" w:lineRule="auto"/>
        <w:jc w:val="both"/>
        <w:rPr>
          <w:rFonts w:ascii="Book Antiqua" w:eastAsia="Calibri" w:hAnsi="Book Antiqua" w:cs="Times New Roman"/>
          <w:b/>
          <w:szCs w:val="18"/>
          <w:lang w:val="pt-BR"/>
        </w:rPr>
      </w:pPr>
    </w:p>
    <w:p w14:paraId="710FCC4E" w14:textId="061DB012" w:rsidR="00F30C94" w:rsidRDefault="00F30C94" w:rsidP="00916449">
      <w:pPr>
        <w:spacing w:after="0" w:line="276" w:lineRule="auto"/>
        <w:jc w:val="both"/>
        <w:rPr>
          <w:rFonts w:ascii="Book Antiqua" w:eastAsia="Calibri" w:hAnsi="Book Antiqua" w:cs="Times New Roman"/>
          <w:b/>
          <w:szCs w:val="18"/>
          <w:lang w:val="pt-BR"/>
        </w:rPr>
      </w:pPr>
    </w:p>
    <w:p w14:paraId="3BF84D06" w14:textId="3FAFB8A5" w:rsidR="00F30C94" w:rsidRDefault="00F30C94" w:rsidP="00916449">
      <w:pPr>
        <w:spacing w:after="0" w:line="276" w:lineRule="auto"/>
        <w:jc w:val="both"/>
        <w:rPr>
          <w:rFonts w:ascii="Book Antiqua" w:eastAsia="Calibri" w:hAnsi="Book Antiqua" w:cs="Times New Roman"/>
          <w:b/>
          <w:szCs w:val="18"/>
          <w:lang w:val="pt-BR"/>
        </w:rPr>
      </w:pPr>
    </w:p>
    <w:p w14:paraId="534B6722" w14:textId="0EC0715A" w:rsidR="00F30C94" w:rsidRDefault="00F30C94" w:rsidP="00916449">
      <w:pPr>
        <w:spacing w:after="0" w:line="276" w:lineRule="auto"/>
        <w:jc w:val="both"/>
        <w:rPr>
          <w:rFonts w:ascii="Book Antiqua" w:eastAsia="Calibri" w:hAnsi="Book Antiqua" w:cs="Times New Roman"/>
          <w:b/>
          <w:szCs w:val="18"/>
          <w:lang w:val="pt-BR"/>
        </w:rPr>
      </w:pPr>
    </w:p>
    <w:p w14:paraId="25A48534" w14:textId="7B8C8113" w:rsidR="00F30C94" w:rsidRDefault="00F30C94" w:rsidP="00916449">
      <w:pPr>
        <w:spacing w:after="0" w:line="276" w:lineRule="auto"/>
        <w:jc w:val="both"/>
        <w:rPr>
          <w:rFonts w:ascii="Book Antiqua" w:eastAsia="Calibri" w:hAnsi="Book Antiqua" w:cs="Times New Roman"/>
          <w:b/>
          <w:szCs w:val="18"/>
          <w:lang w:val="pt-BR"/>
        </w:rPr>
      </w:pPr>
    </w:p>
    <w:p w14:paraId="2F06E3D7" w14:textId="77777777" w:rsidR="00F30C94" w:rsidRPr="00F30C94" w:rsidRDefault="00F30C94" w:rsidP="00F30C94">
      <w:pPr>
        <w:spacing w:after="0" w:line="276" w:lineRule="auto"/>
        <w:ind w:left="709" w:firstLine="709"/>
        <w:jc w:val="both"/>
        <w:rPr>
          <w:rFonts w:ascii="Book Antiqua" w:eastAsia="Calibri" w:hAnsi="Book Antiqua" w:cs="Times New Roman"/>
          <w:szCs w:val="18"/>
          <w:lang w:val="id-ID"/>
        </w:rPr>
      </w:pPr>
      <w:r w:rsidRPr="00F30C94">
        <w:rPr>
          <w:rFonts w:ascii="Book Antiqua" w:eastAsia="Calibri" w:hAnsi="Book Antiqua" w:cs="Times New Roman"/>
          <w:szCs w:val="18"/>
          <w:lang w:val="id-ID"/>
        </w:rPr>
        <w:t>Sumber: Comparasison Diagram Analysis with Nvivo 12 Plus, 2020</w:t>
      </w:r>
    </w:p>
    <w:p w14:paraId="4596FB8E" w14:textId="77777777" w:rsidR="00F30C94" w:rsidRDefault="00F30C94" w:rsidP="00F30C94">
      <w:pPr>
        <w:spacing w:after="0" w:line="276" w:lineRule="auto"/>
        <w:ind w:left="709" w:firstLine="709"/>
        <w:jc w:val="both"/>
        <w:rPr>
          <w:rFonts w:ascii="Book Antiqua" w:eastAsia="Calibri" w:hAnsi="Book Antiqua" w:cs="Times New Roman"/>
          <w:szCs w:val="18"/>
          <w:lang w:val="id-ID"/>
        </w:rPr>
      </w:pPr>
    </w:p>
    <w:p w14:paraId="365F8772" w14:textId="5840B61A" w:rsidR="00F30C94" w:rsidRPr="00F30C94" w:rsidRDefault="00F30C94" w:rsidP="00F30C94">
      <w:pPr>
        <w:spacing w:after="0" w:line="276" w:lineRule="auto"/>
        <w:ind w:left="709" w:firstLine="709"/>
        <w:jc w:val="both"/>
        <w:rPr>
          <w:rFonts w:ascii="Book Antiqua" w:eastAsia="Calibri" w:hAnsi="Book Antiqua" w:cs="Times New Roman"/>
          <w:szCs w:val="18"/>
          <w:lang w:val="id-ID"/>
        </w:rPr>
      </w:pPr>
      <w:r w:rsidRPr="00F30C94">
        <w:rPr>
          <w:rFonts w:ascii="Book Antiqua" w:eastAsia="Calibri" w:hAnsi="Book Antiqua" w:cs="Times New Roman"/>
          <w:szCs w:val="18"/>
          <w:lang w:val="id-ID"/>
        </w:rPr>
        <w:tab/>
        <w:t xml:space="preserve">Berdasarkan gambar 24. Comparasison Analysis diatas menunjukkan bahwa perbandingan yang ditampilkan oleh Kabupaten Bantul dan Kabupaten Sleman. Sesuai variabel dan indikator yang didapatkan dari masing-masing kabupaten diatas, bisa dilihat ada beberapa variabel dan indikator yang mempunyai korelasi atau saling berkaitan. Dalam program kebijakan penataan administrasi pertanahan terdapat indikator yang mempunyai korelasi, yaitu: Kepemilikan tanah, kegunaan tanah, hak milik </w:t>
      </w:r>
      <w:r w:rsidRPr="00F30C94">
        <w:rPr>
          <w:rFonts w:ascii="Book Antiqua" w:eastAsia="Calibri" w:hAnsi="Book Antiqua" w:cs="Times New Roman"/>
          <w:szCs w:val="18"/>
          <w:lang w:val="id-ID"/>
        </w:rPr>
        <w:lastRenderedPageBreak/>
        <w:t xml:space="preserve">adat, permasalahan yang muncul dalam penataan pertanahan, pelaksanaan kegiatan, partisipasi masyarakat dalam program tersebut, keinginan masyarakat, akses jalan, dan sertipikasi konsolidasi pertanahan. Adapun perbedaan yang didapatkan dalam program kebijakan penataan administrasi pertanahan di Kabupaten Bantul dan Kabupaten Sleman. Dari perbedaan indikator yang didapatkan, Kabupaten Bantul memiliki indikator: Tanah kas desa dan hak milik. Sedangkan indikator yang didapatkan di Kabupaten Sleman yaitu: Nilai tanah, hilangnya batas kepemilikan tanah, hak atas tanah, sangketa &amp; konflik, serta terpasang batas bidang tanah.  </w:t>
      </w:r>
    </w:p>
    <w:p w14:paraId="4A4E5D96" w14:textId="77777777" w:rsidR="000C0D45" w:rsidRDefault="000C0D45" w:rsidP="00916449">
      <w:pPr>
        <w:spacing w:after="0" w:line="276" w:lineRule="auto"/>
        <w:jc w:val="both"/>
        <w:rPr>
          <w:rFonts w:ascii="Book Antiqua" w:eastAsia="Calibri" w:hAnsi="Book Antiqua" w:cs="Times New Roman"/>
          <w:b/>
          <w:szCs w:val="18"/>
          <w:lang w:val="pt-BR"/>
        </w:rPr>
      </w:pPr>
    </w:p>
    <w:p w14:paraId="7D362EE1" w14:textId="51EE9EC9" w:rsidR="000C0D45" w:rsidRPr="000C0D45" w:rsidRDefault="000C0D45" w:rsidP="00916449">
      <w:pPr>
        <w:spacing w:after="0" w:line="276" w:lineRule="auto"/>
        <w:jc w:val="both"/>
        <w:rPr>
          <w:rFonts w:ascii="Book Antiqua" w:eastAsia="Calibri" w:hAnsi="Book Antiqua" w:cs="Times New Roman"/>
          <w:b/>
          <w:szCs w:val="18"/>
          <w:lang w:val="id-ID"/>
        </w:rPr>
      </w:pPr>
      <w:r>
        <w:rPr>
          <w:rFonts w:ascii="Book Antiqua" w:eastAsia="Calibri" w:hAnsi="Book Antiqua" w:cs="Times New Roman"/>
          <w:b/>
          <w:szCs w:val="18"/>
          <w:lang w:val="id-ID"/>
        </w:rPr>
        <w:t xml:space="preserve">KESIMPULAN </w:t>
      </w:r>
    </w:p>
    <w:p w14:paraId="48DC6B77" w14:textId="4B4BF709" w:rsidR="000C0D45" w:rsidRPr="000C0D45" w:rsidRDefault="000C0D45" w:rsidP="000C0D45">
      <w:pPr>
        <w:spacing w:after="0" w:line="276" w:lineRule="auto"/>
        <w:ind w:firstLine="426"/>
        <w:jc w:val="both"/>
        <w:rPr>
          <w:rFonts w:ascii="Book Antiqua" w:eastAsia="Calibri" w:hAnsi="Book Antiqua" w:cs="Times New Roman"/>
          <w:szCs w:val="18"/>
          <w:lang w:val="id-ID"/>
        </w:rPr>
      </w:pPr>
      <w:r w:rsidRPr="000C0D45">
        <w:rPr>
          <w:rFonts w:ascii="Book Antiqua" w:eastAsia="Calibri" w:hAnsi="Book Antiqua" w:cs="Times New Roman"/>
          <w:szCs w:val="18"/>
        </w:rPr>
        <w:t>Tata pemerintahan yang baik dalam masyarakat hanya dapat dicapai melalui proses yang dikelola dengan baik.</w:t>
      </w:r>
      <w:r w:rsidRPr="000C0D45">
        <w:rPr>
          <w:rFonts w:ascii="Book Antiqua" w:eastAsia="Calibri" w:hAnsi="Book Antiqua" w:cs="Times New Roman"/>
          <w:szCs w:val="18"/>
          <w:lang w:val="id-ID"/>
        </w:rPr>
        <w:t xml:space="preserve"> Dalam good land governance tedapat kebijakan penataan pertanahan yang berkesinambungan. Kebijakan</w:t>
      </w:r>
      <w:r w:rsidRPr="000C0D45">
        <w:rPr>
          <w:rFonts w:ascii="Book Antiqua" w:eastAsia="Calibri" w:hAnsi="Book Antiqua" w:cs="Times New Roman"/>
          <w:szCs w:val="18"/>
        </w:rPr>
        <w:t xml:space="preserve"> pertanahan dapat mengarah pada </w:t>
      </w:r>
      <w:r w:rsidRPr="000C0D45">
        <w:rPr>
          <w:rFonts w:ascii="Book Antiqua" w:eastAsia="Calibri" w:hAnsi="Book Antiqua" w:cs="Times New Roman"/>
          <w:szCs w:val="18"/>
          <w:lang w:val="id-ID"/>
        </w:rPr>
        <w:t>kebijakan</w:t>
      </w:r>
      <w:r w:rsidRPr="000C0D45">
        <w:rPr>
          <w:rFonts w:ascii="Book Antiqua" w:eastAsia="Calibri" w:hAnsi="Book Antiqua" w:cs="Times New Roman"/>
          <w:szCs w:val="18"/>
        </w:rPr>
        <w:t xml:space="preserve"> pertanahan yang tepat, efektif, dan efisien dan memperkuat perlindungan hak properti individu dan perusahaan</w:t>
      </w:r>
      <w:r w:rsidRPr="000C0D45">
        <w:rPr>
          <w:rFonts w:ascii="Book Antiqua" w:eastAsia="Calibri" w:hAnsi="Book Antiqua" w:cs="Times New Roman"/>
          <w:szCs w:val="18"/>
          <w:lang w:val="id-ID"/>
        </w:rPr>
        <w:t xml:space="preserve">. </w:t>
      </w:r>
    </w:p>
    <w:p w14:paraId="4E306973" w14:textId="77777777" w:rsidR="000C0D45" w:rsidRPr="000C0D45" w:rsidRDefault="000C0D45" w:rsidP="000C0D45">
      <w:pPr>
        <w:spacing w:after="0" w:line="276" w:lineRule="auto"/>
        <w:ind w:firstLine="426"/>
        <w:jc w:val="both"/>
        <w:rPr>
          <w:rFonts w:ascii="Book Antiqua" w:eastAsia="Calibri" w:hAnsi="Book Antiqua" w:cs="Times New Roman"/>
          <w:szCs w:val="18"/>
          <w:lang w:val="id-ID"/>
        </w:rPr>
      </w:pPr>
      <w:r w:rsidRPr="000C0D45">
        <w:rPr>
          <w:rFonts w:ascii="Book Antiqua" w:eastAsia="Calibri" w:hAnsi="Book Antiqua" w:cs="Times New Roman"/>
          <w:szCs w:val="18"/>
          <w:lang w:val="id-ID"/>
        </w:rPr>
        <w:t>Dalam penataan pertanahan masih belum dilakukan secara baik dan merata, akhirnya muncul perselisihan antara masyarakat yang bisa berpotensi konflik. Permasalahan-permasalahan itu seperti: banyaknya bidang tanah yang tidak mempunyai akses jalan, banyak akses jalan yang sifatnya jalan pertolongan (bidang jalan yang masih menumpang dibidang tanah kepemilikan warga, akses jalan yang ada tidak memadai sempit dan berupa jalan tanah belum ada pengerasan jalan, banyak bidang jalan yang belum dikeluarkan dari area kepemilikan yang bisa berpotensi konflik pertanahan dan menghambat pertumbuhan ekonomi dilokasi tersebut. Banyak terjadi tanda batas bidang tanah yang hilang hal ini akan berpotensi besar menimbulkan sengketa dan konflik pertanahan dan juga banyak bidang bidang tanah di daerah tersebut yang akses jalannya tidak optimal dengan kondisi tersebut maka perlu diadakan penataan pertanahan untuk pengembalian tanda batas bidang tanah dan optimasi akses jalan dengan konsolidasi tanah.</w:t>
      </w:r>
    </w:p>
    <w:p w14:paraId="6CA3AD58" w14:textId="77777777" w:rsidR="000C0D45" w:rsidRDefault="000C0D45" w:rsidP="00916449">
      <w:pPr>
        <w:spacing w:after="0" w:line="276" w:lineRule="auto"/>
        <w:jc w:val="both"/>
        <w:rPr>
          <w:rFonts w:ascii="Book Antiqua" w:eastAsia="Calibri" w:hAnsi="Book Antiqua" w:cs="Times New Roman"/>
          <w:b/>
          <w:szCs w:val="18"/>
          <w:lang w:val="pt-BR"/>
        </w:rPr>
      </w:pPr>
    </w:p>
    <w:p w14:paraId="79481C61" w14:textId="62AC8439" w:rsidR="000C0D45" w:rsidRPr="000C0D45" w:rsidRDefault="000C0D45" w:rsidP="000C0D45">
      <w:pPr>
        <w:tabs>
          <w:tab w:val="left" w:pos="938"/>
        </w:tabs>
        <w:spacing w:line="276" w:lineRule="auto"/>
        <w:jc w:val="both"/>
        <w:rPr>
          <w:rFonts w:ascii="Book Antiqua" w:hAnsi="Book Antiqua"/>
          <w:b/>
          <w:lang w:val="id-ID"/>
        </w:rPr>
      </w:pPr>
      <w:r w:rsidRPr="000C0D45">
        <w:rPr>
          <w:rFonts w:ascii="Book Antiqua" w:hAnsi="Book Antiqua"/>
          <w:b/>
          <w:lang w:val="id-ID"/>
        </w:rPr>
        <w:t>DAFTAR PUSTAKA</w:t>
      </w:r>
    </w:p>
    <w:p w14:paraId="5E75AFF8"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rPr>
        <w:fldChar w:fldCharType="begin" w:fldLock="1"/>
      </w:r>
      <w:r w:rsidRPr="000C0D45">
        <w:rPr>
          <w:rFonts w:ascii="Book Antiqua" w:hAnsi="Book Antiqua"/>
        </w:rPr>
        <w:instrText xml:space="preserve">ADDIN Mendeley Bibliography CSL_BIBLIOGRAPHY </w:instrText>
      </w:r>
      <w:r w:rsidRPr="000C0D45">
        <w:rPr>
          <w:rFonts w:ascii="Book Antiqua" w:hAnsi="Book Antiqua"/>
        </w:rPr>
        <w:fldChar w:fldCharType="separate"/>
      </w:r>
      <w:r w:rsidRPr="000C0D45">
        <w:rPr>
          <w:rFonts w:ascii="Book Antiqua" w:hAnsi="Book Antiqua" w:cs="Times New Roman"/>
          <w:noProof/>
        </w:rPr>
        <w:t xml:space="preserve">Alemie, B. K., Bennett, R. M. and Zevenbergen, J. (2015) ‘A socio-spatial methodology for evaluating urban land governance: the case of informal settlements’, </w:t>
      </w:r>
      <w:r w:rsidRPr="000C0D45">
        <w:rPr>
          <w:rFonts w:ascii="Book Antiqua" w:hAnsi="Book Antiqua" w:cs="Times New Roman"/>
          <w:i/>
          <w:iCs/>
          <w:noProof/>
        </w:rPr>
        <w:t>Journal of Spatial Science</w:t>
      </w:r>
      <w:r w:rsidRPr="000C0D45">
        <w:rPr>
          <w:rFonts w:ascii="Book Antiqua" w:hAnsi="Book Antiqua" w:cs="Times New Roman"/>
          <w:noProof/>
        </w:rPr>
        <w:t>, 60(2), pp. 289–309. doi: 10.1080/14498596.2015.1004654.</w:t>
      </w:r>
    </w:p>
    <w:p w14:paraId="63ECAB50"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Arnowo, H. and Handayani, D. T. (2016) ‘Kebijakan Pertanahan pada Era Masyarakat Ekonomi Asean (MEA)’, </w:t>
      </w:r>
      <w:r w:rsidRPr="000C0D45">
        <w:rPr>
          <w:rFonts w:ascii="Book Antiqua" w:hAnsi="Book Antiqua" w:cs="Times New Roman"/>
          <w:i/>
          <w:iCs/>
          <w:noProof/>
        </w:rPr>
        <w:t>BHUMI: Jurnal Agraria dan Pertanahan</w:t>
      </w:r>
      <w:r w:rsidRPr="000C0D45">
        <w:rPr>
          <w:rFonts w:ascii="Book Antiqua" w:hAnsi="Book Antiqua" w:cs="Times New Roman"/>
          <w:noProof/>
        </w:rPr>
        <w:t>, 2(2), p. 227. doi: 10.31292/jb.v2i2.73.</w:t>
      </w:r>
    </w:p>
    <w:p w14:paraId="0974FD53"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lastRenderedPageBreak/>
        <w:t>Augustinus, C. (2010) ‘Social Tenure Domain Model: What It Can Mean for the Land Industry and for the Poor’, (April), pp. 11–16. Available at: http://citeseerx.ist.psu.edu/viewdoc/download?doi=10.1.1.632.1855&amp;rep=rep1&amp;type=pdf.</w:t>
      </w:r>
    </w:p>
    <w:p w14:paraId="682703C9"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Blake, C. (2015) ‘The Application of Geospatial Information – Land Administration and Management’, (July), pp. 1–28. Available at: http://ggim.un.org/meetings/GGIM-committee/documents/GGIM5/land admin and mngnt background paper 3.2 final.pdf.</w:t>
      </w:r>
    </w:p>
    <w:p w14:paraId="3BC91D6C"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Boone, C. (2015) ‘Land tenure regimes and state structure in rural Africa: Implications for forms of resistance to large-scale land acquisitions by outsiders’, </w:t>
      </w:r>
      <w:r w:rsidRPr="000C0D45">
        <w:rPr>
          <w:rFonts w:ascii="Book Antiqua" w:hAnsi="Book Antiqua" w:cs="Times New Roman"/>
          <w:i/>
          <w:iCs/>
          <w:noProof/>
        </w:rPr>
        <w:t>Journal of Contemporary African Studies</w:t>
      </w:r>
      <w:r w:rsidRPr="000C0D45">
        <w:rPr>
          <w:rFonts w:ascii="Book Antiqua" w:hAnsi="Book Antiqua" w:cs="Times New Roman"/>
          <w:noProof/>
        </w:rPr>
        <w:t>, 33(2), pp. 171–190. doi: 10.1080/02589001.2015.1065576.</w:t>
      </w:r>
    </w:p>
    <w:p w14:paraId="2D7A8530"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Bydłosz, J. (2015) ‘The application of the Land Administration Domain Model in building a country profile for the Polish cadastre’, </w:t>
      </w:r>
      <w:r w:rsidRPr="000C0D45">
        <w:rPr>
          <w:rFonts w:ascii="Book Antiqua" w:hAnsi="Book Antiqua" w:cs="Times New Roman"/>
          <w:i/>
          <w:iCs/>
          <w:noProof/>
        </w:rPr>
        <w:t>Land Use Policy</w:t>
      </w:r>
      <w:r w:rsidRPr="000C0D45">
        <w:rPr>
          <w:rFonts w:ascii="Book Antiqua" w:hAnsi="Book Antiqua" w:cs="Times New Roman"/>
          <w:noProof/>
        </w:rPr>
        <w:t>. Elsevier Ltd, 49, pp. 598–605. doi: 10.1016/j.landusepol.2015.02.011.</w:t>
      </w:r>
    </w:p>
    <w:p w14:paraId="50544AD1"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Chayani, D. A. and Yuliani, F. (2013) ‘IMPLEMENTASI KEBIJAKAN PERTANAHAN (STUDI KASUS PADA BAGIAN PENDAFTARAN TANAH di KECAMATAN TAMPAN KOTA PEKENBARU)’, </w:t>
      </w:r>
      <w:r w:rsidRPr="000C0D45">
        <w:rPr>
          <w:rFonts w:ascii="Book Antiqua" w:hAnsi="Book Antiqua" w:cs="Times New Roman"/>
          <w:i/>
          <w:iCs/>
          <w:noProof/>
        </w:rPr>
        <w:t>Journal of Chemical Information and Modeling</w:t>
      </w:r>
      <w:r w:rsidRPr="000C0D45">
        <w:rPr>
          <w:rFonts w:ascii="Book Antiqua" w:hAnsi="Book Antiqua" w:cs="Times New Roman"/>
          <w:noProof/>
        </w:rPr>
        <w:t>, 53(9), pp. 1689–1699. doi: 10.1017/CBO9781107415324.004.</w:t>
      </w:r>
    </w:p>
    <w:p w14:paraId="4CC71F99"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Davison, J. and Osuch, D. (2009) ‘Land Administration Systems’, </w:t>
      </w:r>
      <w:r w:rsidRPr="000C0D45">
        <w:rPr>
          <w:rFonts w:ascii="Book Antiqua" w:hAnsi="Book Antiqua" w:cs="Times New Roman"/>
          <w:i/>
          <w:iCs/>
          <w:noProof/>
        </w:rPr>
        <w:t>Critical Issues in Systems Theory and Practice</w:t>
      </w:r>
      <w:r w:rsidRPr="000C0D45">
        <w:rPr>
          <w:rFonts w:ascii="Book Antiqua" w:hAnsi="Book Antiqua" w:cs="Times New Roman"/>
          <w:noProof/>
        </w:rPr>
        <w:t>, (February), pp. 541–544. doi: 10.1007/978-1-4757-9883-8_82.</w:t>
      </w:r>
    </w:p>
    <w:p w14:paraId="0E140B19"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Dawidowicz, A., Radzewicz, A. and Renigier-Biłozor, M. (2014) ‘Algorithm for purposes of determining real estate markets efficiency with help of land administration system’, </w:t>
      </w:r>
      <w:r w:rsidRPr="000C0D45">
        <w:rPr>
          <w:rFonts w:ascii="Book Antiqua" w:hAnsi="Book Antiqua" w:cs="Times New Roman"/>
          <w:i/>
          <w:iCs/>
          <w:noProof/>
        </w:rPr>
        <w:t>Survey Review</w:t>
      </w:r>
      <w:r w:rsidRPr="000C0D45">
        <w:rPr>
          <w:rFonts w:ascii="Book Antiqua" w:hAnsi="Book Antiqua" w:cs="Times New Roman"/>
          <w:noProof/>
        </w:rPr>
        <w:t>, 46(336), pp. 189–204. doi: 10.1179/1752270613Y.0000000080.</w:t>
      </w:r>
    </w:p>
    <w:p w14:paraId="31FA81BE"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Dawidowicz, A. and Źróbek, R. (2017) ‘Land Administration System for Sustainable Development - Case Study of Poland’, </w:t>
      </w:r>
      <w:r w:rsidRPr="000C0D45">
        <w:rPr>
          <w:rFonts w:ascii="Book Antiqua" w:hAnsi="Book Antiqua" w:cs="Times New Roman"/>
          <w:i/>
          <w:iCs/>
          <w:noProof/>
        </w:rPr>
        <w:t>Real Estate Management and Valuation</w:t>
      </w:r>
      <w:r w:rsidRPr="000C0D45">
        <w:rPr>
          <w:rFonts w:ascii="Book Antiqua" w:hAnsi="Book Antiqua" w:cs="Times New Roman"/>
          <w:noProof/>
        </w:rPr>
        <w:t>, 25(1), pp. 112–122. doi: 10.1515/remav-2017-0008.</w:t>
      </w:r>
    </w:p>
    <w:p w14:paraId="725030AF"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Van Doeveren, V. (2011) ‘Rethinking Good Governance: Identifying Common Principles’, </w:t>
      </w:r>
      <w:r w:rsidRPr="000C0D45">
        <w:rPr>
          <w:rFonts w:ascii="Book Antiqua" w:hAnsi="Book Antiqua" w:cs="Times New Roman"/>
          <w:i/>
          <w:iCs/>
          <w:noProof/>
        </w:rPr>
        <w:t>Public Integrity</w:t>
      </w:r>
      <w:r w:rsidRPr="000C0D45">
        <w:rPr>
          <w:rFonts w:ascii="Book Antiqua" w:hAnsi="Book Antiqua" w:cs="Times New Roman"/>
          <w:noProof/>
        </w:rPr>
        <w:t>, 13(4), pp. 301–318. doi: 10.2753/PIN1099-9922130401.</w:t>
      </w:r>
    </w:p>
    <w:p w14:paraId="0968A18A"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Grover, R. </w:t>
      </w:r>
      <w:r w:rsidRPr="000C0D45">
        <w:rPr>
          <w:rFonts w:ascii="Book Antiqua" w:hAnsi="Book Antiqua" w:cs="Times New Roman"/>
          <w:i/>
          <w:iCs/>
          <w:noProof/>
        </w:rPr>
        <w:t>et al.</w:t>
      </w:r>
      <w:r w:rsidRPr="000C0D45">
        <w:rPr>
          <w:rFonts w:ascii="Book Antiqua" w:hAnsi="Book Antiqua" w:cs="Times New Roman"/>
          <w:noProof/>
        </w:rPr>
        <w:t xml:space="preserve"> (2007) </w:t>
      </w:r>
      <w:r w:rsidRPr="000C0D45">
        <w:rPr>
          <w:rFonts w:ascii="Book Antiqua" w:hAnsi="Book Antiqua" w:cs="Times New Roman"/>
          <w:i/>
          <w:iCs/>
          <w:noProof/>
        </w:rPr>
        <w:t>Good governance in land administration and land tenure</w:t>
      </w:r>
      <w:r w:rsidRPr="000C0D45">
        <w:rPr>
          <w:rFonts w:ascii="Book Antiqua" w:hAnsi="Book Antiqua" w:cs="Times New Roman"/>
          <w:noProof/>
        </w:rPr>
        <w:t xml:space="preserve">, </w:t>
      </w:r>
      <w:r w:rsidRPr="000C0D45">
        <w:rPr>
          <w:rFonts w:ascii="Book Antiqua" w:hAnsi="Book Antiqua" w:cs="Times New Roman"/>
          <w:i/>
          <w:iCs/>
          <w:noProof/>
        </w:rPr>
        <w:t>Land Reform, Land Settlement and Cooperatives</w:t>
      </w:r>
      <w:r w:rsidRPr="000C0D45">
        <w:rPr>
          <w:rFonts w:ascii="Book Antiqua" w:hAnsi="Book Antiqua" w:cs="Times New Roman"/>
          <w:noProof/>
        </w:rPr>
        <w:t>. Available at: http://www.cawater-info.net/bk/land_law/files/a1179e00.pdf.</w:t>
      </w:r>
    </w:p>
    <w:p w14:paraId="0E09D745"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lastRenderedPageBreak/>
        <w:t>Hilhorst, T. (2008) ‘Local governance institutions for sustainable natural resource management in Mali, Burkina Faso and Niger’, pp. 1–31. Available at: http://www.kit.nl/smartsite.shtml?id=SINGLEPUBLICATION&amp;ItemID=2503.</w:t>
      </w:r>
    </w:p>
    <w:p w14:paraId="2A942505"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Kuma, S. S. (2018) ‘Land Policy and Land Delivery System in Nigeria’, </w:t>
      </w:r>
      <w:r w:rsidRPr="000C0D45">
        <w:rPr>
          <w:rFonts w:ascii="Book Antiqua" w:hAnsi="Book Antiqua" w:cs="Times New Roman"/>
          <w:i/>
          <w:iCs/>
          <w:noProof/>
        </w:rPr>
        <w:t>Emerging Issues in Urban Land Use and Development</w:t>
      </w:r>
      <w:r w:rsidRPr="000C0D45">
        <w:rPr>
          <w:rFonts w:ascii="Book Antiqua" w:hAnsi="Book Antiqua" w:cs="Times New Roman"/>
          <w:noProof/>
        </w:rPr>
        <w:t>, (December 2017), pp. 1–24. Available at: https://www.researchgate.net/publication/322030158_Land Policy and Land Delivery System in Nigeria.</w:t>
      </w:r>
    </w:p>
    <w:p w14:paraId="105CF814"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Manzhynski, S. </w:t>
      </w:r>
      <w:r w:rsidRPr="000C0D45">
        <w:rPr>
          <w:rFonts w:ascii="Book Antiqua" w:hAnsi="Book Antiqua" w:cs="Times New Roman"/>
          <w:i/>
          <w:iCs/>
          <w:noProof/>
        </w:rPr>
        <w:t>et al.</w:t>
      </w:r>
      <w:r w:rsidRPr="000C0D45">
        <w:rPr>
          <w:rFonts w:ascii="Book Antiqua" w:hAnsi="Book Antiqua" w:cs="Times New Roman"/>
          <w:noProof/>
        </w:rPr>
        <w:t xml:space="preserve"> (2016) ‘Sustainability performance in the Baltic Sea Region’, </w:t>
      </w:r>
      <w:r w:rsidRPr="000C0D45">
        <w:rPr>
          <w:rFonts w:ascii="Book Antiqua" w:hAnsi="Book Antiqua" w:cs="Times New Roman"/>
          <w:i/>
          <w:iCs/>
          <w:noProof/>
        </w:rPr>
        <w:t>Land Use Policy</w:t>
      </w:r>
      <w:r w:rsidRPr="000C0D45">
        <w:rPr>
          <w:rFonts w:ascii="Book Antiqua" w:hAnsi="Book Antiqua" w:cs="Times New Roman"/>
          <w:noProof/>
        </w:rPr>
        <w:t>, 57, pp. 489–498. doi: 10.1016/j.landusepol.2016.06.003.</w:t>
      </w:r>
    </w:p>
    <w:p w14:paraId="59A5C0C6"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Marsella (2015) ‘PERSPEKTIF PENANGANAN SENGKETA PERTANAHAN DI BADAN PERTANAHAN NASIONAL’, </w:t>
      </w:r>
      <w:r w:rsidRPr="000C0D45">
        <w:rPr>
          <w:rFonts w:ascii="Book Antiqua" w:hAnsi="Book Antiqua" w:cs="Times New Roman"/>
          <w:i/>
          <w:iCs/>
          <w:noProof/>
        </w:rPr>
        <w:t>Journal of Chemical Information and Modeling</w:t>
      </w:r>
      <w:r w:rsidRPr="000C0D45">
        <w:rPr>
          <w:rFonts w:ascii="Book Antiqua" w:hAnsi="Book Antiqua" w:cs="Times New Roman"/>
          <w:noProof/>
        </w:rPr>
        <w:t>, 53(9), pp. 1689–1699. doi: 10.1017/CBO9781107415324.004.</w:t>
      </w:r>
    </w:p>
    <w:p w14:paraId="46E15DE5"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Maynard, L. and Jacobson, S. K. (2017) ‘Stakeholder Participation in Wildlife Management: Adapting the Nominal Group Technique in Developing Countries for Participants with Low Literacy’, </w:t>
      </w:r>
      <w:r w:rsidRPr="000C0D45">
        <w:rPr>
          <w:rFonts w:ascii="Book Antiqua" w:hAnsi="Book Antiqua" w:cs="Times New Roman"/>
          <w:i/>
          <w:iCs/>
          <w:noProof/>
        </w:rPr>
        <w:t>Human Dimensions of Wildlife</w:t>
      </w:r>
      <w:r w:rsidRPr="000C0D45">
        <w:rPr>
          <w:rFonts w:ascii="Book Antiqua" w:hAnsi="Book Antiqua" w:cs="Times New Roman"/>
          <w:noProof/>
        </w:rPr>
        <w:t>, 22(1), pp. 71–82. doi: 10.1080/10871209.2016.1225139.</w:t>
      </w:r>
    </w:p>
    <w:p w14:paraId="4EDBFE98"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Nugroho, W. (2015) ‘REORIENTASI KEBIJAKAN PEMERINTAH DAERAH DALAM PENERAPAN OTONOMI DAERAH DI BIDANG PERTANAHAN DAN PENATAAN RUANG (THE REORIENTATION OF LOCAL GOVERNMENT POLICY ON IMPLEMENTATION OF THE REGIONAL AUTONOMY IN THE FIELD OF LAND AND LAND USE)’, pp. 1–19.</w:t>
      </w:r>
    </w:p>
    <w:p w14:paraId="68C2F657"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Puri, W. H. (2013) ‘KONTEKSTUALITAS AFFIRMATIVE ACTION DALAM KEBIJAKAN PERTANAHAN DI YOGYAKARTA’. Available at: http://jurnalbhumi.stpn.ac.id/index.php/JB/article/download/157/143.</w:t>
      </w:r>
    </w:p>
    <w:p w14:paraId="1A7161BE" w14:textId="77777777" w:rsidR="000C0D45" w:rsidRPr="000C0D45" w:rsidRDefault="000C0D45" w:rsidP="000C0D45">
      <w:pPr>
        <w:widowControl w:val="0"/>
        <w:autoSpaceDE w:val="0"/>
        <w:autoSpaceDN w:val="0"/>
        <w:adjustRightInd w:val="0"/>
        <w:spacing w:line="276" w:lineRule="auto"/>
        <w:rPr>
          <w:rFonts w:ascii="Book Antiqua" w:hAnsi="Book Antiqua" w:cs="Times New Roman"/>
          <w:noProof/>
        </w:rPr>
      </w:pPr>
      <w:r w:rsidRPr="000C0D45">
        <w:rPr>
          <w:rFonts w:ascii="Book Antiqua" w:hAnsi="Book Antiqua" w:cs="Times New Roman"/>
          <w:noProof/>
        </w:rPr>
        <w:t xml:space="preserve">Sugiyono (2018) </w:t>
      </w:r>
      <w:r w:rsidRPr="000C0D45">
        <w:rPr>
          <w:rFonts w:ascii="Book Antiqua" w:hAnsi="Book Antiqua" w:cs="Times New Roman"/>
          <w:i/>
          <w:iCs/>
          <w:noProof/>
        </w:rPr>
        <w:t>Metode Penelitian Kualitatif: Untuk penelitian yang bersifat eksploratif, enterpretif, interaktif dan konstruktif</w:t>
      </w:r>
      <w:r w:rsidRPr="000C0D45">
        <w:rPr>
          <w:rFonts w:ascii="Book Antiqua" w:hAnsi="Book Antiqua" w:cs="Times New Roman"/>
          <w:noProof/>
        </w:rPr>
        <w:t>. Edisi ke-3. Edited by S. Y. Suryandari. Bandung: ALFABETA.</w:t>
      </w:r>
    </w:p>
    <w:p w14:paraId="0ABF6C5A" w14:textId="77777777" w:rsidR="000C0D45" w:rsidRPr="000C0D45" w:rsidRDefault="000C0D45" w:rsidP="000C0D45">
      <w:pPr>
        <w:widowControl w:val="0"/>
        <w:autoSpaceDE w:val="0"/>
        <w:autoSpaceDN w:val="0"/>
        <w:adjustRightInd w:val="0"/>
        <w:spacing w:line="276" w:lineRule="auto"/>
        <w:rPr>
          <w:rFonts w:ascii="Book Antiqua" w:hAnsi="Book Antiqua"/>
          <w:noProof/>
        </w:rPr>
      </w:pPr>
      <w:r w:rsidRPr="000C0D45">
        <w:rPr>
          <w:rFonts w:ascii="Book Antiqua" w:hAnsi="Book Antiqua" w:cs="Times New Roman"/>
          <w:noProof/>
        </w:rPr>
        <w:t xml:space="preserve">Zevenbergen, J., Vries, W. De and Bennett, R. (2016) </w:t>
      </w:r>
      <w:r w:rsidRPr="000C0D45">
        <w:rPr>
          <w:rFonts w:ascii="Book Antiqua" w:hAnsi="Book Antiqua" w:cs="Times New Roman"/>
          <w:i/>
          <w:iCs/>
          <w:noProof/>
        </w:rPr>
        <w:t>Advances in responsible land administration</w:t>
      </w:r>
      <w:r w:rsidRPr="000C0D45">
        <w:rPr>
          <w:rFonts w:ascii="Book Antiqua" w:hAnsi="Book Antiqua" w:cs="Times New Roman"/>
          <w:noProof/>
        </w:rPr>
        <w:t xml:space="preserve">, </w:t>
      </w:r>
      <w:r w:rsidRPr="000C0D45">
        <w:rPr>
          <w:rFonts w:ascii="Book Antiqua" w:hAnsi="Book Antiqua" w:cs="Times New Roman"/>
          <w:i/>
          <w:iCs/>
          <w:noProof/>
        </w:rPr>
        <w:t>Journal of Spatial Science</w:t>
      </w:r>
      <w:r w:rsidRPr="000C0D45">
        <w:rPr>
          <w:rFonts w:ascii="Book Antiqua" w:hAnsi="Book Antiqua" w:cs="Times New Roman"/>
          <w:noProof/>
        </w:rPr>
        <w:t>. doi: 10.1080/14498596.2016.1145619.</w:t>
      </w:r>
    </w:p>
    <w:p w14:paraId="2A949CC9" w14:textId="6CAC6041" w:rsidR="00F30C94" w:rsidRPr="000C0D45" w:rsidRDefault="000C0D45" w:rsidP="000C0D45">
      <w:pPr>
        <w:spacing w:after="0" w:line="276" w:lineRule="auto"/>
        <w:jc w:val="both"/>
        <w:rPr>
          <w:rFonts w:ascii="Book Antiqua" w:eastAsia="Calibri" w:hAnsi="Book Antiqua" w:cs="Times New Roman"/>
          <w:b/>
          <w:lang w:val="pt-BR"/>
        </w:rPr>
      </w:pPr>
      <w:r w:rsidRPr="000C0D45">
        <w:rPr>
          <w:rFonts w:ascii="Book Antiqua" w:hAnsi="Book Antiqua"/>
        </w:rPr>
        <w:fldChar w:fldCharType="end"/>
      </w:r>
    </w:p>
    <w:p w14:paraId="64C4D9F8" w14:textId="6EEAFE8B" w:rsidR="00F30C94" w:rsidRPr="000C0D45" w:rsidRDefault="00F30C94" w:rsidP="000C0D45">
      <w:pPr>
        <w:spacing w:after="0" w:line="276" w:lineRule="auto"/>
        <w:jc w:val="both"/>
        <w:rPr>
          <w:rFonts w:ascii="Book Antiqua" w:eastAsia="Calibri" w:hAnsi="Book Antiqua" w:cs="Times New Roman"/>
          <w:b/>
          <w:lang w:val="pt-BR"/>
        </w:rPr>
      </w:pPr>
    </w:p>
    <w:p w14:paraId="48341993" w14:textId="11C5F8A4" w:rsidR="00F30C94" w:rsidRPr="000C0D45" w:rsidRDefault="00F30C94" w:rsidP="000C0D45">
      <w:pPr>
        <w:spacing w:after="0" w:line="276" w:lineRule="auto"/>
        <w:jc w:val="both"/>
        <w:rPr>
          <w:rFonts w:ascii="Book Antiqua" w:eastAsia="Calibri" w:hAnsi="Book Antiqua" w:cs="Times New Roman"/>
          <w:b/>
          <w:lang w:val="pt-BR"/>
        </w:rPr>
      </w:pPr>
    </w:p>
    <w:p w14:paraId="72E0760E" w14:textId="1D7B8A35" w:rsidR="00F30C94" w:rsidRDefault="00F30C94" w:rsidP="00916449">
      <w:pPr>
        <w:spacing w:after="0" w:line="276" w:lineRule="auto"/>
        <w:jc w:val="both"/>
        <w:rPr>
          <w:rFonts w:ascii="Book Antiqua" w:eastAsia="Calibri" w:hAnsi="Book Antiqua" w:cs="Times New Roman"/>
          <w:b/>
          <w:szCs w:val="18"/>
          <w:lang w:val="pt-BR"/>
        </w:rPr>
      </w:pPr>
    </w:p>
    <w:p w14:paraId="2771E24E" w14:textId="77777777" w:rsidR="00F30C94" w:rsidRDefault="00F30C94" w:rsidP="00916449">
      <w:pPr>
        <w:spacing w:after="0" w:line="276" w:lineRule="auto"/>
        <w:jc w:val="both"/>
        <w:rPr>
          <w:rFonts w:ascii="Book Antiqua" w:eastAsia="Calibri" w:hAnsi="Book Antiqua" w:cs="Times New Roman"/>
          <w:b/>
          <w:szCs w:val="18"/>
          <w:lang w:val="pt-BR"/>
        </w:rPr>
      </w:pPr>
    </w:p>
    <w:p w14:paraId="6064E2AC" w14:textId="44A10044" w:rsidR="003328B1" w:rsidRDefault="003328B1" w:rsidP="000C0D45">
      <w:pPr>
        <w:spacing w:after="0" w:line="240" w:lineRule="auto"/>
      </w:pPr>
    </w:p>
    <w:sectPr w:rsidR="003328B1" w:rsidSect="003328B1">
      <w:headerReference w:type="default" r:id="rId29"/>
      <w:footerReference w:type="default" r:id="rId30"/>
      <w:headerReference w:type="first" r:id="rId31"/>
      <w:footerReference w:type="first" r:id="rId32"/>
      <w:pgSz w:w="12240" w:h="15840"/>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C2D2E" w14:textId="77777777" w:rsidR="00E533D3" w:rsidRDefault="00E533D3" w:rsidP="00C27709">
      <w:pPr>
        <w:spacing w:after="0" w:line="240" w:lineRule="auto"/>
      </w:pPr>
      <w:r>
        <w:separator/>
      </w:r>
    </w:p>
  </w:endnote>
  <w:endnote w:type="continuationSeparator" w:id="0">
    <w:p w14:paraId="23140D86" w14:textId="77777777" w:rsidR="00E533D3" w:rsidRDefault="00E533D3"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4E76" w14:textId="00DEBED9" w:rsidR="00C27709" w:rsidRPr="003328B1" w:rsidRDefault="00C27709"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lang w:val="id-ID" w:eastAsia="id-ID"/>
      </w:rPr>
      <mc:AlternateContent>
        <mc:Choice Requires="wps">
          <w:drawing>
            <wp:anchor distT="0" distB="0" distL="114300" distR="114300" simplePos="0" relativeHeight="251662336" behindDoc="0" locked="0" layoutInCell="1" allowOverlap="1" wp14:anchorId="5D573206" wp14:editId="00E6ADCF">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0589D1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31.7pt" to="416.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" strokecolor="windowText">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19991534"/>
  <w:p w14:paraId="2D325B20" w14:textId="473F396A" w:rsidR="003328B1" w:rsidRPr="00C27709" w:rsidRDefault="003328B1"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67456" behindDoc="0" locked="0" layoutInCell="1" allowOverlap="1" wp14:anchorId="369D16E1" wp14:editId="7E4A8757">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326BC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7.8pt" to="41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" strokecolor="windowText">
              <v:stroke joinstyle="miter"/>
              <w10:wrap anchorx="margin"/>
            </v:line>
          </w:pict>
        </mc:Fallback>
      </mc:AlternateContent>
    </w:r>
    <w:r w:rsidR="00F60ADA">
      <w:rPr>
        <w:rFonts w:ascii="Book Antiqua" w:eastAsia="Calibri" w:hAnsi="Book Antiqua" w:cs="Times New Roman"/>
        <w:sz w:val="20"/>
        <w:lang w:val="id-ID"/>
      </w:rPr>
      <w:t>Citation : Subekti Widiyasno</w:t>
    </w:r>
    <w:r w:rsidR="00F60ADA">
      <w:rPr>
        <w:rFonts w:ascii="Book Antiqua" w:eastAsia="Calibri" w:hAnsi="Book Antiqua" w:cs="Times New Roman"/>
        <w:sz w:val="20"/>
        <w:vertAlign w:val="superscript"/>
        <w:lang w:val="id-ID"/>
      </w:rPr>
      <w:t>1*</w:t>
    </w:r>
    <w:r w:rsidRPr="00C27709">
      <w:rPr>
        <w:rFonts w:ascii="Book Antiqua" w:eastAsia="Calibri" w:hAnsi="Book Antiqua" w:cs="Times New Roman"/>
        <w:sz w:val="20"/>
        <w:lang w:val="id-ID"/>
      </w:rPr>
      <w:t>,</w:t>
    </w:r>
    <w:r w:rsidR="00F60ADA">
      <w:rPr>
        <w:rFonts w:ascii="Book Antiqua" w:eastAsia="Calibri" w:hAnsi="Book Antiqua" w:cs="Times New Roman"/>
        <w:sz w:val="20"/>
        <w:lang w:val="id-ID"/>
      </w:rPr>
      <w:t xml:space="preserve"> </w:t>
    </w:r>
    <w:r w:rsidR="00D7659D">
      <w:rPr>
        <w:rFonts w:ascii="Book Antiqua" w:eastAsia="Calibri" w:hAnsi="Book Antiqua" w:cs="Times New Roman"/>
        <w:sz w:val="20"/>
        <w:lang w:val="id-ID"/>
      </w:rPr>
      <w:t>Dyah Mutiarin</w:t>
    </w:r>
    <w:r w:rsidR="00D7659D">
      <w:rPr>
        <w:rFonts w:ascii="Book Antiqua" w:eastAsia="Calibri" w:hAnsi="Book Antiqua" w:cs="Times New Roman"/>
        <w:sz w:val="20"/>
        <w:vertAlign w:val="superscript"/>
        <w:lang w:val="id-ID"/>
      </w:rPr>
      <w:t>2</w:t>
    </w:r>
    <w:r w:rsidR="00D7659D">
      <w:rPr>
        <w:rFonts w:ascii="Book Antiqua" w:eastAsia="Calibri" w:hAnsi="Book Antiqua" w:cs="Times New Roman"/>
        <w:sz w:val="20"/>
        <w:lang w:val="id-ID"/>
      </w:rPr>
      <w:t>, Herdin Arie Saputra</w:t>
    </w:r>
    <w:r w:rsidR="00D7659D">
      <w:rPr>
        <w:rFonts w:ascii="Book Antiqua" w:eastAsia="Calibri" w:hAnsi="Book Antiqua" w:cs="Times New Roman"/>
        <w:sz w:val="20"/>
        <w:vertAlign w:val="superscript"/>
        <w:lang w:val="id-ID"/>
      </w:rPr>
      <w:t>3</w:t>
    </w:r>
    <w:r w:rsidR="00D7659D">
      <w:rPr>
        <w:rFonts w:ascii="Book Antiqua" w:eastAsia="Calibri" w:hAnsi="Book Antiqua" w:cs="Times New Roman"/>
        <w:sz w:val="20"/>
        <w:lang w:val="id-ID"/>
      </w:rPr>
      <w:t>, Ikhwan Rahmatika Latif</w:t>
    </w:r>
    <w:r w:rsidR="00D7659D">
      <w:rPr>
        <w:rFonts w:ascii="Book Antiqua" w:eastAsia="Calibri" w:hAnsi="Book Antiqua" w:cs="Times New Roman"/>
        <w:sz w:val="20"/>
        <w:vertAlign w:val="superscript"/>
        <w:lang w:val="id-ID"/>
      </w:rPr>
      <w:t>4</w:t>
    </w:r>
    <w:r w:rsidR="00D7659D">
      <w:rPr>
        <w:rFonts w:ascii="Book Antiqua" w:eastAsia="Calibri" w:hAnsi="Book Antiqua" w:cs="Times New Roman"/>
        <w:sz w:val="20"/>
        <w:lang w:val="id-ID"/>
      </w:rPr>
      <w:t>,</w:t>
    </w:r>
    <w:r w:rsidRPr="00C27709">
      <w:rPr>
        <w:rFonts w:ascii="Book Antiqua" w:eastAsia="Calibri" w:hAnsi="Book Antiqua" w:cs="Times New Roman"/>
        <w:sz w:val="20"/>
        <w:lang w:val="id-ID"/>
      </w:rPr>
      <w:t xml:space="preserve"> F.M. (Publication year). </w:t>
    </w:r>
    <w:r w:rsidR="00D7659D">
      <w:rPr>
        <w:rFonts w:ascii="Book Antiqua" w:eastAsia="Calibri" w:hAnsi="Book Antiqua" w:cs="Times New Roman"/>
        <w:i/>
        <w:sz w:val="20"/>
        <w:lang w:val="id-ID"/>
      </w:rPr>
      <w:t>Kebijakan Penataan Administrasi Pertanahan Di Kawasan Berkesinambungan Di Kabupaten Bantul dan Sleman</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Journal of Government and Civil Society, Vol. 1, No. 1, pp.-pp.</w:t>
    </w:r>
  </w:p>
  <w:bookmarkEnd w:id="1"/>
  <w:p w14:paraId="11B6CF10" w14:textId="77777777" w:rsidR="003328B1" w:rsidRDefault="003328B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B81B3" w14:textId="77777777" w:rsidR="00E533D3" w:rsidRDefault="00E533D3" w:rsidP="00C27709">
      <w:pPr>
        <w:spacing w:after="0" w:line="240" w:lineRule="auto"/>
      </w:pPr>
      <w:r>
        <w:separator/>
      </w:r>
    </w:p>
  </w:footnote>
  <w:footnote w:type="continuationSeparator" w:id="0">
    <w:p w14:paraId="50DDE6C2" w14:textId="77777777" w:rsidR="00E533D3" w:rsidRDefault="00E533D3" w:rsidP="00C27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E3FC"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3D9665F2"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0676C276"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4B8E9B07" w14:textId="4DD1D8CB" w:rsidR="00C27709" w:rsidRPr="00C27709" w:rsidRDefault="00C27709"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59264" behindDoc="0" locked="0" layoutInCell="1" allowOverlap="1" wp14:anchorId="6CF4BE10" wp14:editId="1398C3ED">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1CD841"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teEuqNABAACK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1C06" w14:textId="77777777" w:rsidR="003328B1" w:rsidRPr="00C27709" w:rsidRDefault="003328B1"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lang w:val="id-ID" w:eastAsia="id-ID"/>
      </w:rPr>
      <w:drawing>
        <wp:anchor distT="0" distB="0" distL="114300" distR="114300" simplePos="0" relativeHeight="251665408" behindDoc="0" locked="0" layoutInCell="1" allowOverlap="1" wp14:anchorId="3555E0E2" wp14:editId="3AA0FEFD">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2FCFE487" w14:textId="77777777" w:rsidR="003328B1" w:rsidRPr="003328B1" w:rsidRDefault="003328B1"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xx</w:t>
    </w:r>
    <w:r w:rsidRPr="00C27709">
      <w:rPr>
        <w:rFonts w:ascii="Book Antiqua" w:eastAsia="Calibri" w:hAnsi="Book Antiqua" w:cs="Times New Roman"/>
        <w:sz w:val="20"/>
        <w:szCs w:val="20"/>
        <w:lang w:val="id-ID"/>
      </w:rPr>
      <w:t xml:space="preserve">, pp. </w:t>
    </w:r>
    <w:r>
      <w:rPr>
        <w:rFonts w:ascii="Book Antiqua" w:eastAsia="Calibri" w:hAnsi="Book Antiqua" w:cs="Times New Roman"/>
        <w:sz w:val="20"/>
        <w:szCs w:val="20"/>
      </w:rPr>
      <w:t>xx</w:t>
    </w:r>
  </w:p>
  <w:p w14:paraId="557EDA6B" w14:textId="77777777" w:rsidR="003328B1" w:rsidRPr="00C27709" w:rsidRDefault="003328B1"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7E8E30BB" w14:textId="77777777" w:rsidR="003328B1" w:rsidRPr="00C27709" w:rsidRDefault="003328B1"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Accepted 8 January 2013</w:t>
    </w:r>
  </w:p>
  <w:p w14:paraId="54CECAEC" w14:textId="1365A7CA" w:rsidR="003328B1" w:rsidRPr="003328B1" w:rsidRDefault="003328B1"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64384" behindDoc="0" locked="0" layoutInCell="1" allowOverlap="1" wp14:anchorId="4D63154A" wp14:editId="6D348881">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F3D22F"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D6fwCdABAACI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2033B"/>
    <w:multiLevelType w:val="hybridMultilevel"/>
    <w:tmpl w:val="21FAF40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5EE0F94"/>
    <w:multiLevelType w:val="hybridMultilevel"/>
    <w:tmpl w:val="E976F2C2"/>
    <w:lvl w:ilvl="0" w:tplc="BE2C4F2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EE0670"/>
    <w:multiLevelType w:val="hybridMultilevel"/>
    <w:tmpl w:val="6C440A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E330D24"/>
    <w:multiLevelType w:val="hybridMultilevel"/>
    <w:tmpl w:val="B484AED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31484F48"/>
    <w:multiLevelType w:val="hybridMultilevel"/>
    <w:tmpl w:val="A698AC5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697D2856"/>
    <w:multiLevelType w:val="hybridMultilevel"/>
    <w:tmpl w:val="43F474A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2323BC0"/>
    <w:multiLevelType w:val="hybridMultilevel"/>
    <w:tmpl w:val="6BD06E7E"/>
    <w:lvl w:ilvl="0" w:tplc="9236B0CC">
      <w:start w:val="1"/>
      <w:numFmt w:val="lowerLetter"/>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5"/>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3MDE0NDQ1NDYxNrFQ0lEKTi0uzszPAykwrAUA/Z2LJiwAAAA="/>
  </w:docVars>
  <w:rsids>
    <w:rsidRoot w:val="00C27709"/>
    <w:rsid w:val="00034436"/>
    <w:rsid w:val="000758BF"/>
    <w:rsid w:val="00077F82"/>
    <w:rsid w:val="000C0D45"/>
    <w:rsid w:val="001A15C7"/>
    <w:rsid w:val="001C5D10"/>
    <w:rsid w:val="001D0303"/>
    <w:rsid w:val="0026291F"/>
    <w:rsid w:val="003328B1"/>
    <w:rsid w:val="00367E1E"/>
    <w:rsid w:val="00400652"/>
    <w:rsid w:val="00403C9A"/>
    <w:rsid w:val="00417EFC"/>
    <w:rsid w:val="00442E8B"/>
    <w:rsid w:val="004715E2"/>
    <w:rsid w:val="004F42F0"/>
    <w:rsid w:val="005A01A4"/>
    <w:rsid w:val="006C4A2A"/>
    <w:rsid w:val="00732E96"/>
    <w:rsid w:val="007C5148"/>
    <w:rsid w:val="007D6528"/>
    <w:rsid w:val="00812B32"/>
    <w:rsid w:val="00840003"/>
    <w:rsid w:val="008579F2"/>
    <w:rsid w:val="008A67F2"/>
    <w:rsid w:val="00916449"/>
    <w:rsid w:val="009D43AA"/>
    <w:rsid w:val="009E0EFF"/>
    <w:rsid w:val="00A75B13"/>
    <w:rsid w:val="00A90469"/>
    <w:rsid w:val="00B31356"/>
    <w:rsid w:val="00B81F5D"/>
    <w:rsid w:val="00BC2D42"/>
    <w:rsid w:val="00C27709"/>
    <w:rsid w:val="00D7659D"/>
    <w:rsid w:val="00DC416A"/>
    <w:rsid w:val="00E533D3"/>
    <w:rsid w:val="00EB01B5"/>
    <w:rsid w:val="00F30C94"/>
    <w:rsid w:val="00F60ADA"/>
    <w:rsid w:val="00F85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CD50"/>
  <w15:chartTrackingRefBased/>
  <w15:docId w15:val="{7138DCF3-1A3F-488B-BA09-5CEF521E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8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
    <w:name w:val="Unresolved Mention"/>
    <w:basedOn w:val="DefaultParagraphFont"/>
    <w:uiPriority w:val="99"/>
    <w:semiHidden/>
    <w:unhideWhenUsed/>
    <w:rsid w:val="00916449"/>
    <w:rPr>
      <w:color w:val="605E5C"/>
      <w:shd w:val="clear" w:color="auto" w:fill="E1DFDD"/>
    </w:rPr>
  </w:style>
  <w:style w:type="paragraph" w:styleId="ListParagraph">
    <w:name w:val="List Paragraph"/>
    <w:basedOn w:val="Normal"/>
    <w:link w:val="ListParagraphChar"/>
    <w:uiPriority w:val="34"/>
    <w:qFormat/>
    <w:rsid w:val="008579F2"/>
    <w:pPr>
      <w:ind w:left="720"/>
      <w:contextualSpacing/>
    </w:pPr>
  </w:style>
  <w:style w:type="character" w:customStyle="1" w:styleId="ListParagraphChar">
    <w:name w:val="List Paragraph Char"/>
    <w:link w:val="ListParagraph"/>
    <w:uiPriority w:val="34"/>
    <w:locked/>
    <w:rsid w:val="00857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g"/><Relationship Id="rId10" Type="http://schemas.openxmlformats.org/officeDocument/2006/relationships/image" Target="media/image2.png"/><Relationship Id="rId19" Type="http://schemas.openxmlformats.org/officeDocument/2006/relationships/image" Target="media/image11.jp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footer" Target="footer1.xml"/><Relationship Id="rId8" Type="http://schemas.openxmlformats.org/officeDocument/2006/relationships/hyperlink" Target="mailto:mutiarin@yahoo.com"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5A7D4-BA3C-49BB-91AB-3AC443DB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27</Pages>
  <Words>15881</Words>
  <Characters>90523</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Toshiba</cp:lastModifiedBy>
  <cp:revision>21</cp:revision>
  <dcterms:created xsi:type="dcterms:W3CDTF">2019-09-21T10:37:00Z</dcterms:created>
  <dcterms:modified xsi:type="dcterms:W3CDTF">2020-04-09T12:03:00Z</dcterms:modified>
</cp:coreProperties>
</file>