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2BFAA" w14:textId="7923EF05" w:rsidR="00197B65" w:rsidRDefault="008218B0" w:rsidP="0037337F">
      <w:pPr>
        <w:spacing w:line="240" w:lineRule="auto"/>
        <w:jc w:val="center"/>
        <w:rPr>
          <w:rFonts w:ascii="Times New Roman" w:hAnsi="Times New Roman" w:cs="Times New Roman"/>
          <w:b/>
          <w:bCs/>
          <w:sz w:val="24"/>
          <w:szCs w:val="24"/>
        </w:rPr>
      </w:pPr>
      <w:r w:rsidRPr="0037337F">
        <w:rPr>
          <w:rFonts w:ascii="Times New Roman" w:hAnsi="Times New Roman" w:cs="Times New Roman"/>
          <w:b/>
          <w:bCs/>
          <w:sz w:val="24"/>
          <w:szCs w:val="24"/>
        </w:rPr>
        <w:t>Farmers Social Movement Studies: A Systematic Literature Review for A Conceptual Model</w:t>
      </w:r>
    </w:p>
    <w:p w14:paraId="49CA73C7" w14:textId="1FEC97FB" w:rsidR="005C639C" w:rsidRDefault="005C639C" w:rsidP="00987E61">
      <w:pPr>
        <w:spacing w:after="0" w:line="240" w:lineRule="auto"/>
        <w:jc w:val="center"/>
        <w:rPr>
          <w:rFonts w:ascii="Times New Roman" w:hAnsi="Times New Roman" w:cs="Times New Roman"/>
          <w:b/>
          <w:bCs/>
          <w:sz w:val="24"/>
          <w:szCs w:val="24"/>
        </w:rPr>
      </w:pPr>
    </w:p>
    <w:p w14:paraId="528F3327" w14:textId="77777777" w:rsidR="00667C44" w:rsidRDefault="00667C44" w:rsidP="00987E61">
      <w:pPr>
        <w:spacing w:after="0" w:line="240" w:lineRule="auto"/>
        <w:jc w:val="center"/>
        <w:rPr>
          <w:rFonts w:ascii="Times New Roman" w:hAnsi="Times New Roman" w:cs="Times New Roman"/>
          <w:sz w:val="24"/>
          <w:szCs w:val="24"/>
        </w:rPr>
      </w:pPr>
    </w:p>
    <w:p w14:paraId="06346BA7" w14:textId="77777777" w:rsidR="005C639C" w:rsidRPr="00987E61" w:rsidRDefault="005C639C" w:rsidP="00987E61">
      <w:pPr>
        <w:spacing w:after="0" w:line="240" w:lineRule="auto"/>
        <w:jc w:val="center"/>
        <w:rPr>
          <w:rFonts w:ascii="Times New Roman" w:hAnsi="Times New Roman" w:cs="Times New Roman"/>
          <w:sz w:val="24"/>
          <w:szCs w:val="24"/>
        </w:rPr>
      </w:pPr>
    </w:p>
    <w:p w14:paraId="476AB46F" w14:textId="77777777" w:rsidR="00B9647D" w:rsidRPr="00987E61" w:rsidRDefault="00B9647D" w:rsidP="00B9647D">
      <w:pPr>
        <w:spacing w:after="0" w:line="240" w:lineRule="auto"/>
        <w:jc w:val="center"/>
        <w:rPr>
          <w:rFonts w:ascii="Times New Roman" w:hAnsi="Times New Roman" w:cs="Times New Roman"/>
          <w:sz w:val="24"/>
          <w:szCs w:val="24"/>
        </w:rPr>
      </w:pPr>
    </w:p>
    <w:p w14:paraId="6398E362" w14:textId="39EB2C80" w:rsidR="00B9647D" w:rsidRPr="0037337F" w:rsidRDefault="00353110" w:rsidP="0035311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7B58175E" w14:textId="40FC4C88" w:rsidR="00B9647D" w:rsidRPr="0037337F" w:rsidRDefault="00B9647D" w:rsidP="00B9647D">
      <w:pPr>
        <w:spacing w:line="240" w:lineRule="auto"/>
        <w:jc w:val="both"/>
        <w:rPr>
          <w:rFonts w:ascii="Times New Roman" w:hAnsi="Times New Roman" w:cs="Times New Roman"/>
          <w:sz w:val="24"/>
          <w:szCs w:val="24"/>
        </w:rPr>
      </w:pPr>
      <w:r w:rsidRPr="0037337F">
        <w:rPr>
          <w:rFonts w:ascii="Times New Roman" w:hAnsi="Times New Roman" w:cs="Times New Roman"/>
          <w:sz w:val="24"/>
          <w:szCs w:val="24"/>
        </w:rPr>
        <w:t xml:space="preserve">This research aims to formulate a conceptual model of farmers' social movement based on previous studies, which failed to explain this concept. </w:t>
      </w:r>
      <w:r w:rsidR="001044BB" w:rsidRPr="001044BB">
        <w:rPr>
          <w:rFonts w:ascii="Times New Roman" w:hAnsi="Times New Roman" w:cs="Times New Roman"/>
          <w:sz w:val="24"/>
          <w:szCs w:val="24"/>
        </w:rPr>
        <w:t xml:space="preserve">The Systematic Literature Review (SLR) method with a mixture of qualitative and quantitative approaches was used to conduct this research. </w:t>
      </w:r>
      <w:r w:rsidRPr="0037337F">
        <w:rPr>
          <w:rFonts w:ascii="Times New Roman" w:hAnsi="Times New Roman" w:cs="Times New Roman"/>
          <w:sz w:val="24"/>
          <w:szCs w:val="24"/>
        </w:rPr>
        <w:t xml:space="preserve">Data were obtained from 289 articles sourced from the Scopus Database, with the VOSVIEWER and NVIVO 12 software used to determine the conceptual model. The analysis results showed that this study is associated with farmers’ issues, agricultural governance, agricultural systems, and collaboration of stakeholders in managing agricultural production. These perspectives are used to explain the concepts, topics, and issues of the farmer's social movement, including the role of actors, dynamics of conflict, challenges, and struggles of the movement, processes, conservation, sustainable environment, cooperation, the collaboration of stakeholders, as well as production and marketing of agricultural products.This conceptual model contributes to the development of farmers' social movement studies oriented towards concept development and disclosing issues taking place in the field. </w:t>
      </w:r>
    </w:p>
    <w:p w14:paraId="7D855925" w14:textId="77777777" w:rsidR="00B9647D" w:rsidRPr="0037337F" w:rsidRDefault="00B9647D" w:rsidP="00B9647D">
      <w:pPr>
        <w:spacing w:line="240" w:lineRule="auto"/>
        <w:jc w:val="both"/>
        <w:rPr>
          <w:rFonts w:ascii="Times New Roman" w:hAnsi="Times New Roman" w:cs="Times New Roman"/>
          <w:sz w:val="24"/>
          <w:szCs w:val="24"/>
        </w:rPr>
      </w:pPr>
      <w:r w:rsidRPr="00353110">
        <w:rPr>
          <w:rFonts w:ascii="Times New Roman" w:hAnsi="Times New Roman" w:cs="Times New Roman"/>
          <w:b/>
          <w:bCs/>
          <w:i/>
          <w:iCs/>
          <w:sz w:val="24"/>
          <w:szCs w:val="24"/>
        </w:rPr>
        <w:t>Keywords:</w:t>
      </w:r>
      <w:r w:rsidRPr="0037337F">
        <w:rPr>
          <w:rFonts w:ascii="Times New Roman" w:hAnsi="Times New Roman" w:cs="Times New Roman"/>
          <w:b/>
          <w:bCs/>
          <w:sz w:val="24"/>
          <w:szCs w:val="24"/>
        </w:rPr>
        <w:t xml:space="preserve"> </w:t>
      </w:r>
      <w:r w:rsidRPr="0037337F">
        <w:rPr>
          <w:rFonts w:ascii="Times New Roman" w:hAnsi="Times New Roman" w:cs="Times New Roman"/>
          <w:sz w:val="24"/>
          <w:szCs w:val="24"/>
        </w:rPr>
        <w:t>Farmers Social Movement; Agricultural Governance; Environmentally Sustainable; Agroecology; Government, Farmers.</w:t>
      </w:r>
    </w:p>
    <w:p w14:paraId="1079F1F1" w14:textId="76793DF6" w:rsidR="00353110" w:rsidRPr="00353110" w:rsidRDefault="00353110" w:rsidP="00353110">
      <w:pPr>
        <w:spacing w:after="200" w:line="240" w:lineRule="auto"/>
        <w:jc w:val="center"/>
        <w:rPr>
          <w:rFonts w:ascii="Times New Roman" w:hAnsi="Times New Roman" w:cs="Times New Roman"/>
          <w:b/>
          <w:bCs/>
          <w:sz w:val="24"/>
          <w:szCs w:val="24"/>
        </w:rPr>
      </w:pPr>
      <w:r w:rsidRPr="00353110">
        <w:rPr>
          <w:rFonts w:ascii="Times New Roman" w:hAnsi="Times New Roman" w:cs="Times New Roman"/>
          <w:b/>
          <w:bCs/>
          <w:sz w:val="24"/>
          <w:szCs w:val="24"/>
        </w:rPr>
        <w:t>ABSTRAK</w:t>
      </w:r>
    </w:p>
    <w:p w14:paraId="31436B11" w14:textId="0E11C04B" w:rsidR="00353110" w:rsidRPr="00353110" w:rsidRDefault="00353110" w:rsidP="00353110">
      <w:pPr>
        <w:spacing w:after="200" w:line="240" w:lineRule="auto"/>
        <w:jc w:val="both"/>
        <w:rPr>
          <w:rFonts w:ascii="Times New Roman" w:hAnsi="Times New Roman" w:cs="Times New Roman"/>
          <w:sz w:val="24"/>
          <w:szCs w:val="24"/>
        </w:rPr>
      </w:pPr>
      <w:r w:rsidRPr="00353110">
        <w:rPr>
          <w:rFonts w:ascii="Times New Roman" w:hAnsi="Times New Roman" w:cs="Times New Roman"/>
          <w:sz w:val="24"/>
          <w:szCs w:val="24"/>
        </w:rPr>
        <w:t xml:space="preserve">Paper ini bertujuan untuk memformulasikan konseptual model studi gerakan sosial petani berdasarkan pada penelitian terdahulu. Metode yang digunakan pada penelitian ini adalah metode Systematic Literature Review (SLR) dengan pendekatan campuran kualitatif dan kuantitatif. Pendekatan SLR digunakan untuk mereview 289 artikel yang bersumber dari Scopus Database.Review paper menggunakan software VOSVIEWER dan NVIVO 12 yang menghasilkan data untuk menjawab pertanyaan penelitian, yaitu bagaimana model konseptual studi gerakan sosial petani.Hasil analisis dengan SLR mengungkapkan bahwa studi gerakan sosial petani berkaitan dengan isu-isu gerakan petani, tata kelola pertanian, sistem pertanian, dan kolaborasi stakeholders dalam mengelola produksi pertanian, yang dijelaskan melalui perspektif sosiologi, ilmu lingkungan, dan manajemen pertanian. Perspektif tersebut digunakan untuk menjelaskan konsep, topik, dan isu-isu gerakan sosial petani, meliputi peran aktor, dinamika konflik, tantangan dan perjuangan gerakan, proses gerakan, konservasi, lingkungan berkelanjutan, kerjasama, kolaborasi stakeholders, dan produksi serta pemasaran hasil pertanian. Model konseptual tersebut berkontribusi terhadap pengembangan studi gerakan sosial petani, baik berorientasi pada pengembangan konsep maupun pengungkapan isu-isu gerakan sosial petani yang berlangsung di lapangan. </w:t>
      </w:r>
    </w:p>
    <w:p w14:paraId="53E95FFB" w14:textId="0E171008" w:rsidR="00987E61" w:rsidRDefault="00353110" w:rsidP="00353110">
      <w:pPr>
        <w:spacing w:after="200" w:line="240" w:lineRule="auto"/>
        <w:rPr>
          <w:rFonts w:ascii="Times New Roman" w:hAnsi="Times New Roman" w:cs="Times New Roman"/>
          <w:sz w:val="24"/>
          <w:szCs w:val="24"/>
        </w:rPr>
      </w:pPr>
      <w:r w:rsidRPr="00353110">
        <w:rPr>
          <w:rFonts w:ascii="Times New Roman" w:hAnsi="Times New Roman" w:cs="Times New Roman"/>
          <w:b/>
          <w:bCs/>
          <w:sz w:val="24"/>
          <w:szCs w:val="24"/>
        </w:rPr>
        <w:t>Kata Kunci:</w:t>
      </w:r>
      <w:r w:rsidRPr="00353110">
        <w:rPr>
          <w:rFonts w:ascii="Times New Roman" w:hAnsi="Times New Roman" w:cs="Times New Roman"/>
          <w:sz w:val="24"/>
          <w:szCs w:val="24"/>
        </w:rPr>
        <w:t xml:space="preserve"> Gerakan Sosial Petani; Tata Kelola Pertanian; Lingkungan Berkelanjutan; Agroecology; Stakeholders; Government, Farmers.</w:t>
      </w:r>
    </w:p>
    <w:p w14:paraId="25CEBB1B" w14:textId="77777777" w:rsidR="00353110" w:rsidRDefault="00353110" w:rsidP="00353110">
      <w:pPr>
        <w:spacing w:after="200" w:line="240" w:lineRule="auto"/>
        <w:rPr>
          <w:rFonts w:ascii="Times New Roman" w:hAnsi="Times New Roman" w:cs="Times New Roman"/>
          <w:sz w:val="24"/>
          <w:szCs w:val="24"/>
        </w:rPr>
      </w:pPr>
    </w:p>
    <w:p w14:paraId="3B13F993" w14:textId="1CA6291F" w:rsidR="00197B65" w:rsidRPr="00353110" w:rsidRDefault="00353110" w:rsidP="00353110">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INTRODUCTION</w:t>
      </w:r>
      <w:r w:rsidR="008218B0" w:rsidRPr="00353110">
        <w:rPr>
          <w:rFonts w:ascii="Times New Roman" w:hAnsi="Times New Roman" w:cs="Times New Roman"/>
          <w:b/>
          <w:bCs/>
          <w:sz w:val="24"/>
          <w:szCs w:val="24"/>
        </w:rPr>
        <w:t xml:space="preserve"> </w:t>
      </w:r>
    </w:p>
    <w:p w14:paraId="085A61A2" w14:textId="294F749E" w:rsidR="00197B65" w:rsidRPr="0037337F" w:rsidRDefault="008218B0" w:rsidP="000663AA">
      <w:pPr>
        <w:pStyle w:val="ListParagraph"/>
        <w:spacing w:after="0" w:line="240" w:lineRule="auto"/>
        <w:ind w:left="0" w:firstLine="425"/>
        <w:jc w:val="both"/>
        <w:rPr>
          <w:rFonts w:ascii="Times New Roman" w:hAnsi="Times New Roman" w:cs="Times New Roman"/>
          <w:sz w:val="24"/>
          <w:szCs w:val="24"/>
          <w:lang w:val="id-ID"/>
        </w:rPr>
      </w:pPr>
      <w:r w:rsidRPr="0037337F">
        <w:rPr>
          <w:rFonts w:ascii="Times New Roman" w:hAnsi="Times New Roman" w:cs="Times New Roman"/>
          <w:sz w:val="24"/>
          <w:szCs w:val="24"/>
        </w:rPr>
        <w:t xml:space="preserve">The study of farmers’ social movement discusses the response, reaction, and resistance of farmers to the state and the private sector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{"citationItems":[{"id":"ITEM-1","itemData":{"DOI":"10.1002/(sici)1099-0992(199912)29:8&lt;1073::aid-ejsp986&gt;3.0.co;2-k","abstract":"Social identity theory is employed to conceptualise the role of group identification in the conversion of discontent into participation in political protest. It is assumed that higher levels of group identification stimulate participation in protest on behalf of the group. Perceived characteristics of the intergroup situation such as the permeability of group boundaries, and the stability and legitimacy of intergroup relations are supposed to modify the role of group identification. Group identification is decomposed into an affective and a behavioural component. Furthermore, ingroup identification is distinguished from outgroup differentiation; and groups are defined at different levels of inclusiveness. In a longitudinal study among Dutch farmers (n = 168) the relationship between group identification and protest participation is investigated. Group identification, be it affective or behavioural, appears to influence action preparedness. People seem to enter the protest arena with some level of group identification. This level of group identification sets the level of action preparedness. Once set, the level of action preparedness remains fairly stable over time and appears to be a strong predictor of future action preparedness and participation. Action preparedness in its turn together with the behavioural component of group identification influences actual participation in collective action. Outgroup differentiation did not have any impact on protest participation. Identification with farmers in the European Union did not matter, but identification with farmers at the national or regional level did stimulate protest participation. Perceived characteristics of the intergroup situation did not have an impact on group identification, but permeability and stability did affect protest participation. Theoretical implications of the findings are discussed. Copyright © 1999 John Wiley &amp; Sons, Ltd.","author":[{"dropping-particle":"","family":"Weerd","given":"Marga","non-dropping-particle":"De","parse-names":false,"suffix":""},{"dropping-particle":"","family":"Klandermans","given":"Bert","non-dropping-particle":"","parse-names":false,"suffix":""}],"container-title":"European Journal of Social Psychology","id":"ITEM-1","issue":"8","issued":{"date-parts":[["1999"]]},"page":"1073-1095","title":"Group identification and political protest: Farmers' protest in the Netherlands","type":"article-journal","volume":"29"},"uris":["http://www.mendeley.com/documents/?uuid=173e3396-17ae-4e3f-9ae1-6b0eec0f511e"]},{"id":"ITEM-2","itemData":{"DOI":"10.1080/03066159408438556","ISSN":"03066150 (ISSN)","author":[{"dropping-particle":"","family":"Lindberg","given":"S","non-dropping-particle":"","parse-names":false,"suffix":""}],"container-title":"The Journal of Peasant Studies","id":"ITEM-2","issue":"3-4","issued":{"date-parts":[["1994"]]},"language":"English","note":"Cited By :14\n\nExport Date: 3 March 2021\n\nCorrespondence Address: Lindberg, S.; Department of Sociology, Box 114, 221 00, Lund, Sweden\n\nFunding details: National Institute of Agrobiological Sciences, NIAS\n\nFunding text 1: Staffan Lindberg, Department of Sociology, University of Lund, Box 114, 221 00 Lund, Sweden. This article is based on a research project on 'The New Peasant Movements in India' at the Department of Sociology, University of Lund, Sweden. It has received financial support from SAREC, Stockholm and NIAS, Copenhagen. Thanks are due to Tom Brass for his comments and suggestions.\n\nReferences: Irma, A., Economic Development and Political Change in Developing Countries (1980) Social Research, XLVII (2); \nIrma, A., Beyond Export-Led Growth (1984) World Development, XII (9);\nAdelman, I., Taft-Morris, C., Patterns of Industrialization in the Nineteenth Century (1980) Research in Economic History;\nFrancesco, A., (1984) Movement and Institution, , New York: Columbia University Press;\nAlexander, K.C., (1981) Peasant Organizations in South India, , New Delhi: Indian Social Institute;\nVenkatesh, A., Djurfeldt, G., Lindberg, S., (1990) Barriers Broken: Production Relations and Agrarian Change in Tamil Nadu, , New Delhi: Sage Publications;\nAttwood, D., Why Some of the Rich Get Poorer (1979) Current Anthropology, 20 (3);\nPaul, B., Agriculture and the Industrial Revolution (1973) The Fontana Economic History of Europe.: The Industrial Revolution, , Carlo M. Cipolla,(ed.) London: Collins/Fontana Books;\nJairus, B., Illusions About the Peasantry: Karl Kautsky and the Agrarian Question (1990) Journal of Peasant Studies, 17 (2);\nNripen, B., (1992) The Story of Peasant Struggles for Land Reforms in West Bengal, , Paper for the Workshop on ‘Social Movements, State and Democracy’ organized by the Delhi University Group in Politics and the Indian Statistical Institute Sociology Group, New Delhi, 5–8 Oct. 1992;\nBenedict, M., (1953) Farm Policies of the United States 1790-1950, , A Study of Their Origins and Development, New York: The Twentieth Century Fund;\nSheila, B., Changes in Acreage and Tenure Structure of Land Holdings in Haryana, 1962-72 (1977) Economic and Political Weekly, 12 (13);\nBlock, W.J., (1960) The Separation of the Farm Bureau and the Extension Service. Political Issues in a Federal System, , Urbana, IL: University of Illinois Press;\nByres, T., Of Neo-Populist Pipe-Dreams: Daedulus in the Third World and the Myth of Urban Bias (1979) Journal of Peasant Studies, 6 (2);\nCain, M., Risk and Insurance: Perspectives on Fertility and Agrarian Change in India and Bangladesh (1981) Population and Development Review, 7 (3);\nCohen, J.L., Strategy or Identity: New Theoretical Paradigms and Contemporary Social Movements (1985) Social Research, 52 (4);\nCrampton, J.A., (1965) The National Farmers’ Union, , Lincoln, NE: University of Nebraska Press;\nDhanagare, D.N., Shetkari Sanghatana: The Farmers’ Movement in Maharashtra-Background and Ideology (1990) Social Action, 40 (4);\nDhanagare, D.N., An Apoliticist Populism: A Case Study of BKU (1991) Country-Town Nexus, , K.L., Sharma and Dipankar Gupta (eds.) Jaipur: Rawat Publications;\nGoran, D., Classical Discussions of Capital and Peasantry: A Critique (1983) Rural Development. Theories of Peasant Economy and Agrarian Change, , John Harriss(ed.) London: Hutchinson University Library;\nEsman, M.J., Uphof, N.T., (1984) Local Organizations. Intermediaries in Rural Development, , Ithaca, NY and London: Cornell University Press;\nRon, E., Jamison, A., (1991) Social Movements. A Cognitive Approach, , Cambridge: Polity Press;\nXavier, F., (1970) Agricultural Organization and Development, , Geneva: International Labour Office;\nAlexander, G., (1966) Bread and Democracy in Germany, , New York: Harold Fertig;\nPeter, G., (1988) Sociale bevaegelser og samfundsaendringer, , (Social movements and Social Change), Nye sociala grupperinger og deres organisationsformer ved overgangen til aendrede samfundstyper, Aarhus: Politica;\nChrister, G., Economic and Demographic Transition in East Asia (1992) Economic Modernisation vs Family Planning in Taiwan, , Michael, Hammarskjold, B. Egerö and S. Lindberg, (eds.)Population and the Development Crises in the South Lund: Programme on Population and Development in Poor Countries;\nDipankar, G., Country-Town Nexus and Agrarian Mobilization, Bharatiya Kisan Union as an Instance (1988) Economic and Political Weekly, 23 (51);\nDipankar, G., Peasant “Unionism” in West U.P. (India): Against the Rural Mentality Thesis (1992) Journal of Contemporary Asia, 22 (2);\nThomas, H., Protest, frigörelse eller manipulation-om studiet af sociale og politiske bevaegelser i den tredje verden (1991) Den Nye Verden, 4 (24);\nJohn, H., What Happened to the Green Revolution in South India? (1985), Economic Trends, Household Mobility, and the Politics of an “Awkward Class’”, University of East Anglia, School of Development Studies, Discussion Paper No. 175; Zoya, H., Self-Serving Guardians: Formation and Strategy of the Bharatiya Kisan Union (1989) Economic and Political Weekly, 24 (48);\nZoya, H., Patnaik, U., (1992) Aspects of the Farmers, , Movement in Uttar Pradesh in the Context of Uneven Growth of Capitalist Agriculture’, New Delhi: Jawaharlal Nehru University, mimeo;\nRudolf, H., Types and Functions of Social Movements (1968) International Encyclopedia of the Social Sciences, , David L. Sills(ed.) London: The Macmillan Company;\nHicks, J.D., (1931) The Populist Revolt, , Minneapolis, MN: University of Minnesota Press;\nJenkins, J.C., Resource Mobilization Theory and the Study of Social Movements (1983) Annual Review of Sociology, 9;\nGavin, K., (1982) Development and Underdevelopment in Historical Perspective. Populism, Nationalism and Industrialization, , London: Methuen;\nKoll, A., Peasant Movements and Democracy in Eastern Europe in the Early 20th Century (1992) When Democracy Makes Sense. Studies in the Democratic Potential of Third World Popular Movements, , L. Rudebeck(ed.) Uppsala: AKUT;\nErnesto, L., New Social Movements and the Plurality of the Social (1985) New Social Movements and the State in Latin America, , David Slater(ed.) Amsterdam: CEDLA;\nErnesto, L., (1990) New Reflections on the Revolution of Our Time, , London: Verso;\nErnesto, L., Mouffe, C., (1985) Hegemony and Socialist Strategy, , London: Verso;\nCornelia, L., Sharad Joshi and the Farmers: The Middle Peasant Lives’ (1988) Pacific Affairs, 61 (3);\nLipset, S., (1950) Agrarian Socialism, , Berkeley, CA: University of California Press;\nLipton, M., (1977) Why Poor People Stay Poor: A Study of Urban Bias in World Development, , London: Temple Smith;\nMadsen, S., Clan, Kinship and Panchayat Justice among the Jats of Western Uttar Pradesh (1991) Anthropos, (86);\nKarl, M., The Eighteenth Brumaire of Louis Bonaparte (1967) On Historical Materialism, , K. Marx, F. Engels, and V. Lenin Moscow: Progress Publishers;\nMcKenna, G., (1974) American Populism, , New York: G.P. Putnam’s Sons;\nAlberto, M., The Symbolic Challenge of Contemporary Movements (1985) Social Research, 52 (4);\nAlberto, M., (1989) Nomads of the Present: Social Movements and Individual Needs in Contemporary Society, , Philadelphia, PA: Temple University Press;\nAlberto, M., Frontier Land: Collective Action between Actors and Systems (1992) Studying Collective Action, , Diano, Mario and Ron Eyerman (eds.) London: Sage Publications;\nNadkarni, M.V., (1987) Farmers’ Movements in India, , New Delhi: Allied Publishers Private Limited;\nAnthony, O., (1973) Social Conflicts and Social Movements, , Englewood Cliffs, NJ: Prentice-Hall;\nGail, O., Cane Farmers’ Movement (1980) Economic and Political Weekly, 15 (49);\nGail, O., Capitalist Agriculture and Rural Classes in India Bulletin of Concerned Asian Scholars, 15 (3);\nGail, O., The “New Peasant Movement (1988) India’, Bulletin of Concerned Asian Scholars, 20 (2);\nGail, O., India’s Movements for Democracy: Peasants, “Greens (1989), Women and People’s Power’, unpublished manuscript; Gail, O., (1991) Jotiba Phule and the Analysis of Peasant Exploitation, , Paper presented at the Seminar on ‘Mahatma Jyotirao Phule-An Incomplete Renaissance’, Centre for Social Studies, Surat, 9–11 Jan 1991;\nGail, O., Shetkari Sanghatana’s New Direction (1991) Economic and Political Weekly, , 5 Oct;\nGail, O., (1992) Peasants, Dalits and Women: Democracy and India’s New Social Movements, , Draft of paper for the Workshop on ‘Social Movements, State and Democracy’ organised by the Delhi University Group in Politics and the Indian Statistical Institute Sociology Group, New Delhi, 5–8 Oct;\nGail, O., (1992) Interview with Sharad Joshi, , unpublished ms;\nGail, O., (1993) Reinventing Revolution, , New York: M.E. Sharpe;\nOsterud, O., (1978) Agrarian Structure and Peasant Politics in Scandinavia, , Oslo: Universitetsforlaget;\nUtsa, P., Food Economy in Peril (1991) Frontline, , 31 Aug.-13 Sept;\nRao, V.M., Land Transfers in Rural Communities: Some Findings in a Ryotwari Region (1972) Economic and Political Weekly, 7 (40);\nJoachim, R., (1985) Sozialae Bewegungen: Ein Historisch-sytematischer Grundriss, , Frankfurt/Main: Campus Verlag;\n(1986) Report from the Flaming Fields of Bihar, , Calcutta: Sree Art Press;\nRudolph, L.I., Rudolph, S.H., (1987) In Pursuit of Lakshmi. The Political Economy of the Indian State, , Bombay: Orient Longman;\nGirish, S., The New Farmers’ Movement in Maharashtra (1989) Peasant Movement in Modern India, , Sunil Sahasrabudhey S.(ed.) Allahabad: Cugh Publications;\nSarma, D.S., The Nature and History of Hinduism (1953) The Religion of the Hindus. Interpreted by Hindu, , Kenneth W. Morgan(ed.) New York: The Ronald Press Co;\nSunil, S., (1982) Peasant Movements in India, , Calcutta: K P Bagchi &amp;amp; Company;\nSchumacher, E.F., (1973) Small is Beautiful Economics as if People Mattered, , New York: Harper &amp;amp; Row;\nDieter, S., (1985) The European Experience: A Historical Critique of Development Theory, , Dover: NH Berg;\nDieter, S., European Development and the Third World (1988) An Assessment Review, XI (1);\nTeodor, S., Class, States and Revolution: Substitutes and Realities (1982) Introduction to the Sociology of Developing Societies, , H. Alavi and T. Shanin (eds.) London: Macmillan;\nJagpal, S., (1992) Capitalism and Dependence, Agrarian Politics in Western Uttar Pradesh 1951–1991, , New Delhi: Manohar;\nRune, S., Agriculture-Not the Leading but the Crucial Sector in Economic Development. Some Reflections on Experience and Theory (1991) Asian Society in Comparative Perspective, , Olle Törnquist and Karl-Reinhold Haellquist (eds.) Papers presented to the 7th Annual Conference of the Nordic: Association for Southeast Asian Studies, Möjn, Denmark 1990;\nSorokin, P.A., (1930) A Systematic Source Book of Rural Sociology, , 32 Minneapolis, MN: University of Minnesota Press;\nCharles, T., Tilly, L., Tilly, R., (1975) The Rebellious Century: 1830–1930, , Cambridge, MA: Harvard University Press;\nCharles, T., (1978) From Mobilization to Revolution, , New York: Random House;\nAlain, T., (1984) The Voice and the Eye. An Analysis of Social Movements, , New York: Cambridge University Press;\nAchin, V., (1990) The Painful Transition. Bourgeois Democracy in India, , London: Verso","page":"95-125","publisher-place":"Department of Sociology, University of Lund, Box 114, 221 00, Lund, Sweden","title":"New Farmers’ Movements in India as Structural Response and Collective Identity Formation: The Cases of the Shetkari Sanghatana and the BKU","type":"article-journal","volume":"21"},"uris":["http://www.mendeley.com/documents/?uuid=188d5a86-a340-43d9-bae9-c01ea635d359"]}],"mendeley":{"formattedCitation":"(Lindberg, 1994; De Weerd and Klandermans, 1999)","plainTextFormattedCitation":"(Lindberg, 1994; De Weerd and Klandermans, 1999)","previouslyFormattedCitation":"(Lindberg, 1994; De Weerd and Klandermans, 1999)"},"properties":{"noteIndex":0},"schema":"https://github.com/citation-style-language/schema/raw/master/csl-citation.json"}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(Lindberg, 1994; De Weerd and Klandermans, 1999)</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Generally, this study is focused on the efforts of farmers to fight for their land rights, equality and justice for agricultural production, prices of commodities, and welfare. This is also associated with the democratization of agricultural affairs management such as making and determining seeds, access to information and policies, involvement in policy formulation, as well as farmers’ autonomy and freedom</w:t>
      </w:r>
      <w:r w:rsidRPr="0037337F">
        <w:rPr>
          <w:rFonts w:ascii="Times New Roman" w:hAnsi="Times New Roman" w:cs="Times New Roman"/>
          <w:sz w:val="24"/>
          <w:szCs w:val="24"/>
        </w:rPr>
        <w:fldChar w:fldCharType="begin" w:fldLock="1"/>
      </w:r>
      <w:r w:rsidR="0037337F" w:rsidRPr="0037337F">
        <w:rPr>
          <w:rFonts w:ascii="Times New Roman" w:hAnsi="Times New Roman" w:cs="Times New Roman"/>
          <w:sz w:val="24"/>
          <w:szCs w:val="24"/>
        </w:rPr>
        <w:instrText>ADDIN CSL_CITATION {"citationItems":[{"id":"ITEM-1","itemData":{"DOI":"10.1177/0032329213493751","ISSN":"00323292 (ISSN)","abstract":"While struggles over land dispossession have recently proliferated across the developing world and become particularly significant in India, this paper argues that existing theories of political agency do not capture the specificity of the politics of dispossession. Based on two years of ethnographic research on anti-dispossession movements across rural India, the paper argues that the dispossession of land creates a specific kind of politics, distinct not just from labor politics, but also from various other forms of peasant politics that have been theorized in the social sciences. It illustrates how the process of land dispossession itself shapes the targets, strategy and tactics, organization, social composition, goals, and ideologies of anti-dispossession struggles. It concludes with reflections on why land conflicts are less easily institutionalized than labor conflicts and may therefore constitute a significantly disruptive force in the emerging centers of global capitalism for the foreseeable future. © 2013 SAGE Publications.","author":[{"dropping-particle":"","family":"Levien","given":"M","non-dropping-particle":"","parse-names":false,"suffix":""}],"container-title":"Politics and Society","id":"ITEM-1","issue":"3","issued":{"date-parts":[["2013"]]},"language":"English","note":"Cited By :87\n\nExport Date: 3 March 2021\n\nCorrespondence Address: Levien, M.; Department of Sociology, 533 Mergenthaler Hall, 3400 N. Charles St., Baltimore, MD 21218, United States; email: levien@jhu.edu\n\nFunding details: Ministry of Environment and Forests, MoEF\n\nFunding text 1: I have tried to show that the process of land dispossession creates a distinct form of politics with certain generic features as well as identifiable axes of variation. The use of extra-economic state force to achieve dispossession creates movements that target first and foremost the state, and specifically the particular administrative level where expropriation is enacted. The transparency of the state’s role means that it must justify its expropriations by aligning them with a concept of development whose persuasiveness will crucially affect the emergence and success of anti-dispossession movements. Because the dispossession of land is both more existentially threatening than the expropriation of surpluses, and one-off in nature, it is impossible to fight it successfully through “everyday” means. Resistance tends to be overt and takes the form of spatial struggles at the point of enclosure in which various means—physical, legal, and political—are brought to bear to defend land against co-optation and violent removal. With dispossession, everyday forms of repossession are ways of mitigating defeat, not achieving success. Because dispossession is orthogonal to, and neglected by, existing forms of political and social organization, these overt struggles tend to be organized through local, ad-hoc, autonomous organizations created specifically for the purpose. Combined with the fact that dispossession is experienced in many different forms, this creates a proliferation of localized “single-issue” movements. In India, these movements have, for years, been forming alliances with each other (NAPM), but some are now being absorbed into the armed Maoist insurgency, and others are eliciting limited support from political parties. Anti-dispossession movements are by nature cross-class; however, their exact composition and degree of internal contradiction vary massively. Locally distinct agrarian social structures, political histories, and different geographies of dispossession combine to create movements with diverse goals and ideologies. Some constitute a non-compromising countermovement against the forcible commodification of land; others are fighting for concessions on the terrain of commodification itself. Among both we find highly diverse political ideologies that do not neatly map onto the major political tendencies that organize electoral politics. Although these features of dispossession politics are not exhaustive, I offer them as basic coordinates to stimulate refinement or reconstruction based on further comparative research. Though drawn from the experience of dispossession politics in India, a few words are in order about their applicability to other contexts. While we can expect great variation in the specifics of dispossession politics across countries, I believe that the features presented above are sufficiently general—and genetically linked to the experience of land dispossession—that they should have fairly wide applicability to movements fighting state-led dispossession of agricultural land in other countries. We can expect to see significant differences in struggles over forest rights (in which poaching, arson, and “everyday forms” of resistance are common) and in the piecemeal “intimate dispossessions” that occur when local actors struggle over insecure or ambiguous property rights in the absence of state involvement. 159 Further, while land acquisition in India is a fairly rationalized state procedure (eminent domain laws have been on the books since the nineteenth century), in other countries and perhaps especially in conflict situations, the state can be relatively less central to land dispossession compared to non-state wielders of coercion, such as paramilitaries, 160 corporate security forces, drug cartels, or rural elites with what Marx calls “their little independent methods.” 161 Such circumstances of rampant non-state violence are hardly conducive to the kinds of politics illustrated above. Nevertheless, the type of state-led land dispossession described here is sufficiently widespread that the framework suggested here should be relevant to a large domain of politics in many countries. Having sketched the contours of a particular kind of politics formed though processes of land dispossession, I would like to conclude with some observations about its likely significance for India and, perhaps, other emerging centers of global capitalism. Given the above, it should already be apparent that states will face several obstacles to institutionalizing conflict around land in a way that is analogous to collective bargaining for labor. Unlike labor, land is essentially a zero-sum asset. Its supply is finite, it is currently in high demand for both agricultural and non-agricultural uses, and these uses are not compatible. While the surplus created by labor can be shared between a capitalist and laborer in a way that might align their interests, land can either stay with a farmer or be given to a capitalist. As we have seen, the loss of land constitutes a large, transparent, and irreversible threat to farmers’ livelihoods and even ways of life. To get farmers to comply with dispossession, states must either mobilize coercion, normative persuasion, or substantial material inducements. Coercion will continue to be used, especially in remote areas inhabited by the most marginalized groups. However, this is likely to further alienate agriculturalists and increase opposition; its use will become more difficult as the issue attracts more media attention and achieves greater political salience. India’s burgeoning Maoist insurgency is good evidence of how such a strategy can backfire. The second option, persuading farmers that it is their patriotic duty to sacrifice their land for national development, is increasingly difficult as the state dispossesses land for private and sometimes foreign companies for increasingly real estate-driven purposes. I have argued here and elsewhere that India’s proliferating land wars are, to a large extent, a consequence of a neoliberal regime of dispossession that lacks the ideological legitimacy of its predecessor. 162 Apart from abandoning this neoliberal regime, the third strategy of securing compliance through material compensation is probably the only option available. This is the strategy that India’s central and state governments are currently pursuing as they devise amendments to the central Land Acquisition Act and institute state resettlement and rehabilitation policies. The intention of these legislative and policy interventions is to dissipate land wars and ensure a predictable supply of land for capital by giving farmers a larger stake in the accumulation generated by dispossession. 163 There are, however, significant obstacles to such a class compromise. One obstacle is the ability of private capitalists to agree on the need for concessions, which has not been the case so far in India. With different industry organizations disagreeing on the need for more liberal compensation, 164 the current draft of India’s amendment to the central Land Acquisition Act has seen its more liberal provisions watered down. 165 If passed in this less liberal form, it will decrease the likelihood that this legislation will be effective at quelling farmer opposition, to the detriment of the long-term interests of capitalists themselves. A second obstacle is the lack of enduring organizational vehicles that can be co-opted as negotiating partners. As we have seen, dispossession is a serial process that usually occurs only once for any particular farmer; for each instance of dispossession, bargaining has to begin afresh with new individuals. The ad-hoc, autonomous, and often transient nature of the organizations farmers create to fight dispossession makes it impossible for states to forge long-term relations (analogous to those with unions) that would facilitate stable compromises. The need to repeatedly negotiate with new individuals and their informal organizations multiplies the likelihood of opposition and greatly decreases the predictability of compliance. Finally, there is a third and more fundamental obstacle. The idea of utilizing the exchange value of land to build a class compromise between capital and farmers assumes what needs to be explained: how farmers come to value their land at its exchange value in the first place. As we have seen, this cannot be taken for granted. Just as class compromise can only be built with workers once they have accepted the principle of exchanging their labor for a wage, a class compromise around land dispossession requires that farmers accept the principle of exchanging their land for a price. Whether all farmers have their price remains to be seen; what is clear is that India’s land wars provide numerous examples of farmers refusing to give their land even when offered significant sums of money. So long as they refuse to treat their land at its exchange value, they cannot be brought into a class compromise on the terrain of commodification. Until and unless such nonmarket orientations to land are significantly unhinged, which at present seems remote, it is unlikely that states will be able to institutionalize material compliance to dispossession in the near term. It is more likely that farmers will continue to effectively use the levers of democracy to impede the state’s ability to transfer land to capital. In hundreds of villages across India, farmers are currently using the strategies and tactics discussed in this paper to make themselves significant obstacles to capitalist development. Almost all of the movements discussed in this paper have succeeded in stopping or significantly stalling the projects that are premised upon their dispossession. Some have no interest in the forms of development proposed for their land; others are fighting to be incorporated into it on better terms. Combined, nevertheless, they are making it increasingly difficult for capitalists to obtain that seemingly mundane but crucial condition of accumulation: a physical place on Earth. Beyond disrupting accumulation by dispossession, the ultimate political direction of these movements is varied and their ability to articulate compelling and viable alternatives remains uncertain. What we can say, for now, is that peasants continue to make significant interventions in history, and that these are increasingly shaped by the process of dispossession. 166 I would like to thank Amita Baviskar, Fred Block, Michael Burawoy, Phillip Campanile, Jia-Ching Chen, Laura Enriquez, Eli Friedman, Gillian Hart, Suchi Pande, Marcel Paret, Raka Ray, Aseem Srivastava, Michael Watts, participants of the Yale Modern South Asia Workshop, and the Politics &amp;amp; Society editors for their helpful comments and criticisms. Declaration of Conflicting Interests The author declared no potential conflicts of interest with respect to the research, authorship, and/or publication of this article. Funding The author received no financial support for the research, authorship, and/or publication of this article. 1. David Harvey, The New Imperialism (Oxford: Oxford University Press, 2003). 2. See the collection of articles in the special issue on “Land: A New Wave of Accumulation by Dispossession in Africa?,” Review of African Political Economy 38, no. 128 (2011). See also Kojo Sebastian Amanor, “Global Resource Grabs, Agribusiness Concentration and the Smallholder: Two West African Case Studies,” Journal of Peasant Studies 39, no. 3-4: 731-750; Philip Woodhouse, “New Investment, Old Challenges: Land Deals and the Water Constraint in African Agriculture,” Journal of Peasant Studies 39, no. 3-4: 777-794; Tom Lavers, “Patterns of Agrarian Transformation in Ethiopia: State-mediated Commercialisation and the ‘Land Grab,’” Journal of Peasant Studies 39, no. 3-4: 795-822; Ruth Hall, “The Next Great Trek? South African Commercial Farmers Move North,” Journal of Peasant Studies 39, no. 3-4: 823-844; and “Large-scale Land Deals from the Inside Out: Findings from Kenya’s Tana Delta,” Journal of Peasant Studies 39, no. 3-4: 1039-1076. 3. See, for example, Derek Hall, Philip Hirsch, and Tanya Li, Powers of Exclusion: Land Dilemmas in Southeast Asia (Singapore: Nus Press, 2011); Derek Hall, “Land Grabs, Land Control, and Southeast Asian Crop Booms,” Journal of Peasant Studies 38, no. 4 (2011): 837-857; Tania Li, The Will to Improve: Governmentality, Development and the Practice of Politics (Durham: Duke University Press, 2007); Miles Kenney-Lazar, “Plantation Rubber, Land Grabbing and Social-Property Transformation in Southern Laos,” Journal of Peasant Studies 39, no. 3-4: 1017-1038. 4. For an overview, see the special issue on “Land Grabbing in Latin America,” Canadian Journal of Development Studies 33, no. 4 (2012); and Saturnino M. Borras Jr., Jennifer C. Franco, Sergio Gomez, Crisobal Kay, and Max Spoor, “Land Grabbing in Latin America and the Caribbean,” Journal of Peasant Studies 39, no. 3-4: 845-872. 5. See “Rural Population,” The World Bank (2012). Available at: http://data.worldbank.org/indicator/SP.RUR.TOTL . Accessed March 15, 2013. The intersection of exceptionally fast growth rates and large peasantries with very small holdings may be partly responsible for the particular significance of land dispossession in India and China. One should also note that whereas “land grabs” in Africa and Latin America appear to be primarily driven by agribusiness, biofuels, and to a lesser extent, mineral extraction, in India and China they are primarily driven by urban-industrial development. 6. See You-Tien Hsing, The Great Urban Transformation: Politics of Land and Property in China (Oxford: Oxford University Press, 2010), 182-183. 7. See Landesa Rural Development Institute, “Summary of 2011 Seventeen-Province Survey’s Findings” (2011). Available at: http://www.landesa.org/news/6th-china-survey/ . Accessed February 25, 2012. 8. In a visit to Guandong in February 2012, Jiabao made farmers’ rights a central theme and acknowledged the problem of land grabs, saying, “The root of the problem is that the land is the property of the farmers, but this right has not been protected in the way it should be.” Quoted in Elizabeth C. Economy, “A Land Grab Epidemic: China’s Wonderful World of Wukans,” Council on Foreign Relations (2012). Available at: http://blogs.cfr.org/asia/2012/02/07/a-land-grab-epidemic-chinas-wonderful-world-of-wukans/ . Accessed August 15, 2012. 9. Hsing shows that the central government has made some efforts to prosecute corrupt officials, cancel development zones, and to take some power away from local governments. However, she also argues that this is motivated not just by political considerations, but by concerns about macroeconomic overheating. See Hsing, Greater Urban Transformation , 213. In 2011, after Hsing’s study, the Chinese government passed a new law on forced evictions, and is now considering a reform to its land “takings” law. 10. The most comprehensive study to date, led by Walter Fernandes, has put the total number of displaced for development projects in India between 1947 and 2004 at 60 million people. According to Fernandes, while adivasis constitute 8.6 percent of India’s population, they make up 40 percent of the displaced, with Dalits comprising another 20 percent. See Walter Fernandes, “Sixty Years of Development-induced Displacement in India,” in H. M. Mathur, ed., India Social Development Report 2008: Development and Displacement (New Delhi: Oxford University Press, 2008), 91-92. 11. For an analysis of this shift, see Devparna Roy, “Gujarat’s Gain and West Bengal’s Loss? ‘Development,’ Land Acquisition in India, and the Tata Nano Project: A Comparison of Singur with Sanand” (paper presented at the Land Deal Politics Initiative Conference on Global Land Grabbing, Institute of Development Studies, Sussex, United Kingdom, April 6-8, 2011). 12. For a more complete analysis of how the changing character of dispossession in post-liberalization India is contributing to the proliferation and success of land wars, see Michael Levien, “Regimes of Dispossession: From Steel Towns to Special Economic Zones,” Development and Change 44, no. 2(2013): 381-407. 13. There is, of course, a large literature in institutional economics, which holds that the protection of private property is the cornerstone of economic growth. See, for example, Douglass North, Institutions, Institutional Change and Economic Performance (Cambridge: Cambridge University Press, 1990). As a more recent statement puts it, “a cluster of institutions ensuring secure property rights for a broad cross section of society, which we refer to as the institutions of private property , are essential for investment incentives and economic performance.” See Daron Acemoglu, Simon Johnson, and James. A. Robinson, “Reversal of Fortune: Geography and Institutions in the Making of the Modern World Income Distribution,” The Quarterly Journal of Economics 107(2002): 1235. However, facilitating large private investments in a country where the majority of available land is in the hands of a small-holding peasantry has proven to be dependent on a growing state willingness to dispossess rather than protect the private property of rural agriculturalists. The accelerating use of eminent domain in India and elsewhere suggests that rapid economic growth appears to be based on the selective protection of private property. 14. One private consultancy has estimated that in 2011-2012, capital investment projects worth Rs. 2.7 trillion ($54 billion) were stalled, mostly due to uncertainties in land availability. See Center for Monitoring Indian Economy Pvt. Ltd., “Sharp increase in projects getting shelved,” (2012). Available at: http://www.cmie.com/kommon/bin/sr.php?kall=wclrdhtm.php&amp;amp;cmienvdt=20120704101759176&amp;amp;pc=099000000000&amp;amp;type=INSIGHTS . Accessed August 15, 2012. 15. While Ashutosh Varshney argues that a democratic system introduced before an industrial revolution empowers the countryside, his main example is the new farmers’ movements demanding subsidies and higher prices. That land rather than agricultural surpluses would be the source of conflict between urban capital and the countryside was anticipated by no one—until the land wars of the last five to seven years. See Ashutosh Varshney, Democracy, Development, and the Countryside (Cambridge: Cambridge University Press, 1995). In an urban context, Liza Weinstein also observes how democratic institutions, combined with the concern of investors to avoid political snags, has forced authorities in Mumbai to at least consult with those being evicted for slum redevelopment. See Liza Weinstein, “Democracy in the Globalizing Indian City: Engagements of Political Society and the State in Globalizing Mumbai,” Politics &amp;amp; Society 37, no. 3 (2009): 397-427. 16. Harvey, The New Imperialism , 169-171. 17. See, for example, Gail Omvedt, Reinventing Revolution: New Social Movements and the Socialist Tradition in India (Armonk: M.E. Sharpe, 1993). 18. Michael Hardt and Antonio Negri, Empire (Cambridge: Harvard University Press, 2000); Michael Hardt and Antonio Negri, Multitude: War and Democracy in the Age of Empire (New York: Penguin, 2004). 19. Partha Chatterjee, The Politics of the Governed: Reflections on Popular Politics in Most of the World (New York: Columbia University Press, 2005). 20. See Michael Levien, “Special Economic Zones and Accumulation by Dispossession in India,” Journal of Agrarian Change 11, no. 4 (2011): 454-483. 21. Harvey, The New Imperialism , 168, 174. 22. Ibid., 169, 179. 23. See Fred Block, “Introduction,” in Karl Polanyi, The Great Transformation: The Political and Economic Origins of Our Time (Boston: Beacon, [1944] 2001): xviii-xxxviii; Michael Burawoy, “For a Sociological Marxism: The Complementary Convergence of Antonio Gramsci and Karl Polanyi,” Politics &amp;amp; Society 31, no. 2 (2003): 193-261; Giovanni Arrighi and Beverly Silver, “Polanyi’s ‘Double Movement’: The Belle Epoques of British and US Hegemony Compared,” Politics &amp;amp; Society 31, no. 2 (2003): 325-355; Beverly Silver, Forces of Labor: Workers’ Movements and Globalization Since 1870 (Cambridge: Cambridge University Press, 2003); Peter Evans, “Is an Alternative Globalization Possible?” Politics &amp;amp; Society 36, no. 2 (2008): 271-305; Ayse Bugra and Kaan Agartan, eds., Reading Karl Polanyi for the 21 st Century (New York: Palgrave, 2007). 24. See Polanyi, The Great Transformation. 25. See Burawoy, “Sociological Marxism,” 213. 26. See Michael Burawoy, “From Polanyi to Pollyanna: The False Optimism of Global Labor Studies,” Global Labour Journal 1, no. 2 (2010): 308. 27. See Andrew G. Walder, “Political Sociology and Social Movements,” Annual Review of Sociology 35 (2009): 393-412. 28. Though in his late writings, Marx himself backed away from this position. See Theodore Shanin, Late Marx and the Russian Road: Marx and the Peripheries of Capitalism (New York: Monthly Review Press, 1983). 29. See Vladimir I. Lenin, The Development of Capitalism in Russia (Moscow: Progress Publishers, 1967); Karl Kautsky, The Agrarian Question (London: Zwan Publications, 1988). 30. See Barrington Moore, Social Origins of Dictatorship and Democracy: Lord and Peasant in the Making of the Modern World (Boston: Beacon Press, 1966); Eric Wolf, Peasant Wars of the Twentieth Century (Norman, OK: University of Oklahoma Press, 1999); Jeffrey Paige,","page":"351-394","publisher-place":"Johns Hopkins University, United States","title":"The Politics of Dispossession: Theorizing India's \"Land Wars\"","type":"article-journal","volume":"41"},"uris":["http://www.mendeley.com/documents/?uuid=2100f31a-6162-4a8f-ad9b-b504ab7ebc43"]}],"mendeley":{"formattedCitation":"(Levien, 2013)","plainTextFormattedCitation":"(Levien, 2013)","previouslyFormattedCitation":"(Levien, 2013)"},"properties":{"noteIndex":0},"schema":"https://github.com/citation-style-language/schema/raw/master/csl-citation.json"}</w:instrText>
      </w:r>
      <w:r w:rsidRPr="0037337F">
        <w:rPr>
          <w:rFonts w:ascii="Times New Roman" w:hAnsi="Times New Roman" w:cs="Times New Roman"/>
          <w:sz w:val="24"/>
          <w:szCs w:val="24"/>
        </w:rPr>
        <w:fldChar w:fldCharType="separate"/>
      </w:r>
      <w:r w:rsidRPr="0037337F">
        <w:rPr>
          <w:rFonts w:ascii="Times New Roman" w:hAnsi="Times New Roman" w:cs="Times New Roman"/>
          <w:noProof/>
          <w:sz w:val="24"/>
          <w:szCs w:val="24"/>
        </w:rPr>
        <w:t>(Levien, 2013)</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Mooney (2004) stated that the study of farmers' social movements also focused on the formulation of concepts, strategies, goals, and the formation of farming networks. The focus of the study on farmers’ social movements is sociological issues, explained from the perspective of social, power, and capital theories sourced from sociology</w:t>
      </w:r>
      <w:r w:rsidRPr="0037337F">
        <w:rPr>
          <w:rFonts w:ascii="Times New Roman" w:hAnsi="Times New Roman" w:cs="Times New Roman"/>
          <w:sz w:val="24"/>
          <w:szCs w:val="24"/>
        </w:rPr>
        <w:fldChar w:fldCharType="begin" w:fldLock="1"/>
      </w:r>
      <w:r w:rsidR="0037337F" w:rsidRPr="0037337F">
        <w:rPr>
          <w:rFonts w:ascii="Times New Roman" w:hAnsi="Times New Roman" w:cs="Times New Roman"/>
          <w:sz w:val="24"/>
          <w:szCs w:val="24"/>
        </w:rPr>
        <w:instrText>ADDIN CSL_CITATION {"citationItems":[{"id":"ITEM-1","itemData":{"DOI":"10.1080/03066159408438556","ISSN":"03066150 (ISSN)","author":[{"dropping-particle":"","family":"Lindberg","given":"S","non-dropping-particle":"","parse-names":false,"suffix":""}],"container-title":"The Journal of Peasant Studies","id":"ITEM-1","issue":"3-4","issued":{"date-parts":[["1994"]]},"language":"English","note":"Cited By :14\n\nExport Date: 3 March 2021\n\nCorrespondence Address: Lindberg, S.; Department of Sociology, Box 114, 221 00, Lund, Sweden\n\nFunding details: National Institute of Agrobiological Sciences, NIAS\n\nFunding text 1: Staffan Lindberg, Department of Sociology, University of Lund, Box 114, 221 00 Lund, Sweden. This article is based on a research project on 'The New Peasant Movements in India' at the Department of Sociology, University of Lund, Sweden. It has received financial support from SAREC, Stockholm and NIAS, Copenhagen. Thanks are due to Tom Brass for his comments and suggestions.\n\nReferences: Irma, A., Economic Development and Political Change in Developing Countries (1980) Social Research, XLVII (2); \nIrma, A., Beyond Export-Led Growth (1984) World Development, XII (9);\nAdelman, I., Taft-Morris, C., Patterns of Industrialization in the Nineteenth Century (1980) Research in Economic History;\nFrancesco, A., (1984) Movement and Institution, , New York: Columbia University Press;\nAlexander, K.C., (1981) Peasant Organizations in South India, , New Delhi: Indian Social Institute;\nVenkatesh, A., Djurfeldt, G., Lindberg, S., (1990) Barriers Broken: Production Relations and Agrarian Change in Tamil Nadu, , New Delhi: Sage Publications;\nAttwood, D., Why Some of the Rich Get Poorer (1979) Current Anthropology, 20 (3);\nPaul, B., Agriculture and the Industrial Revolution (1973) The Fontana Economic History of Europe.: The Industrial Revolution, , Carlo M. Cipolla,(ed.) London: Collins/Fontana Books;\nJairus, B., Illusions About the Peasantry: Karl Kautsky and the Agrarian Question (1990) Journal of Peasant Studies, 17 (2);\nNripen, B., (1992) The Story of Peasant Struggles for Land Reforms in West Bengal, , Paper for the Workshop on ‘Social Movements, State and Democracy’ organized by the Delhi University Group in Politics and the Indian Statistical Institute Sociology Group, New Delhi, 5–8 Oct. 1992;\nBenedict, M., (1953) Farm Policies of the United States 1790-1950, , A Study of Their Origins and Development, New York: The Twentieth Century Fund;\nSheila, B., Changes in Acreage and Tenure Structure of Land Holdings in Haryana, 1962-72 (1977) Economic and Political Weekly, 12 (13);\nBlock, W.J., (1960) The Separation of the Farm Bureau and the Extension Service. Political Issues in a Federal System, , Urbana, IL: University of Illinois Press;\nByres, T., Of Neo-Populist Pipe-Dreams: Daedulus in the Third World and the Myth of Urban Bias (1979) Journal of Peasant Studies, 6 (2);\nCain, M., Risk and Insurance: Perspectives on Fertility and Agrarian Change in India and Bangladesh (1981) Population and Development Review, 7 (3);\nCohen, J.L., Strategy or Identity: New Theoretical Paradigms and Contemporary Social Movements (1985) Social Research, 52 (4);\nCrampton, J.A., (1965) The National Farmers’ Union, , Lincoln, NE: University of Nebraska Press;\nDhanagare, D.N., Shetkari Sanghatana: The Farmers’ Movement in Maharashtra-Background and Ideology (1990) Social Action, 40 (4);\nDhanagare, D.N., An Apoliticist Populism: A Case Study of BKU (1991) Country-Town Nexus, , K.L., Sharma and Dipankar Gupta (eds.) Jaipur: Rawat Publications;\nGoran, D., Classical Discussions of Capital and Peasantry: A Critique (1983) Rural Development. Theories of Peasant Economy and Agrarian Change, , John Harriss(ed.) London: Hutchinson University Library;\nEsman, M.J., Uphof, N.T., (1984) Local Organizations. Intermediaries in Rural Development, , Ithaca, NY and London: Cornell University Press;\nRon, E., Jamison, A., (1991) Social Movements. A Cognitive Approach, , Cambridge: Polity Press;\nXavier, F., (1970) Agricultural Organization and Development, , Geneva: International Labour Office;\nAlexander, G., (1966) Bread and Democracy in Germany, , New York: Harold Fertig;\nPeter, G., (1988) Sociale bevaegelser og samfundsaendringer, , (Social movements and Social Change), Nye sociala grupperinger og deres organisationsformer ved overgangen til aendrede samfundstyper, Aarhus: Politica;\nChrister, G., Economic and Demographic Transition in East Asia (1992) Economic Modernisation vs Family Planning in Taiwan, , Michael, Hammarskjold, B. Egerö and S. Lindberg, (eds.)Population and the Development Crises in the South Lund: Programme on Population and Development in Poor Countries;\nDipankar, G., Country-Town Nexus and Agrarian Mobilization, Bharatiya Kisan Union as an Instance (1988) Economic and Political Weekly, 23 (51);\nDipankar, G., Peasant “Unionism” in West U.P. (India): Against the Rural Mentality Thesis (1992) Journal of Contemporary Asia, 22 (2);\nThomas, H., Protest, frigörelse eller manipulation-om studiet af sociale og politiske bevaegelser i den tredje verden (1991) Den Nye Verden, 4 (24);\nJohn, H., What Happened to the Green Revolution in South India? (1985), Economic Trends, Household Mobility, and the Politics of an “Awkward Class’”, University of East Anglia, School of Development Studies, Discussion Paper No. 175; Zoya, H., Self-Serving Guardians: Formation and Strategy of the Bharatiya Kisan Union (1989) Economic and Political Weekly, 24 (48);\nZoya, H., Patnaik, U., (1992) Aspects of the Farmers, , Movement in Uttar Pradesh in the Context of Uneven Growth of Capitalist Agriculture’, New Delhi: Jawaharlal Nehru University, mimeo;\nRudolf, H., Types and Functions of Social Movements (1968) International Encyclopedia of the Social Sciences, , David L. Sills(ed.) London: The Macmillan Company;\nHicks, J.D., (1931) The Populist Revolt, , Minneapolis, MN: University of Minnesota Press;\nJenkins, J.C., Resource Mobilization Theory and the Study of Social Movements (1983) Annual Review of Sociology, 9;\nGavin, K., (1982) Development and Underdevelopment in Historical Perspective. Populism, Nationalism and Industrialization, , London: Methuen;\nKoll, A., Peasant Movements and Democracy in Eastern Europe in the Early 20th Century (1992) When Democracy Makes Sense. Studies in the Democratic Potential of Third World Popular Movements, , L. Rudebeck(ed.) Uppsala: AKUT;\nErnesto, L., New Social Movements and the Plurality of the Social (1985) New Social Movements and the State in Latin America, , David Slater(ed.) Amsterdam: CEDLA;\nErnesto, L., (1990) New Reflections on the Revolution of Our Time, , London: Verso;\nErnesto, L., Mouffe, C., (1985) Hegemony and Socialist Strategy, , London: Verso;\nCornelia, L., Sharad Joshi and the Farmers: The Middle Peasant Lives’ (1988) Pacific Affairs, 61 (3);\nLipset, S., (1950) Agrarian Socialism, , Berkeley, CA: University of California Press;\nLipton, M., (1977) Why Poor People Stay Poor: A Study of Urban Bias in World Development, , London: Temple Smith;\nMadsen, S., Clan, Kinship and Panchayat Justice among the Jats of Western Uttar Pradesh (1991) Anthropos, (86);\nKarl, M., The Eighteenth Brumaire of Louis Bonaparte (1967) On Historical Materialism, , K. Marx, F. Engels, and V. Lenin Moscow: Progress Publishers;\nMcKenna, G., (1974) American Populism, , New York: G.P. Putnam’s Sons;\nAlberto, M., The Symbolic Challenge of Contemporary Movements (1985) Social Research, 52 (4);\nAlberto, M., (1989) Nomads of the Present: Social Movements and Individual Needs in Contemporary Society, , Philadelphia, PA: Temple University Press;\nAlberto, M., Frontier Land: Collective Action between Actors and Systems (1992) Studying Collective Action, , Diano, Mario and Ron Eyerman (eds.) London: Sage Publications;\nNadkarni, M.V., (1987) Farmers’ Movements in India, , New Delhi: Allied Publishers Private Limited;\nAnthony, O., (1973) Social Conflicts and Social Movements, , Englewood Cliffs, NJ: Prentice-Hall;\nGail, O., Cane Farmers’ Movement (1980) Economic and Political Weekly, 15 (49);\nGail, O., Capitalist Agriculture and Rural Classes in India Bulletin of Concerned Asian Scholars, 15 (3);\nGail, O., The “New Peasant Movement (1988) India’, Bulletin of Concerned Asian Scholars, 20 (2);\nGail, O., India’s Movements for Democracy: Peasants, “Greens (1989), Women and People’s Power’, unpublished manuscript; Gail, O., (1991) Jotiba Phule and the Analysis of Peasant Exploitation, , Paper presented at the Seminar on ‘Mahatma Jyotirao Phule-An Incomplete Renaissance’, Centre for Social Studies, Surat, 9–11 Jan 1991;\nGail, O., Shetkari Sanghatana’s New Direction (1991) Economic and Political Weekly, , 5 Oct;\nGail, O., (1992) Peasants, Dalits and Women: Democracy and India’s New Social Movements, , Draft of paper for the Workshop on ‘Social Movements, State and Democracy’ organised by the Delhi University Group in Politics and the Indian Statistical Institute Sociology Group, New Delhi, 5–8 Oct;\nGail, O., (1992) Interview with Sharad Joshi, , unpublished ms;\nGail, O., (1993) Reinventing Revolution, , New York: M.E. Sharpe;\nOsterud, O., (1978) Agrarian Structure and Peasant Politics in Scandinavia, , Oslo: Universitetsforlaget;\nUtsa, P., Food Economy in Peril (1991) Frontline, , 31 Aug.-13 Sept;\nRao, V.M., Land Transfers in Rural Communities: Some Findings in a Ryotwari Region (1972) Economic and Political Weekly, 7 (40);\nJoachim, R., (1985) Sozialae Bewegungen: Ein Historisch-sytematischer Grundriss, , Frankfurt/Main: Campus Verlag;\n(1986) Report from the Flaming Fields of Bihar, , Calcutta: Sree Art Press;\nRudolph, L.I., Rudolph, S.H., (1987) In Pursuit of Lakshmi. The Political Economy of the Indian State, , Bombay: Orient Longman;\nGirish, S., The New Farmers’ Movement in Maharashtra (1989) Peasant Movement in Modern India, , Sunil Sahasrabudhey S.(ed.) Allahabad: Cugh Publications;\nSarma, D.S., The Nature and History of Hinduism (1953) The Religion of the Hindus. Interpreted by Hindu, , Kenneth W. Morgan(ed.) New York: The Ronald Press Co;\nSunil, S., (1982) Peasant Movements in India, , Calcutta: K P Bagchi &amp;amp; Company;\nSchumacher, E.F., (1973) Small is Beautiful Economics as if People Mattered, , New York: Harper &amp;amp; Row;\nDieter, S., (1985) The European Experience: A Historical Critique of Development Theory, , Dover: NH Berg;\nDieter, S., European Development and the Third World (1988) An Assessment Review, XI (1);\nTeodor, S., Class, States and Revolution: Substitutes and Realities (1982) Introduction to the Sociology of Developing Societies, , H. Alavi and T. Shanin (eds.) London: Macmillan;\nJagpal, S., (1992) Capitalism and Dependence, Agrarian Politics in Western Uttar Pradesh 1951–1991, , New Delhi: Manohar;\nRune, S., Agriculture-Not the Leading but the Crucial Sector in Economic Development. Some Reflections on Experience and Theory (1991) Asian Society in Comparative Perspective, , Olle Törnquist and Karl-Reinhold Haellquist (eds.) Papers presented to the 7th Annual Conference of the Nordic: Association for Southeast Asian Studies, Möjn, Denmark 1990;\nSorokin, P.A., (1930) A Systematic Source Book of Rural Sociology, , 32 Minneapolis, MN: University of Minnesota Press;\nCharles, T., Tilly, L., Tilly, R., (1975) The Rebellious Century: 1830–1930, , Cambridge, MA: Harvard University Press;\nCharles, T., (1978) From Mobilization to Revolution, , New York: Random House;\nAlain, T., (1984) The Voice and the Eye. An Analysis of Social Movements, , New York: Cambridge University Press;\nAchin, V., (1990) The Painful Transition. Bourgeois Democracy in India, , London: Verso","page":"95-125","publisher-place":"Department of Sociology, University of Lund, Box 114, 221 00, Lund, Sweden","title":"New Farmers’ Movements in India as Structural Response and Collective Identity Formation: The Cases of the Shetkari Sanghatana and the BKU","type":"article-journal","volume":"21"},"uris":["http://www.mendeley.com/documents/?uuid=188d5a86-a340-43d9-bae9-c01ea635d359"]}],"mendeley":{"formattedCitation":"(Lindberg, 1994)","manualFormatting":" (Lindberg, 1994)","plainTextFormattedCitation":"(Lindberg, 1994)","previouslyFormattedCitation":"(Lindberg, 1994)"},"properties":{"noteIndex":0},"schema":"https://github.com/citation-style-language/schema/raw/master/csl-citation.json"}</w:instrText>
      </w:r>
      <w:r w:rsidRPr="0037337F">
        <w:rPr>
          <w:rFonts w:ascii="Times New Roman" w:hAnsi="Times New Roman" w:cs="Times New Roman"/>
          <w:sz w:val="24"/>
          <w:szCs w:val="24"/>
        </w:rPr>
        <w:fldChar w:fldCharType="separate"/>
      </w:r>
      <w:r w:rsidRPr="0037337F">
        <w:rPr>
          <w:rFonts w:ascii="Times New Roman" w:hAnsi="Times New Roman" w:cs="Times New Roman"/>
          <w:noProof/>
          <w:sz w:val="24"/>
          <w:szCs w:val="24"/>
        </w:rPr>
        <w:t xml:space="preserve"> (Lindberg, 1994)</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xml:space="preserve">. </w:t>
      </w:r>
    </w:p>
    <w:p w14:paraId="0E60468B" w14:textId="597D857A" w:rsidR="00197B65" w:rsidRPr="0037337F" w:rsidRDefault="008218B0" w:rsidP="000663AA">
      <w:pPr>
        <w:pStyle w:val="ListParagraph"/>
        <w:spacing w:after="0" w:line="240" w:lineRule="auto"/>
        <w:ind w:left="0" w:firstLine="425"/>
        <w:jc w:val="both"/>
        <w:rPr>
          <w:rFonts w:ascii="Times New Roman" w:hAnsi="Times New Roman" w:cs="Times New Roman"/>
          <w:sz w:val="24"/>
          <w:szCs w:val="24"/>
          <w:lang w:val="id-ID"/>
        </w:rPr>
      </w:pPr>
      <w:r w:rsidRPr="0037337F">
        <w:rPr>
          <w:rFonts w:ascii="Times New Roman" w:hAnsi="Times New Roman" w:cs="Times New Roman"/>
          <w:sz w:val="24"/>
          <w:szCs w:val="24"/>
        </w:rPr>
        <w:t xml:space="preserve">According to preliminary studies, farmers’ social movement is not only related to issues of resistance, conflict, struggle for land rights, power networks, and agricultural capitalism. Rather it is also associated with conservation, sustainable agricultural governance, and collaborative management in agricultural-related affairs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{"citationItems":[{"id":"ITEM-1","itemData":{"DOI":"10.1177/0011392117737818","ISSN":"00113921 (ISSN)","abstract":"This research extends existing scholarship on the environmental movement by examining different groups of participants, building on the distinctions between public and private modes of engagement. The article uses data from the 2010 United States General Social Survey and the International Social Survey Programme to first conduct a latent class analysis to explore the existence of different classes of participants, and then presents a multinomial logit model to examine factors that affect class membership. The study finds there are four classes in the analysis of the environmental movement: a group of non-participators, a group that engages primarily in more organizationally-based environmental movement activities, a group that engages in green lifestyle activities, and a group that engages in both types of activities, but only at a high-intensity level. The study also finds that there are distinct differences in the composition of each group. © The Author(s) 2017.","author":[{"dropping-particle":"","family":"Tripp","given":"W B","non-dropping-particle":"","parse-names":false,"suffix":""}],"container-title":"Current Sociology","id":"ITEM-1","issue":"5","issued":{"date-parts":[["2018"]]},"language":"English","note":"Cited By :2\n\nExport Date: 3 March 2021\n\nCorrespondence Address: Tripp, W.B.; Department of Sociology, 1601 Maple St., United States; email: wtripp@westga.edu\n\nFunding text 1: Esta investigación extiende la literatura existente sobre el movimiento ambiental examinando diferentes grupos de participantes, basándose en las distinciones entre los modos de compromiso público y privado. Se usan los datos de la General Social Survey de Estados Unidos de 2010 y del International Social Survey Programme para llevar a cabo, en primer lugar, un análisis de clases latentes para explorar la existencia de diferentes clases de participantes y, en segundo lugar, se especifica un modelo logit multinomial para examinar los factores que afectan la pertenencia a las clases. Se ha encontrado que hay cuatro clases en el análisis del movimiento ambiental: un grupo de no participantes, un grupo que se dedica principalmente a actividades de movimientos ambientales con más base organizacional, un grupo que participa en actividades de estilo de vida verde y un grupo que participa en ambos tipos de actividades, pero sólo en un nivel de alta intensidad. También se ha encontrado que hay diferencias claras en la composición de cada grupo.\n\nReferences: Andrews, K.T., Edwards, B., Advocacy organizations in the U.S. political process (2004) Annual Review of Sociology, 30, pp. 479-506; \nBlocker, T.J., Eckberg, D.L., Gender and environmentalism: Results from the 1993 General Social Survey (1997) Social Science Quarterly, 78 (4), pp. 841-858;\nBrulle, R., Turner, L.H., Carmichel, J., Jenkins, J.C., Measuring social movement organization populations: A comprehensive census of U.S. environmental movement organizations (2007) Mobilization: An International Journal, 12 (3), pp. 255-270;\nCarrier, J.G., Think locally, act globally: The political economy of ethical consumption (2008) Hidden Hands in the Market: Ethnographies of Fair Trade, Ethical Consumption, and Corporate Social Responsibility, pp. 31-51. , De Neve G., Luetchford P., Pratt J., Wood D.C., (eds), Bingley, JAI Press, In:, (eds;\nClogg, C.C., Latent class models (1995) Handbook of Statistical Modeling for the Social and Behavioral Sciences, pp. 311-359. , Arminger G., Clogg C.C., Sobel M.E., (eds), New York, Plenum Press, In:, (eds;\nClogg, C.C., Shihadeh, E.S., (1994) Statistical Models for Ordinal Variables, , Beverly Hills, CA, Sage;\nCollins, L.M., Lanza, S.T., (2010) Latent Class and Latent Transition Analysis: With Applications in the Social, Behavioral, and Health Sciences, , Hoboken, NJ, Wiley;\nDalton, R., (2008) Citizen Politics: Public Opinion and Political Parties in Advanced Industrial Democracies, , Washington, DC, Chatham House Press;\nDalton, R., Waxing or waning? The changing patterns of environmental activism (2015) Environmental Politics, 24 (4), pp. 530-552;\nDunlap, R.E., York, R., The globalization of environmental concern and the limits of the postmaterialist values explanation: Evidence from four multinational surveys (2008) Sociological Quarterly, 49 (3), pp. 529-563;\nFeldman, S., Johnston, C., Understanding the determinants of political ideology: Implications of structural complexity (2013) Political Psychology, 35 (3), pp. 337-358;\nFranzen, A., Meyer, R., Environmental attitudes in cross-national perspective: A multilevel analysis of the ISSP 1993 and 2000 (2010) European Sociological Review, 26 (2), pp. 219-234;\nGillham, P.F., Participation in the environmental movement: Analysis of the European movement (2008) International Sociology, 23 (1), pp. 67-93;\nGolder, S., Connell, C.M., Sullivan, T.P., Psychological distress and substance use among community-recruited women currently victimized by intimate partner: A latent class analysis and examination of between-class differences (2012) Violence Against Women, 18 (8), pp. 934-957;\nGoodman, L.A., The empirical study of latent types, latent variables, and latent structures (2002) Applied Latent Class Analysis, pp. 3-55. , Hagenaars J.A., McCutcheon A.L., (eds), Cambridge, Cambridge University Press, In:, (eds;\nGoodman, L.A., On the assignment of individuals to latent classes (2007) Sociological Methodology, 37, pp. 1-22;\nHumphery, K., (2010) Excess: Anti-Consumerism in the West, , Cambridge, Polity;\nHunter, L.M., Hatch, A., Johnson, A., Cross-national gender variation in environmental behaviors (2004) Social Science Quarterly, 85 (3), pp. 677-694;\nJohnston, J., The citizen-consumer hybrid: Ideological tensions and the case of whole foods market (2008) Theory and Society, 37 (3), pp. 229-270;\nKlandermans, B., (1997) The Social Psychology of Protest, , Oxford, Blackwell;\nLaidley, T.M., The influence of social class and cultural variables on environmental behaviors: Municipal-level evidence from Massachusetts (2011) Environment and Behavior, 45 (2), pp. 170-197;\nLanda, R.J., Gross, A.L., Stuart, E.A., Bauman, M., Latent class analysis of early developmental trajectory in baby siblings of children with autism (2012) Journal of Child Psychology and Psychiatry, 53 (9), pp. 986-996;\nLee, K.S., Conflicting views on elder care responsibility in Japan (2016) Social Science Research, 57, pp. 133-147;\nLong, J.S., (1997) Regression Models for Categorical and Limited Dependent Variables, , Thousand Oaks, CA, Sage;\nLorenzen, J.A., Going green: The process of lifestyle change (2012) Sociological Forum, 27 (1), pp. 94-116;\nLorenzen, J.A., Teaching and learning guide for: Green consumption and social change: Debates over responsibility, private action, and access (2014) Sociology Compass, 8 (8), pp. 1063-1081;\nMcAdam, D., Tactical innovation and the pace of insurgency (1983) American Sociological Review, 48 (6), pp. 735-754;\nMcAdam, D., Recruitment to high-risk activism: The case of freedom summer (1986) American Journal of Sociology, 92 (1), pp. 64-90;\nMcCarthy, J.D., Zald, M., The enduring vitality of the resource mobilization theory of social movements (2002) Handbook of Sociological Theory, pp. 533-565. , Turner J.H., (ed), New York, Kluwer Academic/Plenum, In:, (ed;\nMcCutcheon, A.L., (1987) Latent Class Analysis, , Newbury Park, CA, Sage;\nMcCutcheon, A.L., Basic concepts and procedures in single- and multi-group latent class analysis (2002) Applied Latent Class Analysis, pp. 56-88. , Hagenaars J.A., McCutcheon A.L., (eds), Cambridge, Cambridge University Press, In:, (eds;\nManiates, M., Individualization: Plant a tree, buy a bike, save the world? (2002) Confronting Consumption, pp. 43-66. , Princen T., Maniates M., Conca K., (eds), Cambridge, MA, MIT Press, In:, (eds;\nMassoglia, M., Desistance or displacement? The changing patterns of offending from adolescence to young adulthood (2006) Journal of Quantitative Criminology, 22 (3), pp. 215-239;\nMeyer, D.S., Tarrow, S., A movement society: Contentious politics for a new century (1998) The Social Movement Society: Contentious Politics for a New Century, pp. 1-28. , Meyers D.S., Tarrow S., (eds), Lanham, MD, Rowman and Littlefield, In:, (eds;\nMicheletti, M., (2003) Political Virtue and Shopping: Individuals, Consumerism, and Collective Action, , New York, Palgrave Macmillan;\nMoore, O., Understanding postorganic fresh fruit and vegetable consumers at participatory farmers markets in Ireland: Reflexivity, trust and social movements (2006) International Journal of Consumer Studies, 30 (5), pp. 416-426;\nMusick, M.A., Wilson, J., (2008) Volunteers: A Social Profile, , Bloomington, Indiana University Press;\nNepstad, S.E., Smith, C., Rethinking recruitment to high-risk/cost activism: The case of Nicaragua exchange (1999) Mobilization: An International Journal, 4 (1), pp. 25-40;\nSchussman, A., Soule, S.A., Process and protest: Accounting for individual protest participation (2005) Social Forces, 84 (2), pp. 1083-1108;\nSeyfang, G., Ecological citizenship and sustainable consumption: Examining local organic food networks (2006) Journal of Rural Studies, 22 (4), pp. 383-395;\nShaw, D., Consumer voters in imagined communities (2007) International Journal of Sociology and Social Policy, 27 (3-4), pp. 135-150;\nShirani, F., Butler, C., Henwood, K., ‘I’m not a tree hugger, I’m just like you’: Changing perceptions of sustainable lifestyles (2014) Environmental Politics, 24 (1), pp. 57-74;\nSzasz, A., (2007) Shopping Our Way to Safety: How We Changed from Protecting the Environment to Protecting Ourselves, , Minneapolis, University of Minnesota Press;\nTranter, B., Environmental activists and non-active environmentalists in Australia (2010) Environmental Politics, 19 (3), pp. 413-429;\nVerba, S., Schlozman, K.L., Brady, H.E., (1995) Voice and Equality: Civic Voluntarism in American Politics, , Cambridge, MA, Harvard University Press;\nVermunt, J.K., Magidson, J., (2005) Technical Guide for Latent GOLD 4.0: Basic and Advanced, , Belmont, CA, Statistical Innovations, Inc;\nWalker, J.L., The origin and maintenance of interest groups in America (1983) The American Political Science Review, 77 (2), pp. 390-406;\nWebb, J., Seduced or sceptical consumers? Organised action and the case of fair trade coffee (2007) Sociological Research Online, 12 (3);\nWebb, J., Climate change and society: The chimera of behaviour change technologies (2012) Sociology, 46 (1), pp. 109-125;\nWillis, M.M., Schor, J.B., Does changing a light bulb lead to changing the world? Political action and the conscious consumer (2012) The Annals of the American Academy of Political and Social Science, 644 (1), pp. 160-190;\nWiltfang, G.L., McAdam, D., The costs and risks of social activism: A study of sanctuary movement activism (1991) Social Forces, 69 (4), pp. 987-1010;\nXiao, C., McCright, A.M., A test of the biographical availability argument for gender differences in environmental behaviors (2014) Environment and Behavior, 46 (2), pp. 241-263","page":"788-809","publisher":"SAGE Publications Ltd","publisher-place":"University of West Georgia, United States","title":"Being green: Patterns of participation in the environmental movement","type":"article-journal","volume":"66"},"uris":["http://www.mendeley.com/documents/?uuid=9857bfbf-d30e-40ab-81ea-24e547d87fdb"]},{"id":"ITEM-2","itemData":{"DOI":"10.1016/j.jand.2016.02.010","ISSN":"22122672 (ISSN)","abstract":"Background: Recent evidence indicates a widening gap in fruit and vegetable (F/V) consumption between high- and low-income Americans. This gap is related, in part, to decreased access to food retailers that sell fresh F/V in low-income communities. Farmers' markets are identified as a strategy for improving F/V consumption by increasing access to these foods. Objectives: The aim of this systematic review was to examine literature published from 1994 to 2014 to identify facilitators and barriers of farmers' markets use, particularly among low-income consumers. Design: Peer-reviewed literature was identified in Ebsco Host (Academic Search Complete). Inclusion criteria for abstract review was primary research focused on farmers' market use identifying 87 studies for full-text review. Full-text review identified articles focused on facilitators and/or barriers of farmers' market use resulting in 49 articles. At least two reviewers completed review of all articles. Results: Of the 49 articles, 39% specified inclusion of low-income consumers and fewer than 15% focused on racial and ethnic minorities. Few studies were guided by theory and/or used standardized metrics. Results indicate farmers' market use is influenced by multiple economic, service delivery, spatial-temporal, social, and personal factors. Among studies that included low-income populations (n=19), key barriers to farmers' market use were perceptions that food assistance benefits were not accepted, belief that food variety at farmers' markets was limited, lack of access to transportation, lack of racial/ethnic diversity in the market space, and mismatch between markets and personal lifestyles. There is wide variation in study design and reporting standards and infrequent use of standardized measures limiting comparisons across studies. Conclusions: There is a need to establish valid and reliable metrics and reporting standards for evaluating farmers' markets. Findings may inform interventions, programs, and policies to promote farmers' market use. © 2016 Academy of Nutrition and Dietetics.","author":[{"dropping-particle":"","family":"Freedman","given":"D A","non-dropping-particle":"","parse-names":false,"suffix":""},{"dropping-particle":"","family":"Vaudrin","given":"N","non-dropping-particle":"","parse-names":false,"suffix":""},{"dropping-particle":"","family":"Schneider","given":"C","non-dropping-particle":"","parse-names":false,"suffix":""},{"dropping-particle":"","family":"Trapl","given":"E","non-dropping-particle":"","parse-names":false,"suffix":""},{"dropping-particle":"","family":"Ohri-Vachaspati","given":"P","non-dropping-particle":"","parse-names":false,"suffix":""},{"dropping-particle":"","family":"Taggart","given":"M","non-dropping-particle":"","parse-names":false,"suffix":""},{"dropping-particle":"","family":"Ariel Cascio","given":"M","non-dropping-particle":"","parse-names":false,"suffix":""},{"dropping-particle":"","family":"Walsh","given":"C","non-dropping-particle":"","parse-names":false,"suffix":""},{"dropping-particle":"","family":"Flocke","given":"S","non-dropping-particle":"","parse-names":false,"suffix":""}],"container-title":"Journal of the Academy of Nutrition and Dietetics","id":"ITEM-2","issue":"7","issued":{"date-parts":[["2016"]]},"language":"English","note":"Cited By :49\n\nExport Date: 3 March 2021\n\nCorrespondence Address: Freedman, D.A.; Prevention Research Center for Healthy Neighborhoods, 11000 Cedar Ave, United States; email: daf96@case.edu\n\nReferences: (2014) National count of farmers market directory listing graph: 1994-2014., , http://www.ams.usda.gov/farmersmarkets/FarmersMarketGrowth.htm, Accessed June 3, 2015; \nBrown, A., Counting farmers' markets (2001) Geogr Rev, 91 (4), p. 655;\nAbusabha, R., Namjoshi, D., Klein, A., Increased access and affordability of produce improves perceived consumption of vegetables in low-income seniors (2011) J Am Diet Assoc, 111 (10), pp. 1548-1555;\nEvans, A.E., Jennings, R., Smiley, A.W., Introduction of farm stands in low-income communities increases fruit and vegetable among community residents (2012) Health Place, 18 (5), pp. 1137-1143;\nFreedman, D.A., Choi, S.K., Hurley, T., Anadu, E., Hébert, J.R., A farmers' market at a federally qualified health center improves fruit and vegetable intake among low-income diabetics (2013) Prev Med (Baltimore), 56 (5), pp. 288-292;\nHerman, D.R., Harrison, G.G., Afifi, A.A., Jenks, E., Effect of a targeted subsidy on intake of fruits and vegetables among low-income women in the Special Supplemental Nutrition Program for Women, Infants, and Children (2008) Am J Public Health, 98 (1), p. 98;\nAmmerman, A.S., Lindquist, C.H., Lohr, K.N., Hersey, J., The efficacy of behavioral interventions to modify dietary fat and fruit and vegetable intake: A review of the evidence (2002) Prev Med (Baltimore), 35 (1), pp. 25-41;\nGrimm, K.A., Blanck, H.M., Scanlon, D.S., Moore, L.V., Grummer-Strawn, L.M., Foltz, J.L., State-specific trends in fruit and vegetable consumption among adults-United States, 2000-2009 (2010) MMWR Morb Mortal Wkly Rep, 59 (35), pp. 1126-1130;\nDong, D., Lin, B., (2009) Fruit and Vegetable Consumption by Low-Income Americans, , US Department of Agriculture, Washington, DC;\nHe, K., Hu, F.B., Colditz, G.A., Manson, J.E., Willett, W.C., Liu, S., Changes in intake of fruits and vegetables in relation to risk of obesity and weight gain among middle-aged women (2004) Int J Obes Relat Metab Disord, 28 (12), pp. 1569-1574;\nTohill, B.C., Seymour, J., Serdula, M., Kettel-Khan, L., Rolls, B.J., What epidemiologic studies tell us about the relationship between fruit and vegetable consumption and body weight (2004) Nutr Rev, 62 (10), pp. 365-374;\nHung, H., Joshipura, K.J., Jiang, R., Fruit and vegetable intake and risk of major chronic disease (2004) J Natl Cancer Inst, 96 (21), pp. 1577-1584;\nLiu, S., Manson, J.E., Lee, I.M., Fruit and vegetable intake and risk of cardiovascular disease: The Women's Health Study (2000) Am J Clin Nutr, 72 (4), pp. 922-928;\nOgden, C.L., Carroll, M.D., Curtin, L.R., McDowell, M.A., Tabak, C.J., Flegal, K.M., Prevalence of overweight and obesity in the United States, 1999-2004 (2006) JAMA, 295 (13), pp. 1549-1555;\nJoshipura, K.J., Ascherio, A., Manson, J.E., Fruit and vegetable intake in relation to risk of ischemic stroke (1999) JAMA, 282 (13), pp. 1233-1239;\nDauchet, L., Amouyel, P., Hercberg, S., Dallongeville, J., Fruit and vegetable consumption and risk of coronary heart disease: A meta-analysis of cohort studies (2006) J Nutr, 136 (10), pp. 2588-2593;\nJoshipura, K.J., Hu, F.B., Manson, J.E., The effect of fruit and vegetable intake on risk for coronary heart disease (2001) Ann Intern Med, 134 (12), pp. 1106-1114;\nLarsson, S.C., Virtamo, J., Wolk, A., Total and specific fruit and vegetable consumption and risk of stroke: A prospective study (2013) Atherosclerosis, 227 (1), pp. 147-152;\nBellavia, A., Larsson, S.C., Bottai, M., Wolk, A., Orsini, N., Fruit and vegetable consumption and all-cause mortality: A dose-response analysis (2013) Am J Clin Nutr, 98 (2), pp. 454-459;\nBlock, G., Patterson, B., Subar, A., Fruit, vegetables, and cancer prevention: A review of the epidemiological evidence (1992) Nutr Cancer, 18 (1), pp. 1-29;\nSteinmetz, K.A., Potter, J.D., Vegetables, fruit, and cancer prevention: A review (1996) J Am Diet Assoc, 96 (10), pp. 1027-1039;\nFerrari, P., Rinaldi, S., Jenab, M., Dietary fiber intake and risk of hormonal receptor-defined breast cancer in the European Prospective Investigation into Cancer and Nutrition study (2013) Am J Clin Nutr, 97 (2), pp. 344-353;\nMurray, C.J.L., Abraham, J., Ali, M.K., The State of US health, 1990-2010: Burden of diseases, injuries, and risk factors (2013) JAMA, 310 (6), pp. 591-608;\nDe Mello, V.D., Schwab, U., Kolehmainen, M., A diet high in fatty fish, bilberries and whole-grain products improves markers of endothelial function and inflammation in individuals with impaired glucose metabolism in a randomised controlled trial: The Sysdimet study (2011) Diabetologia, 54 (11), pp. 2755-2767;\nEsmaillzadeh, A., Kimiagar, M., Mehrabi, Y., Azadbakht, L., Hu, F.B., Willett, W.C., Fruit and vegetable intakes, C-reactive protein, and the metabolic syndrome (2006) Am J Clin Nutr, 84 (6), pp. 1489-1497;\nGiugliano, D., Ceriello, A., Esposito, K., The effects of diet on inflammation: Emphasis on the metabolic syndrome (2006) J Am Coll Cardiol, 48 (4), pp. 677-685;\nHermsdorff, H.H.M., Zulet, M.A., Puchau, B., Martinez, J.A., Fruit and vegetable consumption and proinflammatory gene expression from peripheral blood mononuclear cells in young adults: A translational study (2010) Nutr Metab, 7, p. 42;\nHolben, D.H., Farmers' markets: Fertile ground for optimizing health (2010) J Am Diet Assoc, 110 (3), pp. 364-365;\nDutko, P., Ver Ploeg, M., Farrigan, T., (2012) Characteristics and Influential Factors of Food Deserts, , US Department of Agriculture, Washington, DC;\nFreedman, D.A., A community health case study: Creating a food oasis in a food desert (2007) Community Psychol, 40 (2), pp. 67-70;\nGillespie, G., Hilchey, D.L., Hinrichs, C.C., Feenstra, G., Farmers' markets as keystones in rebuilding local and regional food systems (2007) Remaking the North American Food System: Strategies for Sustainability, pp. 65-83. , University of Nebraska Press, Lincoln, NE, C.C. Hinrichs, T.A. Lyson (Eds.);\nLarsen, K., Gilliland, J., A farmers' market in a food desert: Evaluating impacts on the price and availability of healthy food (2009) Health Place, 15 (4), pp. 1158-1162;\nRuelas, V., Iverson, E., Kiekel, P., Peters, A., The role of farmers' markets in two low income, urban communities (2012) J Community Health, 37 (3), pp. 554-562;\nSchimt, T.M., Gomez, M.I., Developing viable farmers markets in rural communities: An investigation of vendor performance using objective and subjective evaluations (2011) Food Policy, 36, pp. 119-127;\nSuarez-Balcazar, Y., Martinez, L.I., Cox, G., African Americans' views on access to healthy foods: What a farmers' market provides (2006) J Ext, 44, p. 2;\nYoung, C., Karpyn, A., Uy, N., Wich, K., Glyn, J., Farmers' markets in low income communities: Impact of community environment, food programs and public policy (2011) Community Dev, 42 (2), pp. 208-220;\nWang, X., Ouyang, Y., Liu, J., Fruit and vegetable consumption and mortality from all causes, cardiovascular disease, and cancer: Systematic review and dose-response meta-analysis of prospective cohort studies (2014) BMJ, p. 349;\n(2015) County and lending groups, , http://data.worldbank.org/about/country-and-lending-groups#OECD_members, Accessed June 3, 2015;\nFreedman, D.A., Blake, C.E., Liese, A.D., Developing a multicomponent model of nutritious food access and related implications for community and policy practice (2013) J Community Pract, 21 (4), pp. 379-409;\nDowd, K., Burke, K.J., The influence of ethical values and food choice motivations on intentions to purchase sustainably sourced foods (2013) Appetite, 69, pp. 137-144;\nLülfs-Baden, F., Spiller, A., Zühlsdorf, A., Mellin, M., Customer satisfaction in farmer-to-consumer direct marketing (2008) Int Food Agribus Manag Rev, 11 (2), pp. 49-72;\nSilkes, C.A., Farmers' markets: A case for culinary tourism (2012) J Culin Sci Technol, 10 (4), pp. 326-336;\nCarey, L., Bell, P., Duff, A., Sheridan, M., Shields, M., Farmers' market consumers: A Scottish perspective (2011) Int J Consum Stud, 35 (3), pp. 300-306;\nMiddleton, C., Smith, S., Purchasing habits of senior farmers' market shoppers: Utilizing the theory of planned behavior (2011) J Nutr Gerontol Geriatr, 30 (3), pp. 248-260;\nMurphy, A.J., Farmers' markets as retail spaces (2011) Int J Retail Distrib Manag, 39 (8), pp. 582-597;\nAjzen, I., The theory of planned behavior (1991) Organ Behav Hum Decis Process, 50 (2), pp. 179-211;\nLarchet, N., Learning from the corner store (2014) Food Culture Soc, 17 (3), pp. 395-416;\nFeagan, R.B., Morris, D., Consumer quest for embeddedness: A case study of the Brantford Farmers' Market (2009) Int J Consum Studies, 33 (3), pp. 235-243;\nHunt, A., Consumer interactions and influences on farmers' market vendors (2007) Renew Agric Food Syst, 22 (1), pp. 54-66;\nAlonso, A.D., O'Neill, M.A., A comparative study of farmers' markets visitors' needs and wants: the case of Alabama (2011) Int J Consum Studies, 35 (3), pp. 290-299;\nColasanti, K.J.A., Conner, D.S., Smalley, S.B., Understanding barriers to farmers' market patronage in Michigan: Perspectives from marginalized populations (2010) J Hunger Environ Nutr, 5 (3), pp. 316-338;\nFlamm, L.J., Barriers to EBT use at farmers' markets: Lessons in empowerment evaluation from rural Ohio (2011) J Hunger Environ Nutr, 6 (1), pp. 54-63;\nFreedman, D.A., Bell, B.A., Collins, L.V., The Veggie Project: A case study of a multi-component farmers' market intervention (2011) J Prim Prev, 32 (3-4), pp. 213-224;\nHicks, K., Lambert-Pennington, K., Evaluating the South Memphis Farmers Market as a strategy to improve access to healthy foods: Lessons from 2011 (2013) J Agric Food Syst Community Dev, 4 (1), pp. 45-59;\nInda, C., Washburn, A., Beckham, S., Talisayan, B., Hikuroa, D., Home grown: The trials and triumphs of starting up a farmers' market in Waianae, Hawaii (2011) Community Dev, 42 (2), pp. 181-192;\nMcGuirt, J.T., Jilcott Pitts, S.B., Ward, R., Crawford, T.W., Keyserling, T.C., Ammerman, A.S., Examining the influence of price and accessibility on willingness to shop at farmers' markets among low-income eastern North Carolina women (2014) J Nutr Educ Behav, 46 (1), pp. 26-33;\nFeagan, R., Morris, D., Krug, K., Niagara region farmers' markets: Local food systems and sustainability considerations (2004) Local Environ, 9 (3), pp. 235-254;\nMisyak, S., Johnson, M.L., McFerren, M., Serrano, E., Family nutrition program assistants' perception of farmers' markets, alternative agricultural practices, and diet quality (2014) J Nutr Educ Behav, 46 (5), pp. 434-439;\nBrown, C., Consumers' preferences for locally produced food: A study in southeast Missouri (2003) Am J Altern Agric, 18 (4), pp. 213-224;\nFarmer, J.R., Chancellor, C., Gooding, A., Shubowitz, D., Bryant, A., A tale of four farmers markets: Recreation and leisure as a catalyst for sustainability (2011) J Park Recreat Admin, 29 (3), pp. 11-23;\nZepeda, L., Which little piggy goes to market? Characteristics of US farmers' market shoppers (2009) Int J Consum Stud, 33 (3), pp. 250-257;\nAlia, K.A., Freedman, D.A., Brandt, H.M., Browne, T., Identifying emergent social networks at a federally qualified health center-based farmers' market (2014) Am J Community Psychol, 53 (3-4), pp. 335-345;\nLeone, L.A., Beth, D., Ickes, S.B., Attitudes toward fruit and vegetable consumption and farmers' market usage among low-income North Carolinians (2012) J Hunger Environ Nutr, 7 (1), pp. 64-76;\nToler, S., Briggeman, B.C., Lusk, J.L., Adams, D.C., Fairness, farmers markets, and local production (2009) Am J Agric Econ, 91 (5), pp. 1272-1278;\nEastwood, D.B., Consumers' willingness to travel to farmers' markets: A case study of the trade-offs among price, quality, and distance (2000) J Food Prod Mark, 6 (3), p. 31;\nGovindasamy, R., Italia, J., Zurbriggen, M., Hossain, F., Predicting consumer willingness-to-purchase value-added products at direct agricultural markets (2002) J Food Prod Mark, 8 (1), p. 1;\nVannoppen, J., Verbeke, W., Van Huylenbroeck, G., Viaene, J., Consumer valuation of short market channels for fresh food through laddering (2001) J Int Food Agribus Mark, 12 (1), p. 41;\nAndreatta, S., Wickliffe, W.I.I., Managing farmer and consumer expectations: A study of a North Carolina farmers market (2002) Hum Organ, 61 (2), pp. 167-176;\nBentley, G., Hallsworth, A.G., Bryan, A., The countryside in the city-Situating a farmers' market in Birmingham (2003) Local Econ, 18 (2), p. 109;\nKirwan, J., Alternative strategies in the UK agro-food system: Interrogating the alterity of farmers' markets (2004) Sociol Ruralis, 44 (4), pp. 395-415;\nSmithers, J., Lamarche, J., Joseph, A.E., Unpacking the terms of engagement with local food at the Farmers' Market: Insights from Ontario (2008) J Rural Stud, 24 (3), pp. 337-350;\nVecchio, R., Italian and United States farmers' markets: Similarities, differences and potential developments (2011) J Food Prod Mark, 17 (2-3), pp. 386-406;\nWolf, M.M., Spittler, A., Ahern, J., A profile of farmers' market consumers and the perceived advantages of produce sold at farmers' markets (2005) J Food Distrib Res, 36 (1), pp. 192-201;\nDodds, R., Holmes, M., Arunsopha, V., Consumer choice and farmers' markets (2014) J Agric Environ Ethics, 27 (3), pp. 397-416;\nAlkon, A.H., McCullen, C.G., Whiteness and farmers markets: performances, perpetuations . . . contestations? (2011) Antipode, 43 (4), pp. 937-959;\nGwin, L., Lev, L., Meat and poultry buying at farmers markets: A survey of shoppers at three markets in Oregon (2011) J Ext, 49 (1), pp. 1-8;\nMcEachern, M.G., Warnaby, G., Carrigan, M., Szmigin, I., Thinking locally, acting locally? Conscious consumers and farmers' markets (2010) J Mark Manag, 26 (5-6), pp. 395-412;\nVelasquez, C., Eastman, C., Masiunas, J., An assessment of Illinois farmers' market patrons' perceptions of locally-grown vegetables (2005) J Veg Sci, 11 (1), p. 17;\nBaker, D., Hamshaw, K., Kolodinsky, J., Who shops at the market? Using consumer surveys to grow farmers' markets: Findings from a regional market in Northwestern Vermont (2009) J Ext, 47 (6), pp. 1-9;\nSadler, R.C., Clark, M.A.R., Gilliland, J.A., An economic impact comparative analysis of farmers' markets in Michigan and Ontario (2013) J Agric Food Syst Community Dev, 3 (3), pp. 61-81;\nRacine, E.F., Smith Vaughn, A., Laditka, S.B., Farmers' market use among African-American women participating in the Special Supplemental Nutrition Program for Women, Infants, and Children (2010) J Am Diet Assoc, 110 (3), pp. 441-446;\nGao, Z., Swisher, M., Zhao, X., A new look at farmers' markets: Consumer knowledge and loyalty (2012) Hort Sci, 47 (8), pp. 1102-1107;\nAlonso, A.D., O'Neill, M.A., Investing in the social fabric of rural and urban communities: A comparative study of two Alabama farmers' markets (2011) Community Dev, 42 (3), pp. 392-409;\nDetre, J.D., Mark, T.B., Clark, B.M., Understanding why college-educated millennials shop at farmers markets: An analysis of students at Louisiana State University (2010) J Food Distrib Res, 41 (3), pp. 14-24;\nPascucci, S., Cicatiello, C., Franco, S., Pancino, B., Marino, D., Back to the future? Understanding change in food habits of farmers' market customers (2011) Int Food Agribus Manag Rev, 14 (4), pp. 105-126;\nSpilková, J., Fendrychová, L., Syrovátková, M., Farmers' markets in Prague: A new challenge within the urban shoppingscape (2013) Agric Hum Values, 30 (2), pp. 179-191;\nSvenfelt, Å., Carlsson-Kanyama, A., Farmers' markets-Linking food consumption and the ecology of food production? (2010) Local Environ, 15 (5), pp. 453-465;\nWorsfold, D., Worsfold, P.M., Griffith, C.J., An assessment of food hygiene and safety at farmers' markets (2004) Int J Environ Health Res, 14 (2), pp. 109-119;\nPitts, S.B.J., Gustafson, A., Wu, Q., Farmers' market use is associated with fruit and vegetable consumption in diverse southern rural communities (2014) Nutr J, 13 (1), pp. 1-22;\nMoore, O., Understanding postorganic fresh fruit and vegetable consumers at participatory farmers' markets in Ireland: Reflexivity, trust and social movements (2006) Int J Consum Studies, 30 (5), pp. 416-426;\nBrown, C., Miller, S., The impacts of local markets: A review of research on farmers markets and community supported agriculture (2008) Am J Agric Econ, 90 (5), pp. 1296-1302;\nByker, C.J., Misyak, S., Shanks, J., Serrano, E.L., Do farmers' markets improve diet of participants using federal nutrition assistance programs? A literature review (2013) J Ext, 51 (6), p. 14;\nMcCormack, L.A., Laska, M.N., Larson, N.I., Story, M., Review of the nutritional implications of farmers' markets and community gardens: A call for evaluation and research efforts (2010) J Am Diet Assoc, 110 (3), pp. 399-408;\n(2015) Healthy food financing initiative, , http://www.acf.hhs.gov/programs/ocs/programs/community-economic-development/healthy-food-financing, Accessed June 3;\n(2013) State Indicator Report on Fruits and Vegetables, 2013, , Atlanta, GA;\n(2014) Food insecurity nutrition incentive (FINI) grant program, , http://nifa.usda.gov/program/food-insecurity-nutrition-incentive-fini-grant-program, Accessed June 3, 2015;\n(2012) Produce Perks 2012 Report, , Cleveland, OH","page":"1136-1155","publisher":"Elsevier","publisher-place":"Prevention Research Center for Healthy Neighborhoods, Case Western Reserve University, Cleveland, OH, United States","title":"Systematic Review of Factors Influencing Farmers' Market Use Overall and among Low-Income Populations","type":"article-journal","volume":"116"},"uris":["http://www.mendeley.com/documents/?uuid=3460c51e-c60f-4dbc-82bd-650733d1bd1e"]},{"id":"ITEM-3","itemData":{"DOI":"10.1016/j.landusepol.2020.104999","abstract":"Brazilian small-scale farmers are seeking new types of collaborations and economic opportunities amid a changing world. Market opportunities, however, have incurred demanding environmental, financial and labor requirements, and created trade-offs between expanding cash crops and maintaining livelihood security. We analyze the Tomé-Açu region in the Brazilian Amazon, where different collaborative models between small-scale farmers and other social agents (industries, government, non-governmental organizations) have emerged. Local farmers are engaging in collective actions and pursuing different types of partnerships, which facilitate knowledge exchange and access to market niches, also helping them overcome the infrastructural and logistical deficiencies that have historically limited rural development in the region. In particular, we discuss the diffusion and adoption of agroforestry and oil palm production systems among small-scale farmers. We examine the challenges and opportunities these partnerships and social innovations have created for local farmers, who are part of heterogeneous groups with distinct roles, assets and contexts. The state-led oil palm program posed challenges to small-scale farmers who experienced asymmetrical relationships within their partnership with private companies. On the other hand, the farmer-led agroforestry model opened new opportunities for farmers who had more flexibility in deciding their production arrangements, developing new agroforestry techniques, and pursuing commercialization pathways. Despite their limited power, small-scale farmers have been able to overcome some structural barriers through innovations, entrepreneurship, and renegotiation of oil palm contract farming. Thus, their ability to engage in both farmer-led agroforestry and state-led oil palm programs provides concrete examples of the potential of local governance based on collaborative arrangements to support sustainable farming production systems. © 2020 Elsevier Ltd","author":[{"dropping-particle":"","family":"Futemma","given":"C","non-dropping-particle":"","parse-names":false,"suffix":""},{"dropping-particle":"","family":"Castro","given":"F","non-dropping-particle":"De","parse-names":false,"suffix":""},{"dropping-particle":"","family":"Brondizio","given":"E S","non-dropping-particle":"","parse-names":false,"suffix":""}],"container-title":"Land Use Policy","id":"ITEM-3","issued":{"date-parts":[["2020"]]},"language":"English","note":"Export Date: 21 February 2021\n\nCorrespondence Address: Futemma, C.; State University of Campinas (UNICAMP), Brazil; email: cfutemma@unicamp.br","publisher":"Elsevier Ltd","publisher-place":"State University of Campinas (UNICAMP), Center for Environmental Study and Research (NEPAM), Campinas, SP, Brazil","title":"Farmers and Social Innovations in Rural Development: Collaborative Arrangements in Eastern Brazilian Amazon","type":"article-journal"},"uris":["http://www.mendeley.com/documents/?uuid=3f931efd-f00c-45cc-937a-63f5a8371b45"]},{"id":"ITEM-4","itemData":{"DOI":"10.1016/j.agsy.2014.08.004","ISSN":"0308521X (ISSN)","abstract":"With many of the poor people in Brazil living in rural areas, local governments have intensified their efforts to design and implement effective policies that boost rural development. In 2004, a national program for production and use of biodiesel was launched aiming at increasing income among less endowed family farmers across the country. With expectations building on further expansion of the mandatory blending of biodiesel with fossil diesel, national and local government bodies are challenged by the search for policies able to foster biodiesel crop production through the wider cultivation of crops that produce more oil than soybean (e.g. sunflower and castor bean) and by improving the participation of less endowed farmers, especially in semi-arid regions. Therefore, the objective of this study was to perform an ex-ante integrated assessment of the socioeconomic and environmental impacts of four biodiesel policy scenarios towards different farm types in a semi-arid and more humid region of southeast Brazil. The applied modelling framework was a combination of a technical coefficient generator (TechnoGIN) and a bio-economic farm model (FSSIM). We explored the impact of market-driven (bonus price policy), input provision (fertiliser and land preparation policy) and oil production (oil mill policy) policy scenarios on soybean farmers in Chapada Gaúcha and maize/beans farmers in Montes Claros. The impacts of the different policies on farm gross margins, oil crop production, labour requirements, nitrogen losses and biocide residues were assessed against the baseline scenario. Our results indicated that the scope for biodiesel crops on smallholder, non-soybean producers in Montes Claros is less evident than in Chapada Gaúcha, particularly among the less endowed farmers for whom the increase in farm gross margin in all scenarios is limited to only 6% while oil production was 140. kg per farm, which is very low compared to the 41% increase and more than 48,000. kg of oil of soybean producers. The most effective policy scenario was the provision of inputs such as fertiliser and land preparation. Because in Montes Claros farmers have limited access to fertiliser, machinery and biocides, strategies that enable farmers to increase their cropped area (i.e. land preparation policy more than doubled the crop area) and crop yield levels (i.e. fertiliser policy almost quadrupled crop yields) have highest potential to benefit these farming systems. © 2014.","author":[{"dropping-particle":"","family":"Leite","given":"J.G.D.B.","non-dropping-particle":"","parse-names":false,"suffix":""},{"dropping-particle":"V","family":"Silva","given":"J","non-dropping-particle":"","parse-names":false,"suffix":""},{"dropping-particle":"","family":"Ittersum","given":"M K","non-dropping-particle":"van","parse-names":false,"suffix":""}],"container-title":"Agricultural Systems","id":"ITEM-4","issued":{"date-parts":[["2014"]]},"language":"English","note":"Cited By :12\n\nExport Date: 3 March 2021\n\nCODEN: AGSYD\n\nCorrespondence Address: Leite, J.G.D.B.; Departamento de Engenharia Agrícola, Universidade Federal de Viçosa, Av. P.H. Rolfs, s/n, Campus Universitário, CEP 36.570-000, Viçosa, MG, Brazil; email: dalbeloleite@yahoo.com.br\n\nFunding text 1: We thank WOTRO Science for Global Development (The Netherlands) for providing financial support to the project “Biomass for fuel: opportunity or threat to food and feed security?” We also acknowledge Dr. Argyris Kanellopoulos for providing useful insights during the parameterisation of FSSIM and Ing. Marcel Lubbers for support in linking TechnoGIN to FSSIM. We finally thank the anonymous reviewers for their valuable comments and suggestions.\n\nReferences: Abramovay, R., Magalhães, R., (2008) The Access of Family Farmers to Biodiesel Markets: Partnerships Between Big Companies and Social Movements, Regoverning Markets Innovative Practice series, , IIED, London; \nAndersen, E., Elbersen, B., Godeschalk, F., Verhoog, D., Farm management indicators and farm typologies as a basis for assessments in a changing policy environment (2007) J. Environ. Manage., 82, pp. 353-362;\nAnderson, I.C., Buxton, D.R., Karlen, D.L., Cambardella, C., Cropping system effects on nitrogen removal, soil nitrogen, aggregate stability, and subsequent corn grain yield (1997) Agron. J., 89, pp. 881-886;\n(2012), http://www.bcb.gov.br/?EXCHANGERATES, Exchange Rates. Banco Central do Brasil. Available at: (accessed 08.12)., BCB; Berntsen, J., Petersen, B.M., Jacobsen, B.H., Olesen, J.E., Hutchings, N.J., Evaluating nitrogen taxation scenarios using the dynamic whole farm simulation model FASSET (2003) Agric. Syst., 76, pp. 817-839;\nBlazy, J.-M., Ozier-Lafontaine, H., Doré, T., Thomas, A., Wery, J., A methodological framework that accounts for farm diversity in the prototyping of crop management systems. Application to banana-based systems in Guadeloupe (2009) Agric. Syst., 101, pp. 30-41;\nBlazy, J.-M., Tixier, P., Thomas, A., Ozier-Lafontaine, H., Salmon, F., Wery, J., BANAD: a farm model for ex ante assessment of agro-ecological innovations and its application to banana farms in Guadeloupe (2010) Agric. Syst., 103, pp. 221-232;\nCésar, A.S., Batalha, M.O., Biodiesel production from castor oil in Brazil: a difficult reality (2010) Energy Policy, 38, pp. 4031-4039;\nCorrêa-Ferreira, B.S., Alexandre, T.M., Pellizzaro, E.C., (2010), p. 16. , Prática de manejo de pragas utilizadas na soja e seu impacto sobre a cultura. Circular Técnica 78. Embrapa, Londrina; de Wit, C.T., Van Keulen, H., Seligman, N.G., Spharim, I., Application of interactive multiple goal programming techniques for analysis and planning of regional agricultural development (1980) Agric. Syst., 26, pp. 211-230;\nDelgado, C.L., Ranade, C.G., Technological change and agricultural labour use (1987) Acceleration Food Production in Sub-Saharan Africa, , Johns Hopkins University Press, Baltimore, J.W. Mellor, C.L. Delgado, M.J. Blackie (Eds.);\nElbehri, A., Segerstedt, A., Liu, P., (2013) Biofuels and the Sustainability Challenge: A Global Assessment of Sustainability Issues, Trends and Policies for Biofuels and Related Feedstocks, , FAO, Rome;\n(2011) Brazilian Energy Balance, p. 267. , Empresa de Pesquisa Energética, Rio de Janeiro,, EPE;\n(2006) Programa de aumento das vendas dos produtores Paranaenses - Feijão, p. 15. , Federação das Indústrias do Estado do Paraná, Curitiba, FIEP;\nFinco, M.V.A., Doppler, W., Biodiesel production and regional development in the Brazilian Savannah: an application of positive mathematical programming (2011) Informe Gepec, 15, pp. 25-42;\nFinger, R., Lazzarotto, P., Calanca, P., Bio-economic assessment of climate change impacts on managed grassland production (2010) Agric. Syst., 103, pp. 666-674;\n(2008) Perfil MG 2008 - a guide to the economy of Minas Gerais, p. 282. , www.fjp.gov.br, (accessed 07.11)João Pinheiro Foundation, Belo Horizonte, Available at: , FJP;\nFlorin, M.J., van Ittersum, M.K., van de Ven, G.W.J., Selecting the sharpest tools to explore the food-feed-fuel debate: sustainability assessment of family farmers producing food, feed and fuel in Brazil (2012) Ecol. Ind., 20, pp. 108-120;\nFontes, M.P.F., Fontes, R.M.O., Carneiro, P., Land suitability, water balance and agricultural technology as a Geographic-Technological Index to support regional planning and economic studies (2009) Land Use Policy, 26, pp. 589-598;\nGill, G.J., (1991) Seasonality and Agriculture in the Developing World, , Cambridge University Press, Cambridge;\nGlithero, N.J., Ramsden, S.J., Wilson, P., Farm systems assessment of bioenergy feedstock production: integrating bio-economic models and life cycle analysis approaches (2012) Agric. Syst., 109, pp. 53-64;\nHazell, P.B.R., Norton, R.D., (1986) Mathematical Programming for Economic Analysis in Agriculture, , Macmillan Publishing Company, New York;\nHazeu, G.W., Metzger, M.J., Mücher, C.A., Perez-Soba, M., Renetzeder, C., Andersen, E., European environmental stratifications and typologies: an overview (2011) Agric. Ecosyst. Environ., 142, pp. 29-39;\nHeap, I., (2013), http://www.weedscience.org, The International Survey of Herbicide Resistant Weeds. Available at: (accessed 01.05.13); Hengsdijk, H., van Ittersum, M.K., Formalizing agro-ecological engineering for future-oriented land use studies (2003) Eur. J. Agron., 19, pp. 549-562;\nHoffmann-Campo, C.B., Moscardi, F., Corrêa-Ferreira, B.S., Oliveira, L.J., Sosa-Gómez, D.R., Panizzi, A.R., Corso, I.C., de Oliveira, E.B., (2000) Pragas da soja no Brasil e seu manejo integrado, p. 67. , Londrina, Embrapa;\n(2002), http://www.ibge.gov.br, Mapa de clima do Brasil. Available at: (accessed 10.12)., IBGE; (2006) Censo Agropecuário, pp. 1-267. , Instituto Brasileiro de Geografia e Estatística, Rio de Janeiro, IBGE;\n(2011), http://www.ibge.gov.br, Pesquisa nacional por amostra de domicílios. Available at: (accessed 13.03.13)., IBGE; (2012), http://www.iea.sp.gov.br/out/banco/menu.php, Banco de Dados. Instituto de Economia Agrícola. Available at: (accessed 07.12)., IEA; Jakobsen, J., Rasmussen, K., Leisz, S., Folving, R., Quang, N.V., The effects of land tenure policy on rural livelihoods and food sufficiency in the upland village of Que, North Central Vietnam (2007) Agric. Syst., 94, pp. 309-319;\nJanssen, S., van Ittersum, M.K., Assessing farm innovations and responses to policies: a review of bio-economic farm models (2007) Agric. Syst., 94, pp. 622-636;\nJanssen, B.H., Guiking, F.C.T., van der Eijk, D., Smaling, E.M.A., Wolf, J., van Reuler, H., A system for quantitative evaluation of the fertility of tropical soils (QUEFTS) (1990) Geoderma, 46, pp. 299-318;\nJanssen, S., Louhichi, K., Kanellopoulos, A., Zander, P., Flichman, G., Hengsdijk, H., Meuter, E., Van Ittersum, M.K., A generic bio-economic farm model for environmental and economic assessment of agricultural systems (2010) Environ. Manage., 46, pp. 862-877;\nJolly, C.M., Gadbois, M., The effect of animal traction on labour productivity and food self-sufficiency: the case of Mali (1996) Agric. Syst., 51, pp. 453-467;\nKanellopoulos, A., Berentsen, P., Heckelei, T., Van Ittersum, M., Lansink, A.O., Assessing the forecasting performance of a generic bio-economic farm model calibrated with two different PMP variants (2010) J. Agric. Econ., 61, pp. 274-294;\nKöbrich, C., Rehman, T., Khan, M., Typification of farming systems for constructing representative farm models: two illustrations of the application of multivariate analyses in Chile and Pakistan (2003) Agric. Syst., 76, pp. 141-157;\n(2005) Dispõe sobre a introdução do biodiesel na matriz energética brasileira. Presidência da República, , Casa Civil - Subchefia para Assuntos Jurídicos, Brasília, DF, Lei No.11097;\n(2005) Dispõe sobre a proteção da vegetação nativa [.], , Presidência da República, Casa Civil, Subchefia para Assuntos Jurídicos, Brasília, DF, Lei No.12651;\nLeite, J.G.D.B., Bijman, J., Giller, K., Slingerland, M., Biodiesel policy for family farms in Brazil: one-size-fits-all? (2013) Environ. Sci. Policy, 27, pp. 195-205;\nLouhichi, K., Kanellopoulos, A., Janssen, S., Flichman, G., Blanco, M., Hengsdijk, H., Heckelei, T., Ittersum, M.V., FSSIM, a bio-economic farm model for simulating the response of EU farming systems to agricultural and environmental policies (2010) Agric. Syst., 103, pp. 585-597;\nLu, C.H., van Ittersum, M.K., Rabbinge, R., A scenario exploration of strategic land use options for the Loess Plateau in northern China (2004) Agric. Syst., 79, pp. 145-170;\n(2012), http://www.agricultura.gov.br/politica-agricola/zoneamento-agricola, Zoneamento agrícola de risco climático. Ministério da Agricultura Pecuária e Abastecimento. Available at: (accessed 03.12)., MAPA; (2011) Programa Nacional de Produção e Uso de Biodiesel - PNPB, p. 48. , Ministério do Desenvolvimento Agrário, Brasília, MDA;\n(2012) Portaria No. 60, de 6 de Setembro de 2012. Dispõe sobre os critérios e procedimentos relativos à concessão, manutenção e uso do Selo combustível Social, pp. 63-66. , Ministério do Desenvolvimento Agrário, Diário Oficial da União, Brasília, MDA;\nMilgroom, J., Giller, K.E., Courting the rain: rethinking seasonality and adaptation to recurrent drought in semi-arid southern Africa (2013) Agric. Syst., 118, pp. 91-104;\nMortensen, D.A., Egan, J.F., Maxwell, B.D., Ryan, M.R., Smith, R.G., Navigating a critical juncture for sustainable weed management (2012) Bioscience, 62, pp. 75-84;\nMoscardi, F., Sosa-Gómez, D.R., Corso, I.C., Invertebrates associated to sunflower and its management. (2005), p. 641. , Leite, R.M.V.B.C., Brighenti, A.M., Castro, C. (Eds.), Sunflower in Brazil. Embrapa, Londrina,(in Portuguese); Mosnier, C., Agabriel, J., Lherm, M., Reynaud, A., A dynamic bio-economic model to simulate optimal adjustments of suckler cow farm management to production and market shocks in France (2009) Agric. Syst., 102, pp. 77-88;\n(2005) Biocombustíveis, Cadernos NAE, p. 235. , Núcleo de Assuntos Estratégicos da Presidência da República, Brasília, NAE;\nNijhof, K., (1987) The Concentration of Macro-Elements in Economic Products and Residues of (Sub)Tropical Field Crops, , Centre for World Food Studies, Amsterdam-Wageningen;\nNobre, R.G., Lima, G., Gheyi, H.R., Medeiros, E., Soares, L., Alves, A.N., Teor de óleo e produtividade da mamoneira de acordo com a adubação nitrogenada e irrigação com água salina (2013) Pesquisa Agropecuária Brasileira, 47, pp. 991-999;\nOliveira, M.D.S., Cáceres, D.R., (2005) Girassol na alimentação de bovinos, , FUNEP, Jaboticabal;\nPathak, B.S., Singh, A., Singh, D., Verma, R.N., Performance of oil milling technologies in India (1988) Agric. Mech. Asia, Africa Latin Am., 19, pp. 68-72;\nPatil, S., Reidsma, P., Shah, P., Purushothaman, S., Wolf, J., Comparing conventional and organic agriculture in Karnataka, India: where and when can organic farming be sustainable? (2014) Land Use Policy, 37, pp. 40-51;\nPingali, P., Raney, T., Wiebe, K., Biofuels and food security: missing the point (2008) Appl. Econ. Perspect. Policy, 30, pp. 506-516;\nPonsioen, T.C., Hengsdijk, H., Wolf, J., van Ittersum, M.K., Rötter, R.P., Son, T.T., Laborte, A.G., TechnoGIN, a tool for exploring and evaluating resource use efficiency of cropping systems in East and Southeast Asia (2006) Agric. Syst., 87, pp. 80-100;\nPoulton, C., Dorward, A., Kydd, J., The future of small farms: new directions for services, institutions, and intermediation (2010) World Dev., 38, pp. 1413-1428;\nReidsma, P., Feng, S., van Loon, M., Luo, X., Kang, C., Lubbers, M., Kanellopoulos, A., Qu, F., Integrated assessment of agricultural land use policies on nutrient pollution and sustainable development in Taihu Basin, China (2012) Environ. Sci. Policy, 18, pp. 66-76;\nRossi, A., Cadoni, P., (2012) Policy Instruments to Promote Good Practices in Bioenergy Feedstock Production. Bioenergy and Food Security Criteria and Indicators, , FAO, Rome;\nRuben, R., Pender, J., Rural diversity and heterogeneity in less-favoured areas: the quest for policy targeting (2004) Food Policy, 29, pp. 303-320;\nRuthenberg, H., (1976) Farming Systems in the Tropics, , Oxford University Press, Oxford;\n(2012), Perfil do agronegócio Mineiro. Secretaria de Estado de Agricultura, Pecuária e Abastecimento de Minas Gerais, Belo Horizonte, p. 137., SAEMG; Schaffel, S., Herrera, S., Obermaier, M., La Rovere, E.L., Can family farmers benefit from biofuel sustainability standards? Evidence from the Brazilian social fuel certificate (2012) Biofuels, 3, pp. 725-736;\nSingh, J., Bargale, P.C., Development of a small capacity double stage compression screw press for oil expression (2000) J. Food Eng., 43, pp. 75-82;\nten Berge, H.F.M., van Ittersum, M.K., Rossing, W.A.H., van de Ven, G.W.J., Schans, J., Farming options for The Netherlands explored by multi-objective modelling (2000) Eur. J. Agron., 13, pp. 263-277;\nTraoré, B., Louhichi, K., Rapidel, B., (2009), pp. 276-277. , A bio-economic model to analyse the performance of the cotton sector in Mali. In: Proceedings of the Conference on Integrated Assessment of Science and Policy (AgSAP), Egmond aan Zee, The Netherlands; van Ittersum, M.K., Rabbinge, R., Concepts in production ecology for analysis and quantification of agricultural input-output combinations (1997) Field Crops Res., 52, pp. 197-208;\nvan Ittersum, M.K., Rabbinge, R., van Latesteijn, H.C., Exploratory land use studies and their role in strategic policy making (1998) Agric. Syst., 58, pp. 309-330;\nvan Ittersum, M.K., Ewert, F., Heckelei, T., Wery, J., Alkan Olsson, J., Andersen, E., Bezlepkina, I., Wolf, J., Integrated assessment of agricultural systems - a component-based framework for the European Union (SEAMLESS) (2008) Agric. Syst., 96, pp. 150-165;\nVasisht, A.K., Sujith Kumar, S., Aggarwal, P.K., Kalra, N., Pathk, H., Joshi, H.C., Choudhary, R.C., An integrated evaluation of trade-offs between environmental risk factors and food production using interactive multiple goal linear programming - a case study of Haryana (2007) Indian J. Agric. Econ., 62, pp. 511-523;\nVelthof, G.L., Oudendag, D., Witzke, H.P., Asman, W.A.H., Klimont, Z., Oenema, O., Integrated assessment of nitrogen losses from agriculture in EU-27 using MITERRA-EUROPE (2009) J. Environ. Qual., 38, pp. 402-417;\nWatanabe, K., Bijman, J., Slingerland, M., Institutional arrangements in the emerging biodiesel industry: case studies from Minas Gerais, Brazil (2012) Energy Policy, 40, pp. 381-389;\nWhite, D.S., Labarta, R.A., Leguía, E.J., Technology adoption by resource-poor farmers: considering the implications of peak-season labour costs (2005) Agric. Syst., 85, pp. 183-201;\nWolf, J., Ponsioen, T.C., Hengsdijk, H., TechnoGIN-3: a generic tool for analysing cropping systems. (2004), pp. 1-23. , Application of Prototype for West African Conditions Within the VINVAL Project - No. 3, Wageningen, The Netherlands; (2008) Agriculture for Development, World Development Report 2008, , The World Bank, Washington, DC, World Bank;\nWossink, A., Renkema, J., Analysis of future change in Dutch arable farming: a farm economics approach (1994) Eur. Rev. Agric. Econ., 21, pp. 95-112;\nZheljazkov, V.D., Vick, B.A., Ebelhar, M.W., Buehring, N., Baldwin, B.S., Astatkie, T., Miller, J.F., Yield, oil content, and composition of sunflower grown at multiple locations in Mississippi (2008) Agron. J., 100, pp. 635-642","page":"64-76","publisher":"Elsevier Ltd","publisher-place":"Plant Production Systems, Wageningen University, P.O. Box 430, 6700 AK Wageningen, Netherlands","title":"Integrated assessment of biodiesel policies aimed at family farms in Brazil","type":"article-journal","volume":"131"},"uris":["http://www.mendeley.com/documents/?uuid=e054db7c-9f60-4f18-8384-89957fc6ca43"]}],"mendeley":{"formattedCitation":"(Leite, Silva and van Ittersum, 2014; Freedman &lt;i&gt;et al.&lt;/i&gt;, 2016; Tripp, 2018; Futemma, De Castro and Brondizio, 2020)","plainTextFormattedCitation":"(Leite, Silva and van Ittersum, 2014; Freedman et al., 2016; Tripp, 2018; Futemma, De Castro and Brondizio, 2020)","previouslyFormattedCitation":"(Leite, Silva and van Ittersum, 2014; Freedman &lt;i&gt;et al.&lt;/i&gt;, 2016; Tripp, 2018; Futemma, De Castro and Brondizio, 2020)"},"properties":{"noteIndex":0},"schema":"https://github.com/citation-style-language/schema/raw/master/csl-citation.json"}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 xml:space="preserve">(Leite, Silva and van Ittersum, 2014; Freedman </w:t>
      </w:r>
      <w:r w:rsidR="0037337F" w:rsidRPr="0037337F">
        <w:rPr>
          <w:rFonts w:ascii="Times New Roman" w:hAnsi="Times New Roman" w:cs="Times New Roman"/>
          <w:i/>
          <w:noProof/>
          <w:sz w:val="24"/>
          <w:szCs w:val="24"/>
        </w:rPr>
        <w:t>et al.</w:t>
      </w:r>
      <w:r w:rsidR="0037337F" w:rsidRPr="0037337F">
        <w:rPr>
          <w:rFonts w:ascii="Times New Roman" w:hAnsi="Times New Roman" w:cs="Times New Roman"/>
          <w:noProof/>
          <w:sz w:val="24"/>
          <w:szCs w:val="24"/>
        </w:rPr>
        <w:t>, 2016; Tripp, 2018; Futemma, De Castro and Brondizio, 2020)</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The development and focus of the study on farmer's social movement is not only explained from the perspective of social theories oriented to the disclosure of conflicts, problems of injustice, farmers' rights, and other sociological issues. Rather it is also analyzed from a theoretical perspective and governance theory that is oriented to the development, strengthening, and improvement of agricultural governance based on stakeholder collaboration, sustainable environment, and eco-friendly agricultural ecology</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{"citationItems":[{"id":"ITEM-1","itemData":{"ISSN":"1522936X (ISSN)","abstract":"Much of the literature on agricultural biotechnology is agro-economic. How material facts on the ground relate to a unique set of politics determining deployment of the technology is less discussed. This article begins with the global rift over biotechnology in agriculture generated by national and transnational political forces. Rival sides of the rift evoke radically divergent positions on potential, performance, and outcomes. India has been influenced by and contributed to both global discourse and political forces. India's national experience helps in understanding the relative roles of ideas and interests in driving politics around rDNA plants and regulatory outcomes: what can be legally grown where and under what conditions? Ideas have been especially important in a distal and enabling way by legitimating regulatory law that subjects GMOs to a politics of risk, in which normal science is vulnerable. Nevertheless, despite distinct political advantages, risk politics as driven by ideas of threat and danger confront material economic interests. Interactive effects mutually drive outcomes, critically mediated by political structure where regulatory power is located within the state. Limits to risk politics are clearly illustrated in the brief history of Bt cotton in India, in which farmer interests overcame both regulatory precaution and campaigners organized around ideas of risk and rural catastrophe. Hypothetical or anticipatory risks did, however, block India's second transgenic crop-Bt brinjal (eggplant)- despite approval by state science, not because of retail politics but rather because of the structure of regulatory power consistent with precautionary logics prominent in international risk politics. © 2015 AgBioForum.","author":[{"dropping-particle":"","family":"Herring","given":"R J","non-dropping-particle":"","parse-names":false,"suffix":""}],"container-title":"AgBioForum","id":"ITEM-1","issue":"2","issued":{"date-parts":[["2015"]]},"language":"English","note":"Cited By :2\n\nExport Date: 3 March 2021\n\nCorrespondence Address: Herring, R.J.; Cornell UniversityUnited States\n\nReferences: Bharathan, G., Bt-cotton in India: Anatomy of a controversy (2000) Current Science, 79 (8), pp. 1067-1075; \nBlyth, M., (2002) Great transformations: Economic ideas and institutional change in the twentieth century, , Cambridge, UK: Cambridge University Press;\nBonny, S., Why are most Europeans opposed to GMOs? Factors explaining rejection in France and Europe (2003) Electronic Journal of Biotechnology, 6 (1), pp. 50-71;\nBownas, R., Framing farmers: The case of GM crops and transnational activist networks in India (2008) Paper presented at the American Political Science Association Annual Meeting, , August 29, Boston, MA;\nChoudhary, B., Gaur, K., The development and regulation of Bt brinjal in India: Eggplant/aubergine (ISAAA Brief No. 38) (2008), Ithaca NY: International Service for the Acquisition of Agri-biotech Applications (ISAAA); Cooley, A., Ron, J., The NGO scramble: Organizational insecurity and the political economy of transnational action (2002) International Security, 27 (1), pp. 5-39;\nElster, J., (1989) Nuts and bolts for the social sciences, , Cambridge, UK: Cambridge University Press;\n(2010) A decade of EU-funded GMO research 2001-2010, , Brussels: European Commission;\nGivan, R.K., Roberts, K.M., Soule, S.A., (2010) The diffusion of social movements, , New York: Cambridge University Press. (Eds. );\nGlover, D., Is Bt cotton a pro-poor technology? A review and critique of the empirical record (2010) Journal of Agrarian Change, 10 (4), pp. 482-509;\nGruère, G.P., Mehta-Bhatt, P., Sengupta, D., Bt cotton and farmer suicides in India: Reviewing the evidence (Discussion Paper No 808) (2008), Washington, DC: International Food Policy Research Institute; Gruère, G.P., Sengupta, D., Bt cotton and farmer suicides: An evidence-based assessment (2011) Journal of Development Studies, 47, pp. 316-337;\nGupta, A.K., An evolving science-society contract in India: The search for legitimacy in anticipatory risk governance (2011) Food Policy, 36, pp. 336-341;\nGupta, A.K., Chandak, V., Agricultural biotechnology in India: Ethics, business and politics (2005) International Journal of Biotechnology, 7 (1-3), pp. 212-227;\nHeins, V., (2008) Nongovernmental organizations in international society: Struggles over recognition, , New York: Palgrave Macmillan;\nHerring, R.J., Miracle seeds, suicide seeds and the poor: GMOs, NGOs, farmers and the state (2005) Social movements in India: Poverty, power, and politics, , In R. Ray &amp;amp; M. Katzenstein (Eds. ) Lanham, MD: Rowman and Littlefield;\nHerring, R.J., Why did 'operation cremate Monsanto' fail? Science and class in India's great terminator-technology hoax (2006) Critical Asian Studies, 38 (4), pp. 467-493;\nHerring, R.J., The genomics revolution and development studies: Science, politics and poverty (2007) Journal of Development Studies, 43 (1), pp. 1-30;\nHerring, R.J., Stealth seeds: Biosafety, bioproperty, biopolitics (2007), Journal of Development Studies (1); Herring, R.J., (2007) Transgenics and the poor: Biotechnology and development studies, , Oxford, UK: Routledge. (Ed. );\nHerring, R.J., Opposition to transgenic technologies: Ideology interests, and collective action frames (2008) Nature Reviews Genetics, 9 (6), pp. 458-463;\nHerring, R.J., Whose numbers count? Probing discrepant evidence on transgenic cotton in the Warangal district of India (2008) International Journal of Multiple Research Approaches, 2 (2);\nHerring, R.J., Epistemic brokerage in the bio-property narrative: Contributions to explaining opposition to transgenic technologies in agriculture (2010) New Biotechnology [formerly Biomolecular Engineering], 27 (5), pp. 614-622;\nHerring, R.J., Genetically modified crops (2011) Oxford companion to economics in India, , In K. Basu &amp;amp; A. Maertens (Eds.), Revised edition. New Delhi: Oxford University Press;\nHerring, R.J., Re-constructing facts in Bt cotton: Why skepticism fails (2013) Economic and Political Weekly, 48 (33), pp. 63-66;\nHerring, R.J., On risk and regulation: Bt crops in India (2014) GM Crops and Food, 5 (3), pp. 204-209;\nHerring, R.J., State science, risk and agricultural biotechnology: Bt cotton to Bt brinjal in India (2014) Journal of Peasant Studies, 42 (1), pp. 159-186;\nHerring, R.J., Kandlikar, M., Illicit seeds: Intellectual property and the underground proliferation of agricultural biotechnologies (2009) The politics of intellectual property: Contestation over the ownership, use, and control of knowledge and information, , In S. Haunss &amp;amp; K.C. Shadlen (Eds.), Cheltenham UK: Edward Elgar;\nHerring, R.J., Rao, C., On the 'failure of Bt cotton': Analysing a decade of experience (2012) Economic and Political Weekly, 47 (18), pp. 45-54;\nHo, M.-W., Genetic engineering: Dream or nightmare? (2000) Turning the tide on the brave new world of bad science and big business, , New York: Continuum;\nJames, C., (2002) Global review of transgenic crops: 2001 feature: Bt cotton, , (ISAAA Brief No. 26). Ithaca, NY: ISAAA;\nJasanoff, S., (2005) Designs on nature, , Princeton, NJ: Princeton University Press;\nJayaraman, K., Bt brinjal splits Indian cabinet (2010) Nature Biotechnology, 28, p. 296;\nKloor, K., The GMO-suicide myth (2014) Issues in Science and Technology, 30 (2);\nKloppenburg, J.R., (2004) First the seed: The political economy of plant biotechnology, , Madison: University of Wisconsin Press;\nKolady, D.E., Herring, R.J., Regulations of genetically engineered crops in India: Implications of uncertainty for social welfare, competition and innovation (2014) Canadian Journal of Agricultural Economics, 62 (4), pp. 471-490;\nKolady, D.E., Lesser, W., Genetically-engineered crops and their effects on varietal diversity: A case of Bt eggplant in India (2012) Agriculture and Human Values, 29, pp. 3-15;\nKrishna, V.V., Qaim, M., Estimating the adoption of Bt eggplant in India: Who Benefits from public-private partnership? (2007) Food Policy, 32, pp. 523-543;\nKuran, T., Sunstein, C., Availability cascades and risk regulation (1999) Stanford Law Review, 51 (4);\nKuruganti, K., Bt cotton and the myth of enhanced yields (2009) Economic and Political Weekly, 44 (22), pp. 29-33;\nDecision on commercialisation of, Bt-brinjal (2010), February, 9 New Delhi:, Author; Mnookin, S., (2011) The panic virus: A true story of medicine, science, and fear, , New York: Simon &amp;amp; Schuster;\n(2004) The use of genetically modified crops in developing countries, , London: Author;\nOreskes, N., Conway, E.M., (2010) Merchants of doubt: How a handful of scientists obscured the truth on issues from tobacco smoke to global warming, , London: Bloomsbury Press;\nPaarlberg, R.L., (2008) Starved for science: How biotechnology is being kept out of Africa, , Cambridge, MA: Harvard University Press;\nPinstrup-Andersen, P., Shioler, E., (2000) Seeds of contention: World hunger and the global controversy over GM crops, , Baltimore, MD: Johns Hopkins University Press;\nPolanyi, K., (1944) The great transformation, , Boston: Beacon Press;\nQayum, A., Sakkhari, K., Bt cotton in Andhra Pradesh (2005) Hyderabad: Deccan Development Society;\nRamaswami, B., Pray, C., Narayanan, L., The spread of illegal transgenic cotton varieties in India: Biosafety regulation, monopoly and enforcement (2011) World Development, 40 (1), pp. 177-188;\nRao, C.K., Moratorium on Bt brinjal: A review of the order of the Minister of Environment and Forests (2010) Government of India. Bangalore: Foundation for Biotechnology Awareness and Education., , http://plantbiotechnology.org.in/issues.html;\nRao, N.C., Bt cotton yields and performance: Data and methodological issues (2013) Economic and Political Weekly, 48 (33), pp. 66-69;\nRao, N.C., Dev, S.M., Biotechnology and pro-poor agricultural development (2009) Economic and Political Weekly, 44 (52), pp. 56-64;\nRao, N.C., Dev, S.M., Biotechnology in Indian agriculture: Potential, performance and concerns (2010), New Delhi: Academic Foundation; Symposium: Transgenic varieties and India's agriculture-Responses to Dr (2011) M.S. Swaminathan. Review of Agrarian Studies, 1 (1). , Review of Agrarian Studies;\nRoy, D., Adoption paradox of Bt cotton in Gujarat, India (2006) Doctoral dissertation, , Cornell University, Ithaca, NY;\nRoy, D., Herring, R.J., Geisler, C.C., Naturalizing transgenics: Loose seeds, official seeds, and risk in the decision matrix of gujarati cotton farmers (2007) Journal of Development Studies, 43 (1);\nSahai, S., Rahman, S., (2003) Performance of Bt cotton in India: Data from the first commercial crop, , New Delhi: Gene Campaign;\nSchurman, R.A., Kelso, D.T., (2003) Engineering trouble: Biotechnology and its discontents, , Berkeley: University of California Press;\nSchurman, R.A., Munro, W.A., Ideas, thinkers and social networks: The process of grievance construction in the anti-genetic engineering movement (2006) Theory and Society, 35, pp. 1-38;\nSchurman, R.A., Munro, W.A., (2010) Fighting for the future of food: Activists versus agribusiness in the struggle over biotechnology, , Minneapolis: University of Minnesota Press;\nScott, J.C., (1985) Weapons of the weak: Everyday forms of peasant resistance, , New Haven, CT: Yale University Press;\nScoones, I., Can agricultural biotechnology be pro-poor? A skeptical look at the emerging 'consensus (2002) IDS Bulletin, 33 (4), pp. 114-119;\nScoones, I., (2006) Science, agriculture and the politics of policy, , Hyderabad: Orient Longman;\nScoones, I., Mobilizing against GM crops in India, South Africa and Brazil (2008) Journal of Agrarian Change, 8 (2-3), pp. 315-344;\nShah, E., Local and global elites join hands: Development and diffusion of Bt cotton technology in Gujarat (2005) Economic and Political Weekly, , October 2;\nShiva, V., Resources, rights and regulatory reform (2006) Context, 3 (1), pp. 85-91;\nShiva, V., Jafri, A.H., Failure of GMOs in India (2004) Synthesis/ Regeneration, 33 (WINTER);\nShiva, V., Jafri, A.H., Emani, A., Pande, M., (2000) Seeds of suicide: The ecological and human costs of globalisation of agriculture, , New Delhi: Research Foundation for Science Technology and Ecology;\nSpecter, M., (2009) Denialism, , New York: Penguin;\nStone, G.D., Constructing facts: Bt cotton narratives in India (2012) Economic &amp;amp; Political Weekly, 47 (38), pp. 62-70;\nStone, G.D., A response to Herring and Rao (2013) Economic &amp;amp; Political Weekly, 48 (33);\nSubramanian, A., Qaim, M., Village-wide effects of agricultural biotechnology: The case of Bt cotton in India (2009) World Development, 37 (1), pp. 256-267;\nSubramanian, A., Qaim, M., The impact of Bt cotton on poor households in rural India (2010) Journal of Development Studies, 46 (2), pp. 295-311;\nSunstein, C., (2009) On rumors, , New York: Farrar, Straus, and Giroux;\nTait, J., More Faust than Frankenstein: The European debate about the precautionary principle and risk regulation for genetically modified crops (2001) Journal of Risk Research, 4 (2), pp. 175-189;\nTarrow, S., (2005) The new transnational activism, , Cambridge, UK: Cambridge University Press;\nThies, J.E., Devare, M.H., An ecological assessment of transgenic crops (2007) Journal of Development Studies, 43 (1), pp. 97-129;\nZilberman, D., Ameden, H., Qaim, M., The impact of agricultural biotechnology on yields, risks, and biodiversity in low-income countries (2007) Journal of Development Studies, 43 (1), pp. 63-78","page":"142-155","publisher":"University of Missouri","publisher-place":"Cornell University, United States","title":"Politics of biotechnology: Ideas, risk, and interest in cases from India","type":"article-journal","volume":"18"},"uris":["http://www.mendeley.com/documents/?uuid=1c8ad4d9-7346-48ae-9c4d-bcff37d59042"]},{"id":"ITEM-2","itemData":{"DOI":"10.1080/03066159608438621","ISSN":"03066150 (ISSN)","abstract":"This article seeks to explore why private farming in Russia has fared so poorly even after private farming was designated the centrepiece of Russian land reform and political capital was invested in its success. The underlying causes for the lack of success extend beyond economic and social factors. While the entire agricultural sector has been adversely affected by reform policies undertaken since 1992, private farmers have been hurt the most because they were more vulnerable. Private farmers have not been successful in defending their interests because they are politically weak, a fact that led them to seek out urban alliances whose interests differ from private farmers, and because of intrarural divisions that have weakened the efforts by agrarians to defend their interests.","author":[{"dropping-particle":"","family":"Wegren","given":"S K","non-dropping-particle":"","parse-names":false,"suffix":""}],"container-title":"Journal of Peasant Studies","id":"ITEM-2","issue":"4","issued":{"date-parts":[["1996"]]},"language":"English","note":"Cited By :33\n\nExport Date: 3 March 2021\n\nCorrespondence Address: Wegren, S.K.; Department of Political Science, , Dallas TX 75275, United States\n\nFunding details: Social Science Research Council, SSRC\n\nFunding details: World Bank Group, WBG\n\nFunding text 1: The author is an Assistant Professor of Political Science, Southern Methodist University, Dallas TX 75275. Research support for this article was provided by the Social Science Research Council, The University Research Council, Southern Methodist University, and the John G. Tower Center for Political Studies, Southern Methodist University. The author alone is responsible for the views herein. A previous version of this paper was delivered at the Southwest Slavic Association Conference Meeting, 17 February 1996, Dallas, TX.\n\nFunding text 2: 2. The Nizhnii model was first analysed in Wegren [1994c: 16-27]. The project is funded and supported by the International Finance Corporation, a subsidiary of the World Bank, and the British Know-how Fund. During 1994, 57 farms in Nizhnii Novgorod Oblast, six in Orel Oblast, four in Riazan Oblast, and one in Rostov Oblast were privatised according to the Nizhnii Novgorod model. The Nizhnii model was officially adopted in a government resolution in February 1995 (Rossiiskaia gazeta, 1 Feb. 1995, p.4). Through the first nine months of 1995, 66 farms in Nizhnii Novgorod Oblast expressed interest in reorganising. An additional 36 farms in Orel Oblast, seven farms in Riazan Oblast, and 16 farms in Rostov Oblast expressed interest or had applied for reorganisation. The programme was next scheduled to expand to Kirov and Volgograd Oblasts.\n\nReferences: Alibekov, M., Lukinov, M., The Path of Development of Commodity Trade in Agricultural Products (1995) APK: Ekonomika, Upravlenie, (1); \nAsh, T.N., Lewis, R., Skaldina, T., Russia Sets the Pace of Agricultural Reform (1992) RFE/RL Research Report, 1 (25);\nBaklanov, I., What Does the Peasantry Expect? (1995) Sel'skaia Zhizn, , 6 Jan;\nBashmachnikov, V., A Farmer is a Person Who is a Land Owner (1995) Rossiiskii Fermer, (31-32);\nBashmachnikov, V., Real Peasants Want to Buy Land, Not Sell It (1995) Krest'ianskie Vedomosti, (43);\nBates, R.H., (1983) Essays on the Political Economy of Rural Africa, , Berkeley, CA: University of California Press;\nBogdanovskii, V.A., The Social-Labor Potential of Peasant Farms (1995) Ekonomika Sel'skokhoziaistvennykh i Pererabatyvaiushchikh Predpriiatii, (5);\nBrooks, K., Lerman, Z., (1994) Land Reform and Farm Restructuring in Russia, , World Bank Discussion Paper No.233, Washington, DC: The World Bank;\nBrooks, K.M., (1983) The Technical Efficiency of Soviet Agriculture, , in Johnson;\nByres, T.J., Of Neo-Populist Pipe Dreams: Daedalus in the Third World and the Myth of Urban Bias (1979) Journal of Peasant Studies, 6 (2);\nChamberlain, W.H., (1965) The Russian Revolution, 1917-1921, 2. , New York: Grosset and Dunlap;\nChase, W.J., (1987) Workers, Society, and the Soviet State: Labor and Life in Moscow, 1918-1929, , Urbana, IL: University of Illinois Press;\nChernomyrdin, V., Peasant Labour is Effective Not Where There are Many or Few Farms, but Where a Person Works for Himself, on His Land! (1995) Rossiiskii Fermer, (33-34);\nChernyshev, A., It is Necessary to Exit the Danger Zone (1996) Zemlia i Trud, (8);\nClem, R.S., Craumer, P., A Rayon-Level Analysis of the Russian Election and the Constitutional Plebiscite of December 1993 (1995) Post Soviet Geography, 36 (8);\nCraumer, P.R., Regional Patterns of Agricultural Reform in Russia (1994) Post-Soviet Geography, 35 (6);\nDanilov, V.P., (1988) Rural Russia under the New Regime, , Bloomington, IN: Indiana University Press;\nDavies, R.W., (1980) The Industrialisation of Soviet Russia: The Socialist Offensive. The Collectivisation of Soviet Agriculture. 1929-1930, , Cambridge, MA: Harvard University Press;\nDurgin, F.A., Private Farms in the USSR (1991) Newsletter for Research on Soviet and East European Agriculture, 13 (2);\nDurgin, F.A., Russia's Private Farm Movement: Background and Perspectives (1994) The Soviet and Post-Soviet Review, 1 (2-3);\nEicher, C., Witt, L., (1964) Agriculture in Economic Development, , New York: McGraw-Hill;\nEfremov, M., The West is Attacking Russia with Spoiled Food Products (1996) Zemlia i Trud, (6);\nGaidar, E., We Are Prepared to Cooperate with Farmers in Conditions of Agreement and Equal Responsibility (1992) Krest'ianskie Vedomosti, (7);\nGaidar, E., Priorties Will Be Given to Farmers (1993) Rossiiskii Fermer, (40);\nGalkin, E., Farmers Respect El'tsin (1995) Krest'ianskaia Rossiia, (25);\nGavichkin, V., Private Land Owners of Russia Unite! (1995) Rossiiskii Fermer, (9-10);\nGluken'kaia, G., The Use of Land by Peasant Farms (1995) APK: Ekonomika, Upravlenie, (8);\n(1991) The Development of Peasant Farms in the Oblast, , Kostroma: Goskomstat;\n(1994) Peasant Farms in the Oblast on 1 January 1994 (According to Survey Results), , Kostroma: Goskomstat;\n(1992) Peasant Farm of the Russian Federation (According to Survey Data on 1 January 1992), , Moscow: Goskomstat;\n(1993) The Russian Federation in 1992: A Statistical Yearbook, , Moscow: Goskomstat;\n(1994) The Results of Economic Activities of Peasant Farms in the Russian Federation during 1993, , Moscow: Goskomstat;\n(1995) The Results of Economic Activities of Peasant Farms in the Russian Federation during 1994, , Moscow: Goskomstat;\n(1995) Statistical Observer, (10);\nGray, K.R., Markish, Y., Russian Land Privaisation: Two Decrees Forward, One Decree Backward? (1992) Economies in Transition Agriculture Report, 5 (1);\nInfanger, C.L., An Inside View of Russian Agrarian Reform (1994) The Soviet and Post-Soviet Review, 21 (2-3);\nJohnson, D.G., Brooks, K.M., (1983) Prospects for Soviet Agriculture in the 1980s, , Bloomington, IN: Indiana University Press;\nKholod, L., The State Has Left, but Monopolism is Still Dangerous (1995) Krest'ianskie Vedomosti, (46);\nKozlov, M., The Financial Condition of Agricultural Enterprises in Market Conditions (1995) APK: Ekonomika, Upravlenie, (9);\nKuchukov, P., The Multiplicity [of Land Tenure] and the Development of a Market Economy (1995) APK: Ekonomika, Upravlenie, (10);\nKuznets, S., (1964) Economic Growth and the Contribution of Agriculture: Notes on Measurements, , in Eicher [1964];\nKuznetsov, V., Why State Regulation of the Development of the APK is Necessary (1995) APK: Ekonomika, Upravlenie, (5);\nLewin, M., (1968) Russian Peasants and Soviet Power: A Study of Collectivisation, , New York: W.W. Norton;\nLipton, M., (1976) Why People Stay Poor: Urban Bias in World Development, , Cambridge, MA: Harvard University Press;\nMacey, D.A.J., Is Agrarian Privatisation on the Right Path? A Discussion of Historical Models (1994) The Soviet and Post-Soviet Review, 21 (2-3);\nMarkin, B.K., The Status of Peasant Farms in the Volga (1995) Ekonomika Sel'skokhoziaistvennykh i Pererabatyvaiushchikh Predpriiatii, (11);\nMedvedev, Z., (1987) Soviet Agriculture, , New York: W.W. Norton;\nMilovanov, L., The Party Suggests (1995) Krest'ianskie Vedomosti, (9);\nMoiseev, A., Unprofessionalism Adorns the Pages of &amp;quot;Russian Gazette,&amp;quot; (1994) Rossiiskie Fermer, (7);\nMoore Jr., B., (1966) Social Origins of Dictatorship and Democracy: Lord and Peasant in the Making of the Modern World, , Boston, MA: Beacon Press;\n(1987) National Economy of the USSR during 70 Years: Anniversary Statistical Yearbook, , Moscow: Finansy i statistika;\nNikolin, A., The Union of Landowners Joins &amp;quot;Our Home&amp;quot; (1995) Krest'ianskie Vedomosti, (30);\nPallot, J., Update on Russian Federation Land Reform (1993) Post-Soviet Geography, 34 (3);\nProgramme of the Agrarian Party of Russia (1994) Zemlia i Trud, (1);\nProsterman, R.L., Hanstad, T., Rolfes Jr., L.J., (1993) Agrarian Reform in Russia, , RDI Monograph on Foreign Aid and Development No.11, Seattle: Rural Development Institute;\nProsterman, R.L., Hanstad, T., (1993) A Fieldwork-Based Appraisal of Individual Peasant Farming in Russia, , Van Atta [1993];\nPuzanovskii, A., Ivantsov, A., The Demographic Factor in the Development of Farming (1994) APK: Ekonomika, Upravlenie, (2);\nResolution of the All-Russian Congress of Landowners on State Support for Agrarian Reform and Private Farming (1995) Rossiiskii Fermer, (38);\nSazonov, S., Social-Economic Aspects of the Development of the Peasant Farmer Movement in Russia (1995) APK: Ekonomika, Upravlenie, (5);\nSuslov, A., Why Do We Need Futures (1995) Sel'skaia Zhizn, , 26 Dec;\nVan Atta, D., Political Mobilisation in the Russian Countryside: Creating Social Movements from above (1991) Perestroika from Below: Social Movements in the Soviet Union, , Judith B. Sedaitis and Jim Butterfield (eds.), Boulder, CO: Westview Press;\nVan Atta, D., The Human Dimension of Agrarian Reform in Russia (1993) Post-Soviet Geography, 34 (4);\nVan Atta, D., (1993) The Farmer Threat: The Political Economy of Agrarian Reform in Post-Soviet Russia, , Boulder: CO: Westview Press;\nVasil'ev, G., Under the Heavy Press of Food Intervention (1996) Zemlia i Liudi, (5);\nVolin, L., (1970) A Century of Russian Agriculture: from Alexander II to Khrushchev, , Cambridge, MA: Harvard University Press;\nWegren, S.K., Private Farming and Agrarian Reform in Russia (1992) Problems of Communism, 41 (3);\nWegren, S.K., Agricultural Reform in the Nonchernozem Zone: The Case of Kostroma Oblast (1992) Post-Soviet Geography, 33 (10);\nWegren, S.K., Two Steps Forward, One Step Back: The Politics of an Emerging New Rural Social Policy in Russia (1992) The Soviet and Post-Soviet Review, 19 (1-3);\nWegren, S.K., (1993) Political Institutions and Agrarian Reform in Russia, , in Van Atta [1993];\nWegren, S.K., Trends in Russian Agrarian Reform (1993) RFFJRL Research Report, 2 (12);\nWegren, S.K., Yel'tsin Decree on Land Relations: Implications for Agrarian Reform (1994) Post-Soviet Geography, 5 (3);\nWegren, S.K., Rural Reform and Political Culture in Russia (1994) Europe-Asia Studies (Formerly Soviet Studies), 46 (2);\nWegren, S.K., Farm Privatisation in Nizhnii Novgorod: The Model for Russia? (1994) RFE/RL Research Report, 3 (21);\nWegren, S.K., New Perspectives on Spatial Patterns of Agrarian Reform: A Comparison of Two Oblasts (1994) Post-Soviet Geography, 35 (8);\nWegren, S.K., Rural Politics and Agrarian Reform in Russia (1996) Problems of Post-Communism, 3 (1);\nWegren, S.K., From Farm to Table: The Food System in Post-Communist Russia (1996) Communist Economies and Economic Transformation, 8 (2);\nWegren, S.K., Durgin, F.A., Why Agrarian Reform in Failing (1995) Transition, 1 (19);\nYeltsin, B., I Promise to My People to Form a Cabinet of Reform and I Count on the Understanding and Support of the Deputies and Every Russian Citisen (1991) Izvestiia, , 28 Oct;\nYeltsin, B., The President Supports Democratic Forces in the Countryside (1993) Rossiiskii Fermer, (16);\nZelepugin, A., The Development of Agro-Service Relations (1995) APK: Ekonomika, Upravlenie, (8);\nZhurek, S., Transforming Russian Agriculture: Why is Privatisation so Difficult? (1994) The Soviet and Post-Soviet Review, 21 (2-3);\nZhurek, S., Food Exchanges Information Network: New Marketing Opportunities in Russia (1995) AAASS 27th National Convention, , paper presented Washington, DC, Oct;\nZvolinskii, V., Food Security is an Important Factor in the Social-Political Stabilisation of Society (1995) Ekonomist, (9)","page":"106-140","publisher":"Frank Cass Publishers","publisher-place":"Department of Political Science, Southern Methodist University, Dallas TX 75275, United States","title":"The politics of private farming in Russia","type":"article-journal","volume":"23"},"uris":["http://www.mendeley.com/documents/?uuid=6c32a826-2a57-477e-9b32-0e4bdc9a4109"]}],"mendeley":{"formattedCitation":"(Wegren, 1996; Herring, 2015)","plainTextFormattedCitation":"(Wegren, 1996; Herring, 2015)","previouslyFormattedCitation":"(Wegren, 1996; Herring, 2015)"},"properties":{"noteIndex":0},"schema":"https://github.com/citation-style-language/schema/raw/master/csl-citation.json"}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(Wegren, 1996; Herring, 2015)</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xml:space="preserve">. Also, the study on farmer's social movement covers a variety of disciplines, and experiences a shift in orientation, based on sociological, social, and governance theories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{"citationItems":[{"id":"ITEM-1","itemData":{"DOI":"10.1016/j.landusepol.2020.104999","abstract":"Brazilian small-scale farmers are seeking new types of collaborations and economic opportunities amid a changing world. Market opportunities, however, have incurred demanding environmental, financial and labor requirements, and created trade-offs between expanding cash crops and maintaining livelihood security. We analyze the Tomé-Açu region in the Brazilian Amazon, where different collaborative models between small-scale farmers and other social agents (industries, government, non-governmental organizations) have emerged. Local farmers are engaging in collective actions and pursuing different types of partnerships, which facilitate knowledge exchange and access to market niches, also helping them overcome the infrastructural and logistical deficiencies that have historically limited rural development in the region. In particular, we discuss the diffusion and adoption of agroforestry and oil palm production systems among small-scale farmers. We examine the challenges and opportunities these partnerships and social innovations have created for local farmers, who are part of heterogeneous groups with distinct roles, assets and contexts. The state-led oil palm program posed challenges to small-scale farmers who experienced asymmetrical relationships within their partnership with private companies. On the other hand, the farmer-led agroforestry model opened new opportunities for farmers who had more flexibility in deciding their production arrangements, developing new agroforestry techniques, and pursuing commercialization pathways. Despite their limited power, small-scale farmers have been able to overcome some structural barriers through innovations, entrepreneurship, and renegotiation of oil palm contract farming. Thus, their ability to engage in both farmer-led agroforestry and state-led oil palm programs provides concrete examples of the potential of local governance based on collaborative arrangements to support sustainable farming production systems. © 2020 Elsevier Ltd","author":[{"dropping-particle":"","family":"Futemma","given":"C","non-dropping-particle":"","parse-names":false,"suffix":""},{"dropping-particle":"","family":"Castro","given":"F","non-dropping-particle":"De","parse-names":false,"suffix":""},{"dropping-particle":"","family":"Brondizio","given":"E S","non-dropping-particle":"","parse-names":false,"suffix":""}],"container-title":"Land Use Policy","id":"ITEM-1","issued":{"date-parts":[["2020"]]},"language":"English","note":"Export Date: 21 February 2021\n\nCorrespondence Address: Futemma, C.; State University of Campinas (UNICAMP), Brazil; email: cfutemma@unicamp.br","publisher":"Elsevier Ltd","publisher-place":"State University of Campinas (UNICAMP), Center for Environmental Study and Research (NEPAM), Campinas, SP, Brazil","title":"Farmers and Social Innovations in Rural Development: Collaborative Arrangements in Eastern Brazilian Amazon","type":"article-journal"},"uris":["http://www.mendeley.com/documents/?uuid=3f931efd-f00c-45cc-937a-63f5a8371b45"]}],"mendeley":{"formattedCitation":"(Futemma, De Castro and Brondizio, 2020)","plainTextFormattedCitation":"(Futemma, De Castro and Brondizio, 2020)","previouslyFormattedCitation":"(Futemma, De Castro and Brondizio, 2020)"},"properties":{"noteIndex":0},"schema":"https://github.com/citation-style-language/schema/raw/master/csl-citation.json"}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(Futemma, De Castro and Brondizio, 2020)</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w:t>
      </w:r>
    </w:p>
    <w:p w14:paraId="1E7EE8F0" w14:textId="5C9E33BD" w:rsidR="00197B65" w:rsidRPr="0037337F" w:rsidRDefault="008218B0" w:rsidP="000663AA">
      <w:pPr>
        <w:pStyle w:val="ListParagraph"/>
        <w:spacing w:after="0" w:line="240" w:lineRule="auto"/>
        <w:ind w:left="0" w:firstLine="425"/>
        <w:jc w:val="both"/>
        <w:rPr>
          <w:rFonts w:ascii="Times New Roman" w:hAnsi="Times New Roman" w:cs="Times New Roman"/>
          <w:sz w:val="24"/>
          <w:szCs w:val="24"/>
          <w:lang w:val="id-ID"/>
        </w:rPr>
      </w:pPr>
      <w:r w:rsidRPr="0037337F">
        <w:rPr>
          <w:rFonts w:ascii="Times New Roman" w:hAnsi="Times New Roman" w:cs="Times New Roman"/>
          <w:sz w:val="24"/>
          <w:szCs w:val="24"/>
        </w:rPr>
        <w:t xml:space="preserve">Although the study of the farmer's social movement has expanded the focus and orientation, no research has been carried out to scientifically explain related concepts and issues </w:t>
      </w:r>
      <w:r w:rsidRPr="0037337F">
        <w:rPr>
          <w:rFonts w:ascii="Times New Roman" w:hAnsi="Times New Roman" w:cs="Times New Roman"/>
          <w:sz w:val="24"/>
          <w:szCs w:val="24"/>
        </w:rPr>
        <w:fldChar w:fldCharType="begin" w:fldLock="1"/>
      </w:r>
      <w:r w:rsidRPr="0037337F">
        <w:rPr>
          <w:rFonts w:ascii="Times New Roman" w:hAnsi="Times New Roman" w:cs="Times New Roman"/>
          <w:sz w:val="24"/>
          <w:szCs w:val="24"/>
        </w:rPr>
        <w:instrText>ADDIN CSL_CITATION {"citationItems":[{"id":"ITEM-1","itemData":{"DOI":"10.2307/1388434","ISSN":"07311214 (ISSN)","author":[{"dropping-particle":"","family":"Hiller","given":"H H","non-dropping-particle":"","parse-names":false,"suffix":""}],"container-title":"Sociological Perspectives","id":"ITEM-1","issue":"3","issued":{"date-parts":[["1975"]]},"language":"English","note":"Cited By :5\n\nExport Date: 3 March 2021\n\nCorrespondence Address: Hiller, H.H.; University of CalgaryCanada\n\nReferences: Ash, R., (1972) Social Movements in America, , Chicago Markham; \nBlumer, H., Collective behavior (1951), pp. 167-222. , LeeA. M.(ed.) Principles of Sociology. New York Barnes &amp;amp; Noble; Brewer, E.D.C., Sect and church in Methodism (1952) Social Forces, 30, pp. 400-408;\nCameron, W.B., (1966) Modern Social Movements: A Sociological Outline, , New York Random House;\nDawson, C., Gettys, W.E., (1951) Introduction to Sociology, , New York Ronald Press;\nDouglas, C.H., (1921) Economic Democracy, , London;\nFestinger, L., Riecken, H., (1956) When Prophecy Fails, , Minneapolis Univ. of Minnesota Press;\nFinlay, J.L., (1972) Social Credit: The English Origins, , Montreal McGill-Queens Univ. Press;\nGlock, C.Y., The role of deprivation in the origin and evolution of religious groups (1964) Robert Lee and Martin Marty, Religion and Social Conflict, , New York Oxford Univ. Press;\nGusfield, J.R., (1963) Symbolic Crusade: Status Politics and the American Temperance Movement, , Chicago Univ. of Illinois Press;\nHiskett, W.R., Franklin, J.R., (1939) Searchlight on Social Credit, , London;\nHopper, R.D., The revolutionary process: A frame of reference for the study of revolutionary movements (1950) Social Forces, 38, pp. 270-279;\nIrving, J.A., (1959) The Social Credit Movement in Alberta, , Toronto Univ. of Toronto Press;\nKing, C.W., (1956) Social Movements in the United States, , New York Random House;\nKlapp, O., (1972) Currents of Unrest: An Introduction to Collective Behavior, , New York Holt, Rinehart &amp;amp; Winston;\nKornhauser, W., (1959) The Politics of Mass Society, , New York Free Press;\nLang, K., Lang, G.E., (1961) Collective Dynamics, , New York Thomas Y. Crowell;\nLipset, S.M., (1968) Agrarian Socialism: The Cooperative Commonwealth Federation in Saskatchewan, , Garden City, N.Y. Doubleday;\nMacpherson, C.B., (1953) Democracy in Alberta: Social Credit and the Party System, , Toronto Univ. of Toronto Press;\nMarx, K., Engels, F., (1947) The German Ideology, , New York International Publishers;\nMauss, A.C., On being strangled by the stars and stripes: The new left, the old left, and the natural history of American radical movements (1971) J. of Social Issues, 27, pp. 183-202;\nMeier, A., Who are the true believers? A tentative typology of the motivations of civil rights activists (1965) (1970), GusfieldJ. R.(ed.) Protest, Reform, and Revolt: A Reader in Social Movements. New York John Wiley; Messinger, S., Organizational transformation: A case study of a declining social movement (1955) Amer. Soc. Rev., 20, pp. 3-10;\nMorrison, D.E., Steeves, A.D., Deprivation, discontent, and social movement participation: Evidence on a contemporary farmers' movement, the NFO (1967) Rural Sociology, 32, pp. 414-434;\nNelson, H., Leadership and change in an evolutionary movement (1971) Social Forces, 49, pp. 353-371;\nPinard, M., (1971) The Rise of a Third Party, , Englewood Cliffs, N.J. Prentice-Hall;\nQuarantelli, E.L., Shibutani, T., Emergent accommodation groups: Beyond current collective behavior typologies (1970) Human Nature and Collective Behavior, , Englewood Cliffs, N.J. Prentice-Hall;\nSmelser, N., (1963) Theory of Collective Behavior, , New York Free Press;\nSwanson, G.E., Shibutani, T., Toward corporate action: A reconstruction of elementary collective processes (1970) Human Nature and Collective Behavior, , Englewood Cliffs, N.J. Prentice-Hall;\nToch, H., (1965) The Social Psychology of Social Movements, , New York Bobbs-Merrill;\nTurner, R.H., Killian, L.M., (1972) Collective Behavior, , Englewood Cliffs, N.J. Prentice-Hall;\nWilson, B.R., (1970) Religious Sects: A Sociological Study, , London Weidenfeld &amp;amp; Nicholson;\nWilson, J., (1973) Introduction to Social Movements, , New York Basic Books;\nZakuta, L., (1964) A Protest Movement Becalmed: A Study of Change in the CCF, , Toronto Univ. of Toronto Press;\nZald, M., (1970) Organizational Change: The Political Economy of the YMCA, , Chicago Univ. of Chicago Press;\nZald, M., Ash, R., Social movement organizations: Growth, decay, and change (1966) Social Forces, 44, pp. 327-340","page":"342-360","publisher-place":"University of Calgary, Canada","title":"A reconceptualization of the dynamics of social movement development","type":"article-journal","volume":"18"},"uris":["http://www.mendeley.com/documents/?uuid=9659d8d0-2858-485b-85e6-bb03c6a5972e"]},{"id":"ITEM-2","itemData":{"DOI":"10.1177/006996670003400202","ISSN":"00699667 (ISSN)","abstract":"This study, based upon fieldwork in selected villages, examines 'new' forms of dalit assertion in Meerut district. Despite a long history of dalit assertion, the Bahujan Samaj Party (BSP) has not been electorally successful in this region, and has had to compete with the Samajwadi Party. Dalit assertion here has taken different forms, as much socio-cultural as political. Two forms analysed here are the desire for education to compete with upper castes, and attempts to control local politics and resource distribution through the new panchayats. The study shows that the traditional structures of rural dominance based upon land and social status are undergoing change. The traditionally dominant position of the Rajputs, Jats and Gujars has been challenged by the dalits, and to a lesser extent by the 'Most Backward Castes' (MBCs), but identity assertion and desire for upward mobility have also created conflict between the dalits and the MBCs. The article concludes that socio-cultural and political assertion by dalits at the grassroots level is of greater significance and more helpful to the BSP in establishing itself as a party/movement, than are its electoral successes or capture of political power in the state.","author":[{"dropping-particle":"","family":"Pai","given":"S","non-dropping-particle":"","parse-names":false,"suffix":""}],"container-title":"Contributions to Indian Sociology","id":"ITEM-2","issue":"2","issued":{"date-parts":[["2000"]]},"language":"English","note":"Cited By :22\n\nExport Date: 3 March 2021\n\nCorrespondence Address: Pai, S.; Centre for Political Studies, , New Delhi 110 067, India\n\nReferences: (1999) Ambedkar Gram Vikas Yojana Sambandith Mahatvapoorn Shasanadesh, , (Report in Hindi). Government of Uttar Pradesh, Lucknow; \nAwasthi, R.N., The making of the Scheduled Caste community in Uttar Pradesh (1996) A Study of the SCF and Dalit Politics, pp. 1946-1948. , M.Phil thesis, Department of History. University of Delhi;\nBrass, P.R., (1968) State Politics in India, pp. 60-125. , Uttar Pradesh. Weiner M., ed., Princeton. NJ: Princeton University Press;\nBriggs, G.W., (1920) The Chamars, , London;\n(1991) Census of India, , Series I, Union Primary Abstract, SCs &amp;amp; STs. Paper 1 of 1993. New Delhi: Government Press;\nDeep, T., Report on conversion of Harijans to Sikhism in Nagla Hareru and Sothamali villages (1989) Dinaman, pp. 14-27. , (Hindi) 31 July;\nDrèze, J., Gazdar, H., Uttar Pradesh: The burden of inertia. In Jean Dreze and Amartya Sen (1997) Indian Development: Selected Regional Perspectives, pp. 33-128. , (eds.), New Delhi: Oxford University Press;\nDuncan, R.I., Levels, the communication of programmes and sectional strategies in Indian politics, with reference to the BKD and the RPI in UP state and Aligarh district (1979) Ph.D. Thesis, , University of Sussex;\nKhanna, B.S., (1994) Panchayati Raj: Rural Local Self-Government, National Perspectives and State Studies in India, , New Delhi: Deep &amp;amp; Deep;\nMendelsohn, O., The transformation of authority in rural India (1993) Modern Asian Studies, 27 (4), pp. 804-842;\n(1995) Most Backward Classes Commission, , (Sarvadhik Pichada Varg), Lucknow: Government of Uttar Pradesh;\nMukerji, A.B., (1980) The Chamars of UP: A Study in Social Geography, , New Delhi: Inter India Publishers;\nPai, S., (1993) Uttar Pradesh: Agrarian Change, Electoral Politics, , New Delhi: Shipra Publishers;\nPai, S., New political trends in Uttar Pradesh: The BJP and the Lok Sabha Elections (1998) Economic and Political Weekly, 33 (28), pp. 1841-1845. , 1998;\nPai, S., Singh, J., Politicisation of Dalits and Most Backward Castes: Study of social conflict and political preferences in four villages of Meerut district (1997) Economic and Political Weekly, 32 (23), pp. 1356-1361;\nPatnaik, U., Hasan, Z., Aspects of the farmers movement in UP in the context of uneven capitalist development in Indian agriculture (1995) Industry and Agriculture in India Since Independence: Social Change and Political Discourse in India. Structures of Power, Movements and Resistance, 2, pp. 274-300. , Satyamurthy T.V., ed., New Delhi: Oxford University Press;\nSaxena, G.S., (1990) Arya Samaj Movement in India, pp. 1857-1947. , New Delhi: Commonwealth Publishers;\nScott, J.C., (1985) Weapons of the Weak: Everyday Forms of Peasant Resistance, , New Haven: Yale University Press;\nSethi, S., When Dalit women find their voice (1997) The Times of India, , New Delhi. 28 July;\nSingh, J., (1992) Capitalism and Dependence: Agrarian Politics in Western Uttar Pradesh, pp. 1951-1991. , New Delhi: Manohar Publications;\nSingh, J., Ambedkarisation and assertion of Dalit identity: Socio-cultural protest in Meerut district of western Uttar Pradesh (1998) Economic and Political Weekly, 33 (40), pp. 2611-2618;\nSingh, J., In search of quality education: Alternative schooling in Meerut district in western Uttar Pradesh (1998) Reforming Social Education: Issues in Policy Planning and Implementation, pp. 128-151. , Aggarwal Y., Kusum K., Premi, eds., New Delhi: Vikas Publishers;\nSingh, K.S., (1991) Peoples of India: Communities, Segments, Synonyms, Surnames and Titles, 3. , National Series, New Delhi: Oxford University Press;\nSingh, M., (1947) The Depressed Classes and Their Economic Condition, , Bombay: Hind Kitab;\n(1999) The Times of India, , New Delhi, 10 September","page":"189-220","publisher":"Sage Publications India Pvt. Ltd","publisher-place":"Centre for Political Studies, School of Social Sciences, Jawaharlal Nehru University, New Delhi 110 067, India","title":"New social and political movements of details: A study of Meerut district","type":"article-journal","volume":"34"},"uris":["http://www.mendeley.com/documents/?uuid=b41759f0-0219-4738-98bb-3f03307d7c77"]}],"mendeley":{"formattedCitation":"(Hiller, 1975; Pai, 2000)","plainTextFormattedCitation":"(Hiller, 1975; Pai, 2000)","previouslyFormattedCitation":"(Hiller, 1975; Pai, 2000)"},"properties":{"noteIndex":0},"schema":"https://github.com/citation-style-language/schema/raw/master/csl-citation.json"}</w:instrText>
      </w:r>
      <w:r w:rsidRPr="0037337F">
        <w:rPr>
          <w:rFonts w:ascii="Times New Roman" w:hAnsi="Times New Roman" w:cs="Times New Roman"/>
          <w:sz w:val="24"/>
          <w:szCs w:val="24"/>
        </w:rPr>
        <w:fldChar w:fldCharType="separate"/>
      </w:r>
      <w:r w:rsidRPr="0037337F">
        <w:rPr>
          <w:rFonts w:ascii="Times New Roman" w:hAnsi="Times New Roman" w:cs="Times New Roman"/>
          <w:noProof/>
          <w:sz w:val="24"/>
          <w:szCs w:val="24"/>
        </w:rPr>
        <w:t>(Hiller, 1975; Pai, 2000)</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xml:space="preserve">. Previous studies were carried out partially, with the research implementation carried out based on different perspectives and disciplines. Therefore, this research only has the ability to reveal one main problem, which is in line with the perspective and disciplines utilized </w:t>
      </w:r>
      <w:r w:rsidRPr="0037337F">
        <w:rPr>
          <w:rFonts w:ascii="Times New Roman" w:hAnsi="Times New Roman" w:cs="Times New Roman"/>
          <w:sz w:val="24"/>
          <w:szCs w:val="24"/>
        </w:rPr>
        <w:fldChar w:fldCharType="begin" w:fldLock="1"/>
      </w:r>
      <w:r w:rsidR="0037337F" w:rsidRPr="0037337F">
        <w:rPr>
          <w:rFonts w:ascii="Times New Roman" w:hAnsi="Times New Roman" w:cs="Times New Roman"/>
          <w:sz w:val="24"/>
          <w:szCs w:val="24"/>
        </w:rPr>
        <w:instrText>ADDIN CSL_CITATION {"citationItems":[{"id":"ITEM-1","itemData":{"ISSN":"00128686 (ISSN)","author":[{"dropping-particle":"","family":"Dhanagare","given":"D N","non-dropping-particle":"","parse-names":false,"suffix":""}],"container-title":"Eastern Anthropologist","id":"ITEM-1","issue":"2-3","issued":{"date-parts":[["2013"]]},"language":"English","note":"Export Date: 3 March 2021\n\nCorrespondence Address: Dhanagare, D.N.; National Fellow, Indian Institute of Advanced Study, Shimla, India\n\nReferences: Althusser, L., (2005), For Marx, (Translated by B. Brewster), London: Verso; Amin, S., Small Peasant Commodity Production and Rural Indebtedness: the Culture of Sugarcane in Eastern U.P.: 1880-1920 (1982), 1, pp. 39-87. , R.Guha ed. (1982); Arnold, D., Rebellious Hillmen: The Gudem Rampa Rebellion 1839-1924 (1982) Subaltern Studies, 1, pp. 88-142. , R. Guha ed; \nArora, V., Politics of class(ness) in the farmers' movement in India: Validity of the New Social Movement paradigm (2001) Sociological Bulletin, 51 (2), pp. 84-121;\nAssadi, M., (1997) Peasant Movement in Karnataka 1980-94, , Delhi: Shipra Publications;\nBanerjee, S., India's Simmering Revolution: The Naxalite Uprising (1984) New Delhi: Select- Book Service Syndicate;\nBhadra, G., Two frontier uprisings in Mugal India (1983) Subaltern Studies 2, pp. 43-49. , R. Guha (ed),New Delhi, Oxford University Press;\nBrass, P.R., An Indian Political Life - Charan Singh and Congress Politics 1957- 1967 (2012) Regionalism, Discontent and Decline of the Congress, (The Politics of Northern India: 1937 to 1987, 2. , New Delhi: Sage Publications India;\nCanovan, M., (1982) The strategies for the study of populism, 25, pp. 544-552. , Political Studies;\nCanovan, M., Trust the people !Populism and the two faces of democracy (1991) Political Studies, 47 (1), pp. 2-16;\nChandralekha, (2012) Ordinary People - Extraordinary Violence, , New Delhi: Routledge;\nChatterjee, P., After Subaltern Studies (2012) Economic and Political Weekly, 47 (35), pp. 44-49;\nCohen, J., Strategy or identity: New theoretical paradigm and contemporary socialmovements (1985) Social Research, 52, pp. 663-716;\nCollier, R.B., Populism (2001) International Encyclopaedia of Social and Behavioural Sciences, 17, pp. 816-11813. , (eds. N. J. Smelser and Paul B. Baltes), Amsterdam: Elsevier;\nCrasweller, R.D., (1987) Peron and the Enigmas of Argentina, , New York: W.W. Norton;\nDesai, A.R., (1969) Rural Sociology in India, , Bombay: Popular Publishers.: (Fourth revised edition);\nDhanagare, D.N., (1983) Peasant Movements in India, , 1920-1950, Delhi: Oxford University Press;\nDhanagare, D.N., Agrarian reforms and rural development in India - Some observations, Research in Social Movements (1984) Conflict and Change, 7, pp. 177-201. , (U.S.A.);\nDhanagare, D.N., Green Revolution and Social Inequalities in Rural India (1987) Economic and Political Weekly, 22 (19-21), pp. AN137-AN144;\nDhanagare, D.N., The class character and politics of the farmers movement in Maharashtra during the 1980s (1994) The Journal of Peasant Studies, 21 (3-4), pp. 72-94;\nDhanagare, D., John, J., Cyclical movement towards the eternal: Nine theses on social movements (1988) Economic and Political Weekly, 23 (21), pp. 1089-1092. , (May 21, 1988);\nDi Tella, T., Populism and reform in Latin America (1970) Obstacles to Change in Latin America, , C. Velitz (ed.),Oxford: Oxford University Press;\nDube, S.C., Community Development-A Critical Review (1969), pp. 622-626. , A.R. Desai (ed.); Duyker, E., (1987) Tribal Guerrillas: The Santals of West Bengal and the Naxalite Movement, , Delhi: Oxford University Press;\nFrank, A.G., Fuentes, M., Nine Thesis on Social Movements (1987) Economic and Political Weekly, 22 (35), pp. 1503-1510;\nGawande, D., (2011), NaxalvadacheAvhan - DandakaranyatilAswasthaWartaman (The Challenge of Naxalism - The Uneasy Present in Dandakaranya) (in Marathi), Pune: Sadhana Prakashan; Ghosh, S., (1974) The Naxalite Movement - A Maoist Experiment, , Calcutta: Firma K. L. Mukhopadhyay;\nGill, S.S., Singhal, K.C., Farmers' agitation: Response to development crisis in agriculture (1984) Economic and Political Weekly, 19 (40). , (October 6);\nGill, S.S., Singhal, K.C., The farmers' movement and agrarian change in the Green Revolution belt of North West India (1994) The Journal of Peasant Studies, 21 (3-4), pp. 195-211;\nGoodwyn, L., (1976) Democratic Promise:The Populist Movement in America, , New York: Oxford University Press;\nGramsci, A., (1976) Selections from the Prison Notebooks, , London: Lawrence and Wishart;\nGrolier, (1993) Grolier Encyclopaedia of Knowledge, 15, p. 132. , (for Populist Party);\nGuha, R., (1082) Elementary Forms of Peasant Insurgency in Colonial India, , New Delhi: Oxford University Press;\nGuha, R., (1998) Dominance without Hegemony -History and Power in Colonial India, , Delhi: Oxford University Press;\nGupta, D., Country-town nexus and agrarian mobilisation - Bharatiya Kisan Union as an instance (1988) Economic and Political Weekly, 23 (51), pp. 2688-2696. , (December 17);\nHabermas, J., (1987) The Theory of Communicative Action: Life-worlds and System - A Critique of Functionalist Reason, 2. , Boston Mass.: Beacon Press;\nHasan, Z., (1989), Dominance and Mobilisation - Rural Politics in Western Uttar Pradesh; Hasan, Z., (1930), Delhi: Sage Publications; Hasan, Z., Self-serving guardians Formation and strategy of BKU (1989) Economic and Political Weekly, 24 (40);\nHasan, Z., Shifting grounds: Hindutva politics and the farmers' movement in U.P. (1994) The Journal of Peasant Studies, 21 (3-4), pp. 165-194;\nHicks, J.D., Populist Party (1993) Growlier Encyclopaedia of Knowledge, 15, p. 132;\nHitchcock, P., Structuralist Marxism inGorden, M.,Kriesworth, M. and Szeman, I. Eds (2012) Contemporary Literary and Cultural Theory, pp. 317-327. , Baltimore: The John Hopkins University;\nIonescu, C., Gellner, E., Populism: Its Meaning and National Characteristics (1968) London: Weidenfeld and Nicholson, pp. 239-240. , Particularly for article On the concept of populism, by Peter Worsley;\nJoshi, P.C., (2012) Naxalism at Glance, , Delhi: Kalpana;\nJoshi, S., PoshindyanchiLokshahi (Democracy of the Feeders of Society, - in Marathi) (2010) Aurangabad: Janashakti Wachak Chalwal;\nJenkins, J.C., Resource Mobilization Theory and the study of social movements (1983) Annual Review of Sociology, 9, pp. 527-563;\nKumar, A., Community Warriors: State, Peasants, and Caste Armies in Bihar (2008), New Delhi: Anthem Press; Kumar, M., (2012) Naxalite movement in Bihar: Ideology,Setting, Practice and Outcome, , New Delhi: Manak Publication;\nLaclau, E., (1979) Politics and Ideology in Marxist Theory, , London: Verso edition;\nLennenberg, C., Sharad Joshi and the farmers: The middle peasant lives (1988) Pacific Affairs, 61 (3), pp. 446-464;\nLindberg, S., New farmers' movement in India as a structural response and collectiveidentity formation- The case of Shetkari Sanghatana and the BKU (1994) The Journal of Peasant Studies, 21 (3-4), pp. 95- 125;\nMacCarthy, M., Resource Mobilisation: and social movements: A partial theory (1977) American Journal of Sociology, 82, pp. 1212-1241;\nMacCarthy, J.D., Zald, M.V., Resource mobilisation: An analysis of conflicting theoretical variations (1973) The Sociological Quarterly, 29, pp. 97-110;\nMalloy, J.M., Authoritarianism and corporatism in Latin America: the modal pattern (1977) J. M. Malloy (ed.) Authoritarianism and Corporatism in Latin America, , Pittsburgh: University of Pittsburgh Press;\nManosmita, M., Aruna, C., Libina, K., Beyond resource mobilisation theory: Dynamic paradigm of Chengara struggle (2012) Journal of Sociology and Social Anthropology, 3 (1), pp. 29-35;\nMeyendorff, A., European Russia - Agrarian Movements (1963) Encyclopaedia of Social Sciences, 1, pp. 505-507. , New York: The Macmillan Co.;\nMouzelis, N., On the concept of populism: Populist and clientilist modes of incorporation in semi-peripheral politics (1985) Politics and Society, 14 (3), pp. 329-343;\nMukherjee, A.P., (2007), Maoist 'Spring Thunder: Naxalite Movement (1967-1972), Calcutta: K. P. Bagchi and Company; Mukherji, N., (2012) The Maoist in India: Tribals under Seige, , Kindle Books ed;\nMukherji, P.N., Naxalbari Movement and peasant revolt in North Bengal, in M.S.A. Rao ed (1978) Social Movements in India, 1, pp. 17-90;\nNadkarni, M.V., (1987) Farmers' Movements in India, , New Delhi: Allied Publishers;\nOberschal, A., (1973) Social Conflict and Social Movements, , Prentice Hall Publisher;\nOommen, T.K., (1972) Charisma, Stability and Change- An Analysis of Bhoodan-Gramdan Movement in India, , New Delhi: Thompson Press (India) Ltd;\nOommen, T.K., Multiple modernities and the rise of New Social Movements: The case of India (2001) Indian Social Science Review, 3 (1), pp. 1-16;\nOmvedt, G., (1993) Reinventing Revolution: New Social Movements and the Socialst Tradition in India, , New York: M.E. Sharpe Inc;\nOmvedt, G., (1994) Dalits and the Democratic Revolution - Dr. Ambedkar and the Dalit Movement in Colonial India, , New Delhi: Sage;\nPaige, J.A., (1983) Peron: A Biography, , New York: Random House;\nPandey, G., Rallying around the cow: Sectarian strife in the Bhojpur region: 1888-1917 (1983) R. Guha ed. Subaltern Studies, 2, pp. 60-120. , Delhi: OUP;\nPattnaik, B.K., Collective mobilizations by the development induced: Studies in contemporary tribal resistance movements from Orissa (2011) The Eastern Anthropologist, 64 (3), pp. 333-370;\nPiccone, P., Ulman, G., Populism and the new politics (1995) Telos (A Quarterly Journal of Critical Thought), (3), pp. 5-7. , (Spring);\nRajan, M.S.A., (1986) Land Reforms in Karnataka: An account by a participant observer, , Delhi: Hindustan Publication;\nRam, M., (1974) Maoism in India, , New York: Barnes &amp;amp; Noble, Inc;\nSahoo, S., Pattnaik, B.K., Understanding People's Science Movement in India: From the vantage of social movements perspective (2012) Sociology of Science and Technology, 3 (2), pp. 7-72;\nSingh, R., Agrarian social structure and peasant unrest: A study of 'Land Grab movement in District Basti in East U.P. (1974) Sociological Bulletin, 23 (1), pp. 44-70;\nSeal, A., (1968) Emergence of Indian Nationalism - Competition and Collaboration in the late Nineteenth Century, , Cambridge University Press;\nSubramanian, N., (2011) Ethnicity and Populist Mobilization - Political Parties, Citizens, and Democracy, , New Delhi: Oxford University Press (Second impression);\nTaggart, P., (2002) Populism (Concepts in the Social Sciences-Series), , New Delhi: Viva Books;\nTaguieff, P., Political Science confronts populism: From a conceptual mirage to a real problem (1993) Telos, (103), pp. 9-42. , (Special Issue)- (Spring);\nTherborn, G., (1982) The Ideology of Power and the Power of Ideology, , London: Verso;\nTouraine, A., (1981) The Voice and the Eye-An Analysis of Social Movements, , New York: Cambridge University Press;\nTucker, K.H., How new are new social movements (1991) Theory Culture and Society, 8 (2), pp. 75-98;\nUlam, A.B., (1998) Prophets and Conspirators in Pre-revolutionary Russia, , New Brunswick, N. J.: Transaction","page":"163-217","publisher":"Serials Publications","publisher-place":"Indian Institute of Advanced Study, Shimla, India","title":"Understanding the new farmers' movement in Maharashtra: Towards an analytical framework","type":"article-journal","volume":"66"},"uris":["http://www.mendeley.com/documents/?uuid=a2abc035-1ac2-48e8-b977-ff1b63a5ac46"]}],"mendeley":{"formattedCitation":"(Dhanagare, 2013)","manualFormatting":"by Dhanagare (2013)","plainTextFormattedCitation":"(Dhanagare, 2013)","previouslyFormattedCitation":"(Dhanagare, 2013)"},"properties":{"noteIndex":0},"schema":"https://github.com/citation-style-language/schema/raw/master/csl-citation.json"}</w:instrText>
      </w:r>
      <w:r w:rsidRPr="0037337F">
        <w:rPr>
          <w:rFonts w:ascii="Times New Roman" w:hAnsi="Times New Roman" w:cs="Times New Roman"/>
          <w:sz w:val="24"/>
          <w:szCs w:val="24"/>
        </w:rPr>
        <w:fldChar w:fldCharType="separate"/>
      </w:r>
      <w:r w:rsidRPr="0037337F">
        <w:rPr>
          <w:rFonts w:ascii="Times New Roman" w:hAnsi="Times New Roman" w:cs="Times New Roman"/>
          <w:noProof/>
          <w:sz w:val="24"/>
          <w:szCs w:val="24"/>
        </w:rPr>
        <w:t>by Dhanagare (2013)</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This research contributes to the formulation of a conceptual model for the development of farmers’ social movement studies, such as concept development-oriented and those geared towards disclosing problems in the agricultural sector.</w:t>
      </w:r>
    </w:p>
    <w:p w14:paraId="05BAF9A3" w14:textId="2A57FFC2" w:rsidR="00197B65" w:rsidRDefault="008218B0" w:rsidP="000663AA">
      <w:pPr>
        <w:pStyle w:val="ListParagraph"/>
        <w:spacing w:after="0" w:line="240" w:lineRule="auto"/>
        <w:ind w:left="0" w:firstLine="425"/>
        <w:jc w:val="both"/>
        <w:rPr>
          <w:rFonts w:ascii="Times New Roman" w:hAnsi="Times New Roman" w:cs="Times New Roman"/>
          <w:sz w:val="24"/>
          <w:szCs w:val="24"/>
        </w:rPr>
      </w:pPr>
      <w:r w:rsidRPr="0037337F">
        <w:rPr>
          <w:rFonts w:ascii="Times New Roman" w:hAnsi="Times New Roman" w:cs="Times New Roman"/>
          <w:sz w:val="24"/>
          <w:szCs w:val="24"/>
        </w:rPr>
        <w:t xml:space="preserve">The conceptual model has an impact on the exploration of problems in the agricultural sector in a comprehensive manner </w:t>
      </w:r>
      <w:r w:rsidRPr="0037337F">
        <w:rPr>
          <w:rFonts w:ascii="Times New Roman" w:hAnsi="Times New Roman" w:cs="Times New Roman"/>
          <w:sz w:val="24"/>
          <w:szCs w:val="24"/>
        </w:rPr>
        <w:fldChar w:fldCharType="begin" w:fldLock="1"/>
      </w:r>
      <w:r w:rsidR="0037337F" w:rsidRPr="0037337F">
        <w:rPr>
          <w:rFonts w:ascii="Times New Roman" w:hAnsi="Times New Roman" w:cs="Times New Roman"/>
          <w:sz w:val="24"/>
          <w:szCs w:val="24"/>
        </w:rPr>
        <w:instrText>ADDIN CSL_CITATION {"citationItems":[{"id":"ITEM-1","itemData":{"DOI":"10.1016/j.jrurstud.2020.06.019","ISSN":"07430167 (ISSN)","abstract":"Agricultural cooperatives (ACs) are major players in European farming, where they account for 40–60% of agricultural trade, and are key actors in articulating rural realities. This paper offers a solidary critique of ACs beyond the dominant institutional economics lens, and aims to resume the debate on their de/repoliticisation. Evidence presented points towards a continuous process of co-optation of ACs by the dominant food regime as well as decreased adherence to cooperative principles, revealing theoretical parallelisms with the organic and fair trade movements. While acknowledging the important role ACs play in supporting farmers, many of who interviewed for this research reported they could not survive without them, this paper warns of the loss of their historical political roots, and introduces a new theoretical framework for a more integrated study of ACs in the context of wider food system forces. The framework is composed of three conceptual components: first, the coooperative triangle illustrates interwoven cooperative identitary dimensions; second, the cooperative hourglass depicts ongoing tensions between the cooperative economic and governance model, and the market economy they exist in; and third, the concept of cooperative sustainability brings together the previous two components to analyse ACs' ability and capacity to maintain the dimensions indicated in the cooperative triangle while also fostering environmental sustainability through their practices. © 2020","author":[{"dropping-particle":"","family":"Ajates","given":"R","non-dropping-particle":"","parse-names":false,"suffix":""}],"container-title":"Journal of Rural Studies","id":"ITEM-1","issued":{"date-parts":[["2020"]]},"language":"English","note":"Cited By :1\n\nExport Date: 3 March 2021\n\nCODEN: JRSTF\n\nFunding details: University of London, UoL\n\nFunding text 1: This research was funded by the Centre for Food Policy at City, University of London .\n\nReferences: Ajates, R., Agricultural cooperatives remaining competitive in a globalised food system: At what cost to members, the cooperative movement and food sustainability? (2019) Organization, 27 (2), pp. 337-355; \nAjates Gonzalez, R., Going back to go forwards? From multi-stakeholder cooperatives to Open Cooperatives in food and farming (2017) J. Rural Stud., 53, pp. 278-290;\nAjates Gonzalez, R., The solution cannot be conventionalised: protecting the alterity of fairer and more sustainable food networks (2017) Food Futures: Multidisciplinary Solutions, , J. Duncan M. Bailey Routledge ISBN (Electronic) 9781138206168, ISBN (Print) 9781138207004;\nAjates Gonzalez, R., Thomas, J., Chang, M., Translating agroecology into policy: The case of France and the United Kingdom (2018) Sustainability, 10 (8), p. 2930;\nAltieri, M., (2007) Fatal Harvest: Old and New Dimensions of the Ecological Tragedy of Modern Agriculture. Sustainable Resource Management, pp. 189-213. , Nemetz Peter Edward Elgar Publishers Cambridge;\nBaranchenko, Y., Oglethorpe, D., The potential environmental benefits of co-operative businesses within the climate change agenda (2012) Bus. Strat. Environ., 21 (3), pp. 197-210;\nBarton, D., Cooperative principles (1989) Cooperatives in Agriculture, , David Cobia Prentice Hall;\nBerthelot, J., The European agricultural cooperatives, promoters of the unequal globalization (2012) Solidarité, pp. 1-12. , https://www.sol-asso.fr/wp-content/uploads/2012/08/EU_agricultural_cooperatives_promoters_of_the_unequal_globalization_Solidarite.pdf, Available:;\nBijman, J., Agricultural Cooperatives and Market Orientation: a Challenging Combination? Market Orientation: Transforming Food and Agribusiness Around the Customer (2010), pp. 119-136; Bijman, J., Hanisch, M., van der SANGEN, G., Shifting control? The changes of internal governance in agricultural cooperatives in the EU (2014) Ann. Public Cooperat. Econ., 85 (4), pp. 641-661;\nBijman, J., Iliopoulos, C., Poppe, K., Support for Farmers' Cooperatives, Case Study Report (2012), Wageningen UR Wageningen; Bijman, J., Pyykkönen, P., Ollila, P., Transnationalization of agricultural cooperatives in Europe (2014) The Dovenschmidt Q., 4, pp. 168-178;\nBirchall, J., Co-op: the People's Business (1994), Manchester University Press Manchester; Birchall, J., Co-operative principles ten years on (2005) Int. Co- op. Alliance, 98 (2), pp. 45-63;\nBirchall, J., People-centred Businesses: Co-operatives, Mutuals and the Idea of Membership (2010), Palgrave Macmillan London; Buck, D., Daniel, Getz, C., Guthman, J., From farm to table: The organic vegetable commodity chain of northern California (1997) Sociologia Ruralis, 37 (1), pp. 3-20;\nCalle Collado, A., Soler Montiel, M., La desafección al sistema agroalimentario: ciudadanía y redes sociales (2012) Interf. A Journal for and about Soc. Movements, 4 (2), pp. 459-489;\nChaddad, F., Both markets and hierarchy: understanding the hybrid nature of cooperatives (2009) International Workshop “Rural Cooperation in the 21st Century: Lessons from the Past, Pathways to the Future” Rehovot, Israel, June 15-17;\nChloupkova, J., Svendsen, G.L.H., Svendsen, G.T., Building and destroying social capital: the case of cooperative movements in Denmark and Poland (2003) Agric. Hum. Val., 20 (3), pp. 241-252;\nCooperativas Agro-alimentarias, Estudio diagnóstico sobre la situación del Cooperativismo Agroalimentario en España, Análisis DAFO (2013), Cooperativas Agro-alimentarias Madrid; Co-operatives, U.K., Agricultural Co-operatives, Policy Position Briefing (2014), Co- operatives UK Manchester; The power of cooperation. Cooperatives Europe key figures 2015 (2016), https://coopseurope.coop/sites/default/files/The_power_of_Cooperation_Cooperatives_Europe_key_statistics_2015.pdf, Available:; History and objectives. COGECA (2015), http://www.copa-cogeca.be/Main.aspx?page=CogecaHistory&amp;amp;lang=en, Available: (Accessed 3 September 2015); Cook, M.L., Iliopoulos, C., Beginning to Inform the Theory of the Cooperative Firm: Emergence of the New Generation Cooperative (1999), Agricultural Economics Publications (MU); Cook, M.L., Iliopoulos, C., Chaddad, F.R., Advances in Cooperative Theory since 1990: A Review of Agricultural Economics Literature (2004), pp. 65-90. , Restructuring Agricultural Cooperatives Rotterdam; COPA-COGECA, (2020) European farmers and agri-cooperatives warn against endangering strategic EU interests in food security, agricultural competitiveness and farming income, , https://copa-cogeca.eu/Main.aspx?page=Archive, COPA-COGECA Press release;\nDavey, B., Josling, T.E., McFarquhar, A., Agriculture and the State - British Policy in a World Context (1976), Macmillan London; Denzin, N.K., Giardina, M.D., Qualitative Inquiry and the Politics of Evidence (2008), Left Coast Press; Develtere, P., Co-operatives and development: towards a social movement perspective (1992) Occasional Paper n.92e03. Saskatchewan: Centre for the Study of Co-operatives;\nDunn, J.R., Basic cooperative principles and their relationship to selected practices (1988) J. Agric. Coop., 3, pp. 83-93;\nEmery, S.B., Independence and individualism: conflated values in farmer cooperation? (2015) Agric. Hum. Val., 32 (Issue 1), pp. 47-61;\nEmery, S.B., Forney, J., Wynne-Jones, S., The more-than-economic dimensions of cooperation in food production (2017) J. Rural Stud., 53, pp. 229-235;\nFairtrade Foundation, Fair and Local: Farmers of the World Unite? (2011), Fairtrade Foundation London; Favaro, L., Mediating intimacy online: authenticity, magazines and chasing the clicks (2017) J. Gend. Stud., 26 (3), pp. 321-334;\nFeng, L., Nilsson, J., Ollila, P., Karantininis, K., The Human Values behind Farmers' Loyalty to Their Cooperatives. Limassol: 5th International Conference on Economics and Management of Networks (2011); Fonte, M., Cucco, I., Cooperatives and alternative food networks in Italy. The long road towards a social economy in agriculture (2017) J. Rural Stud., 53, pp. 291-302;\nForney, J., Häberli, I., Co-operative values beyond hybridity: the case of farmers’ organisations in the swiss dairy sector (2017) Journal of Rural Studies, 53, pp. 236-246;\nFriedmann, H., Feeding the empire: The pathologies of globalized agriculture (2005) Socialist register, 41;\nFulton, M., Traditional versus New Generation Cooperative. A Cooperative Approach to Local Economic Development. Westport: Quorum Books, CT (2000); Gaeta, D., Corsinovi, P., (2014) Economics, governance, and politics in the wine market: European Union developments, , Springer;\nGeoSAS, Rwanda Consultation Report. African Gender, Climate Change and Agriculture Support Program (Gccasp) (2012), Addis Ababa: African Union; Giagnocavo, C., The Almería Agricultural Cooperative Model: Creating Successful Economic and Social Communities (2012), United Nations, Division for Social Policy and Development, Department of Economic and Social Affairs New York; Giagnocavo, C., Bienvenido, F., Ming, L., Yurong, Z., Agricultural cooperatives and the role of organisational models in new intelligent traceability systems and big data analysis (2017) Int. J. Agric. Biol. Eng., 10 (5), pp. 115-125;\nGoldsmith, P.D., Kane, S., The Farm Business Environment and New Generation Cooperatives as an Innovation Strategy. NCR-194 Research on Cooperatives Annual Meeting Number (2002); Gómez López, J.D., (2004) Las cooperativas agrarias. Instrumento de desarrollo rural, , Universidad de Alicante Alicante;\nGómez López, J.D., El movimiento cooperativo agrario en España y la Unión Europea: Evolución y cambios verificados ante el proceso de internacionalización del capital (2009) Boletin de Geografia, pp. 15-23;\nGoodman, D., DuPuis, E.M., Goodman, M.K., Alternative Food Networks: Knowledge, Practice and Politics (2011), Routledge Oxon; Gray, T., Agricultural cooperatives (2014) Encyclopedia of Food and Agricultural Ethics, pp. 46-54. , P. Thompson D. Kaplan Springer Netherlands;\nGray, T., Historical tensions, institutionalization, and the need for multistakeholder cooperatives (2014) J. Agric. Food Syst. and Community Dev., 4 (3), pp. 23-28;\nGriffiths, P., Ethical objections to fairtrade (2012) J. Bus. Ethics, 105 (3), pp. 357-373;\nGuthman, J., The trouble with ‘Organic Lite’ in California: a rejoinder to the ‘Conventionalisation’ debate (2004) Sociologia Ruralis, 44 (3), pp. 301-316;\nGuzmán, G.G., Mielgo, A., La investigación participativa en agroecología: Una herramienta para el desarrollo sustentable (2007) Revista Ecosistemas, 16 (1);\nHanisch, M., Rommel, J., Support for farmers’ cooperatives; Case study report. Producer organizations in European dairy farming (2012) Wageningen: Wageningen UR;\nHarris, A., Stefanson, B., Fulton, M., New generation cooperatives and cooperative theory (1996) J. Coop., 11, pp. 15-28;\nHenrÿ, H., (2012) ILO guidelines on co-operative legislation., , http://ica.coop/en/media/news/ilo-updates-guidelines-co-operative-legislation, 3rd revised edn. International Labour Organization;\nHingley, M., Mikkola, M., Canavari, M., Asioli, D., Local and sustainable food supply: The role of European retail consumer co-operatives (2011) Int. J. Food Syst. Dynam., 2 (4), pp. 340-356;\nHuggins, C.D., Control Grabbing and small-scale agricultural intensification: emerging patterns of state-facilitated ‘agricultural investment’ in Rwanda (2014) J. Peasant Stud., 41 (3), pp. 365-384;\nICA, Co-operative identity, values and principles (2015) Int. Cooper. Alliance, , http://ica.coop/en/whats-co-op/co-operative-identity-values-principles;\nICA, Agricultural co-ops in North America and Europe (UN/ECE 1995) (1995), http://www.uwcc.wisc.edu/icic/today/ag/na-europe.html, Available: (Accessed 23 November 2016); Global 300 Report 2010. International Cooperative Alliance (2011), http://ica.coop/sites/default/files/media_items/Global300Report2011.pdf, Available: (Accessed 24 April 2016); Iliopoulos, C., New generation cooperatives: the potential of an innovative institutional arrangement for Mediterranean food supply chains (2005) New Medit, 4 (1), pp. 14-20;\nJones, D., Kalmi, P., Economies of scale versus participation: a Co-operative dilemma? (2012) J. Entrepreneurial and Organ. Divers., 1 (1), pp. 37-64;\nKalmi, P., The disappearance of cooperatives from economics textbooks (2007) Camb. J. Econ., 31 (4), pp. 625-647;\nKarantininis, K., Nilsson, J., Vertical Markets and Cooperative Hierarchies: the Role of Cooperatives in the Agri-Food Industry (2007), Springer, Science &amp;amp; Business Media; Kasabov, E., Investigating difficulties and failure in early-stage rural cooperatives through a social capital lens (2016) Eur. Urban Reg. Stud., 23 (4), pp. 895-916;\nKontogeorgos, A., Sergaki, P., Chatzitheodoridis, F., An assessment of new farmers’ perception about agricultural cooperatives (2017) J. Dev. Entrepreneurship, 22 (1);\nLamine, C., Settling shared uncertainties: local partnerships between producers and consumers (2005) Sociologia Ruralis, 45 (4), pp. 324-345;\nLang, T., Barling, D., Caraher, M., (2009) Food policy: integrating health, environment and society, , Oxford University Press Oxford;\nLevidow, L., Pimbert, M., Vanloqueren, G., Agroecology in Europe: conforming or transforming the dominant agro-food regime (2014) Agroecol. Sustain. Food Syst., 38 (10), pp. 1127-1155;\nLittle, R., Maye, D., Ilbery, B., Collective purchase: Moving local and organic foods beyond the niche market (2010) Environ. Plan., 42 (8), pp. 1797-1813;\nMarcis, J., Sustainability performance evaluation of agricultural cooperatives’ operations: a systemic review of the literature (2019) Environ. Dev. Sustain., 21 (3), pp. 1111-1126;\nMerrett, C.D., Walzer, N., (2004) Cooperatives and Local Development: Theory and Applications for the 21st Century, , M.E. Sharpe New York;\nMooney, P.H., Democratizing rural economy: institutional friction, sustainable struggle and the cooperative movement (2004) Rural Sociol., 69 (1), pp. 76-98;\nMooney, P.H., Majka, T.J., Farmers' and Farmworkers' Movements: Social Protest in American Agriculture. Social Movements Past and Present (1995), Twayne Publishers Inc USA; Mooney, P.H., Roahrig, J., Gray, T., The de/repoliticization of cooperation and the discourse of conversion (1996) Rural Sociol., 61 (4), pp. 559-576;\nMoragues-Faus, A.M., Sonnino, R., Embedding quality in the agro-food system: The dynamics and implications of place-making strategies in the olive oil sector of Alto Palancia, Spain (2012) Sociologia Ruralis, 52 (2), pp. 215-234;\nMulqueen, T., When a business isn't a business: law and the political in the history of the United Kingdom's co-operative movement (2011) Oñati Socio-Legal Ser., 2 (2), pp. 36-56;\nMurray, G.C., Towards an agricultural co-operative classification (1983) J. Agric. Econ., 34 (2), pp. 151-161;\nMwambi, M., Bijman, J., Mshenga, P., Which type of producer organization is (more) inclusive? Dynamics of farmers’ membership and participation in the decision-making process (2020) Ann. Public Cooper. Econ., 91 (2), pp. 213-236;\nNilsson, J., Svendsen, G.L., Svendsen, G.T., Are large and complex agricultural cooperatives losing their social capital? (2012) Agribusiness, 28 (2), pp. 187-204;\nOakeshott, R., The Case for Workers' Co-ops (1978), Routledge and Kegan Paul London; Ortmann, G.F., King, R.P., Agricultural cooperatives I: history, theory and problems (2007) Agrekon, 46 (1), pp. 18-46;\nOstrom, E., Governing the Commons: the Evolution of Institutions for Collective Action (1990), Cambridge: Cambridge University Press; Oustapassidis, K., Structural characteristics of agricultural cooperatives in Britain (1988) J. Agric. Econ., 39 (2), pp. 231-242;\nPaquet, G., Quantophrenia (2009) Optimum Online, 39 (1), p. 54;\nPérez Neira, D., Soler Montiel, M., Agroecología y ecofeminismo para descolonizar y despatriarcalizar la alimentación globalizada (2013) Revista internacional de pensamiento político, 8, pp. 95-113;\nRhodes, R., Empire and Co-operation: How the British Empire Used Co-operatives in its Development Strategies, 1900-1970 (2012), John Donald Edinburgh; Rosin, C., Campbell, H., Beyond bifurcation: Examining the conventions of organic agriculture in New Zealand (2009) J. Rural Stud., 25 (1), pp. 35-47;\nSanchez Bajo, C., Roelants, B., Capital and the Debt Trap: Learning from Co-operatives in the Global Crisis (2011), Palgrave Macmillan New York; SAOS, Annual Report (2017) Annual Report, , Scottish Agricultural Organisation Society Edinburgh;\nSennett, R., Together: the Rituals, Pleasures and Politics of Cooperation (2012), Penguin Group London; Seyfang, G., Ecological citizenship and sustainable consumption: Examining local organic food networks (2006) J. Rural Stud., 22 (4), pp. 383-395;\nSlaughter, S., Larry, L., Academic Capitalism: Politics, Policies, and the Entrepreneurial University (1997), The Johns Hopkins University Press Baltimore; Soberania Alimentaria, (2013) Reflexiones sobre el Cooperativismo Agrario. Soberania Alimentaria, 15. , Biodiversidad y Culturas, December;\nSomerville, P., Co-operative identity (2007) J. Co-op. Stud., 40 (1), pp. 5-17;\nStock, P.V., Neoliberal natures on the farm: farmer autonomy and cooperation in comparative perspective (2014) J. Rural Stud., 36, pp. 411-422;\nStofferahn, C.W., South Dakota soybean processors: the discourse of conversion from cooperative to limited liability corporation (2010) J. Coop., 24, pp. 13-43;\nSzabó, G.G., Co-operative identity' a concept for economic analysis and evaluation of Co-operative flexibility: the Dutch practice and the Hungarian reality in the dairy sector (2006) J. Co-op. Stud., 39 (3), pp. 11-26;\nTorgerson, R.E., Reynolds, B.J., Gray, T.W., Evolution of cooperative thought, theory and purpose (1997) Cooperatives: Their Importance in the Future of the Food and Agricultural System, , D. Padberg Texas A &amp;amp; M University College Station, Texas;\nTortia, E.C., Valentinov, V., Iliopoulos, C., Agricultural cooperatives (2013) J. Entrepreneurial and Organ. Divers., 2 (1), pp. 23-36;\nTracy, S.J., Qualitative quality: eight “big-tent” criteria for excellent qualitative research (2010) Qual. Inq., 16 (10), pp. 837-851;\nStrengthening Ethics within Agricultural Cooperatives (1997), USDA Rural Business Cooperative Service Research Report 151; Agricultural Cooperatives in the 21st Century (2002), http://www.rurdev.usda.gov/rbs/pub/cir-60.pdf, Available: (Accessed 21 February 2014); Comparing Cooperative Principles of the U.S. Department of Agriculture and the International Cooperative Alliance (2014), United States Department of Agriculture Washington; Van Bekkum, O., Cooperative models and farm policy reform: exploring patterns in structure-strategy matches of dairy cooperatives in regulated vs. liberalized markets (2001), van Gorcum Uitgeverij; Van Bekkum, O., van Dijk, G., Agricultural Co-operatives in the European Union: Trends and Issues on the Eve of the 21st Century (1997), Van Gorcum Assen; Van der Ploeg, J.D., Peasants and the Art of Farming. A Chayanovian Manifesto. Winnipeg: Fernwood (2013), PMid:19111966; Vanloqueren, G., Baret, P., How agricultural research systems shape a technological regime that develops genetic engineering but locks out agroecological innovations (2009) Res. Pol., 38 (6), pp. 971-983;\nVara Sánchez, I., Aprendiendo a elegir colectivamente: cooperativas agroecológicas de producción, distribución y consume (2008) Ciclos. n., 20, pp. 20-22;\nVasilachis de Gialdino, I., (2009) Ontological and Epistemological Foundations of Qualitative Research. Forum: Qualitative Social Research, [S.l.], 10. , n. 2, may. 2009;\nWeFarm4EU, Cooperation among farmers (2020) WeFarm4EU, , http://wefarm4.eu/cooperation-among-farmers-2/;\nWhyman, P.B., Co-operative principles and the evolution of the ‘dismal science’: the historical interaction between co-operative and mainstream economics (2012) Bus. Hist., 54 (6), pp. 833-854;\nWilson, F., MacLean, D., The Big Society, values and co-operation (2012) Work. Employ. Soc., 26.3, pp. 531-541;\nWynne-Jones, S., Understanding farmer co-operation: exploring practices of social relatedness and emergent affects (2017) J. Rural Stud., 53, pp. 259-268;\nZeuli, K., Cropp, R., Cooperatives: Principles and Practices in the 21st Century (2004), Cooperative Extension Publishing WisconsinUR - https://www.scopus.com/inward/record.uri?eid=2-s2.0-85088990227&amp;amp;doi=10.1016%2fj.jrurstud.2020.06.019&amp;amp;partnerID=40&amp;amp;md5=577a840b2badad6f1840efc256445f33","page":"467-479","publisher":"Elsevier Ltd","publisher-place":"Duncan of Jordanstone School of Art and Design, University of Dundee, Dundee, United Kingdom","title":"An integrated conceptual framework for the study of agricultural cooperatives: from repolitisation to cooperative sustainability","type":"article-journal","volume":"78"},"uris":["http://www.mendeley.com/documents/?uuid=560cccd3-a562-43b2-a740-e147327279d3"]}],"mendeley":{"formattedCitation":"(Ajates, 2020)","plainTextFormattedCitation":"(Ajates, 2020)","previouslyFormattedCitation":"(Ajates, 2020)"},"properties":{"noteIndex":0},"schema":"https://github.com/citation-style-language/schema/raw/master/csl-citation.json"}</w:instrText>
      </w:r>
      <w:r w:rsidRPr="0037337F">
        <w:rPr>
          <w:rFonts w:ascii="Times New Roman" w:hAnsi="Times New Roman" w:cs="Times New Roman"/>
          <w:sz w:val="24"/>
          <w:szCs w:val="24"/>
        </w:rPr>
        <w:fldChar w:fldCharType="separate"/>
      </w:r>
      <w:r w:rsidRPr="0037337F">
        <w:rPr>
          <w:rFonts w:ascii="Times New Roman" w:hAnsi="Times New Roman" w:cs="Times New Roman"/>
          <w:noProof/>
          <w:sz w:val="24"/>
          <w:szCs w:val="24"/>
        </w:rPr>
        <w:t>(Ajates, 2020)</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xml:space="preserve">. In addition, this concept is a roadmap, which provides a clear picture of the development, direction, and orientation that is integrated with several problems and visions of environmentally sound agricultural governance, ecosystems, ecology, agroecology, and environmental conservation to ensure the sustainability of the agricultural sector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{"citationItems":[{"id":"ITEM-1","itemData":{"DOI":"10.1016/j.agsy.2014.08.004","ISSN":"0308521X (ISSN)","abstract":"With many of the poor people in Brazil living in rural areas, local governments have intensified their efforts to design and implement effective policies that boost rural development. In 2004, a national program for production and use of biodiesel was launched aiming at increasing income among less endowed family farmers across the country. With expectations building on further expansion of the mandatory blending of biodiesel with fossil diesel, national and local government bodies are challenged by the search for policies able to foster biodiesel crop production through the wider cultivation of crops that produce more oil than soybean (e.g. sunflower and castor bean) and by improving the participation of less endowed farmers, especially in semi-arid regions. Therefore, the objective of this study was to perform an ex-ante integrated assessment of the socioeconomic and environmental impacts of four biodiesel policy scenarios towards different farm types in a semi-arid and more humid region of southeast Brazil. The applied modelling framework was a combination of a technical coefficient generator (TechnoGIN) and a bio-economic farm model (FSSIM). We explored the impact of market-driven (bonus price policy), input provision (fertiliser and land preparation policy) and oil production (oil mill policy) policy scenarios on soybean farmers in Chapada Gaúcha and maize/beans farmers in Montes Claros. The impacts of the different policies on farm gross margins, oil crop production, labour requirements, nitrogen losses and biocide residues were assessed against the baseline scenario. Our results indicated that the scope for biodiesel crops on smallholder, non-soybean producers in Montes Claros is less evident than in Chapada Gaúcha, particularly among the less endowed farmers for whom the increase in farm gross margin in all scenarios is limited to only 6% while oil production was 140. kg per farm, which is very low compared to the 41% increase and more than 48,000. kg of oil of soybean producers. The most effective policy scenario was the provision of inputs such as fertiliser and land preparation. Because in Montes Claros farmers have limited access to fertiliser, machinery and biocides, strategies that enable farmers to increase their cropped area (i.e. land preparation policy more than doubled the crop area) and crop yield levels (i.e. fertiliser policy almost quadrupled crop yields) have highest potential to benefit these farming systems. © 2014.","author":[{"dropping-particle":"","family":"Leite","given":"J.G.D.B.","non-dropping-particle":"","parse-names":false,"suffix":""},{"dropping-particle":"V","family":"Silva","given":"J","non-dropping-particle":"","parse-names":false,"suffix":""},{"dropping-particle":"","family":"Ittersum","given":"M K","non-dropping-particle":"van","parse-names":false,"suffix":""}],"container-title":"Agricultural Systems","id":"ITEM-1","issued":{"date-parts":[["2014"]]},"language":"English","note":"Cited By :12\n\nExport Date: 3 March 2021\n\nCODEN: AGSYD\n\nCorrespondence Address: Leite, J.G.D.B.; Departamento de Engenharia Agrícola, Universidade Federal de Viçosa, Av. P.H. Rolfs, s/n, Campus Universitário, CEP 36.570-000, Viçosa, MG, Brazil; email: dalbeloleite@yahoo.com.br\n\nFunding text 1: We thank WOTRO Science for Global Development (The Netherlands) for providing financial support to the project “Biomass for fuel: opportunity or threat to food and feed security?” We also acknowledge Dr. Argyris Kanellopoulos for providing useful insights during the parameterisation of FSSIM and Ing. Marcel Lubbers for support in linking TechnoGIN to FSSIM. We finally thank the anonymous reviewers for their valuable comments and suggestions.\n\nReferences: Abramovay, R., Magalhães, R., (2008) The Access of Family Farmers to Biodiesel Markets: Partnerships Between Big Companies and Social Movements, Regoverning Markets Innovative Practice series, , IIED, London; \nAndersen, E., Elbersen, B., Godeschalk, F., Verhoog, D., Farm management indicators and farm typologies as a basis for assessments in a changing policy environment (2007) J. Environ. Manage., 82, pp. 353-362;\nAnderson, I.C., Buxton, D.R., Karlen, D.L., Cambardella, C., Cropping system effects on nitrogen removal, soil nitrogen, aggregate stability, and subsequent corn grain yield (1997) Agron. J., 89, pp. 881-886;\n(2012), http://www.bcb.gov.br/?EXCHANGERATES, Exchange Rates. Banco Central do Brasil. Available at: (accessed 08.12)., BCB; Berntsen, J., Petersen, B.M., Jacobsen, B.H., Olesen, J.E., Hutchings, N.J., Evaluating nitrogen taxation scenarios using the dynamic whole farm simulation model FASSET (2003) Agric. Syst., 76, pp. 817-839;\nBlazy, J.-M., Ozier-Lafontaine, H., Doré, T., Thomas, A., Wery, J., A methodological framework that accounts for farm diversity in the prototyping of crop management systems. Application to banana-based systems in Guadeloupe (2009) Agric. Syst., 101, pp. 30-41;\nBlazy, J.-M., Tixier, P., Thomas, A., Ozier-Lafontaine, H., Salmon, F., Wery, J., BANAD: a farm model for ex ante assessment of agro-ecological innovations and its application to banana farms in Guadeloupe (2010) Agric. Syst., 103, pp. 221-232;\nCésar, A.S., Batalha, M.O., Biodiesel production from castor oil in Brazil: a difficult reality (2010) Energy Policy, 38, pp. 4031-4039;\nCorrêa-Ferreira, B.S., Alexandre, T.M., Pellizzaro, E.C., (2010), p. 16. , Prática de manejo de pragas utilizadas na soja e seu impacto sobre a cultura. Circular Técnica 78. Embrapa, Londrina; de Wit, C.T., Van Keulen, H., Seligman, N.G., Spharim, I., Application of interactive multiple goal programming techniques for analysis and planning of regional agricultural development (1980) Agric. Syst., 26, pp. 211-230;\nDelgado, C.L., Ranade, C.G., Technological change and agricultural labour use (1987) Acceleration Food Production in Sub-Saharan Africa, , Johns Hopkins University Press, Baltimore, J.W. Mellor, C.L. Delgado, M.J. Blackie (Eds.);\nElbehri, A., Segerstedt, A., Liu, P., (2013) Biofuels and the Sustainability Challenge: A Global Assessment of Sustainability Issues, Trends and Policies for Biofuels and Related Feedstocks, , FAO, Rome;\n(2011) Brazilian Energy Balance, p. 267. , Empresa de Pesquisa Energética, Rio de Janeiro,, EPE;\n(2006) Programa de aumento das vendas dos produtores Paranaenses - Feijão, p. 15. , Federação das Indústrias do Estado do Paraná, Curitiba, FIEP;\nFinco, M.V.A., Doppler, W., Biodiesel production and regional development in the Brazilian Savannah: an application of positive mathematical programming (2011) Informe Gepec, 15, pp. 25-42;\nFinger, R., Lazzarotto, P., Calanca, P., Bio-economic assessment of climate change impacts on managed grassland production (2010) Agric. Syst., 103, pp. 666-674;\n(2008) Perfil MG 2008 - a guide to the economy of Minas Gerais, p. 282. , www.fjp.gov.br, (accessed 07.11)João Pinheiro Foundation, Belo Horizonte, Available at: , FJP;\nFlorin, M.J., van Ittersum, M.K., van de Ven, G.W.J., Selecting the sharpest tools to explore the food-feed-fuel debate: sustainability assessment of family farmers producing food, feed and fuel in Brazil (2012) Ecol. Ind., 20, pp. 108-120;\nFontes, M.P.F., Fontes, R.M.O., Carneiro, P., Land suitability, water balance and agricultural technology as a Geographic-Technological Index to support regional planning and economic studies (2009) Land Use Policy, 26, pp. 589-598;\nGill, G.J., (1991) Seasonality and Agriculture in the Developing World, , Cambridge University Press, Cambridge;\nGlithero, N.J., Ramsden, S.J., Wilson, P., Farm systems assessment of bioenergy feedstock production: integrating bio-economic models and life cycle analysis approaches (2012) Agric. Syst., 109, pp. 53-64;\nHazell, P.B.R., Norton, R.D., (1986) Mathematical Programming for Economic Analysis in Agriculture, , Macmillan Publishing Company, New York;\nHazeu, G.W., Metzger, M.J., Mücher, C.A., Perez-Soba, M., Renetzeder, C., Andersen, E., European environmental stratifications and typologies: an overview (2011) Agric. Ecosyst. Environ., 142, pp. 29-39;\nHeap, I., (2013), http://www.weedscience.org, The International Survey of Herbicide Resistant Weeds. Available at: (accessed 01.05.13); Hengsdijk, H., van Ittersum, M.K., Formalizing agro-ecological engineering for future-oriented land use studies (2003) Eur. J. Agron., 19, pp. 549-562;\nHoffmann-Campo, C.B., Moscardi, F., Corrêa-Ferreira, B.S., Oliveira, L.J., Sosa-Gómez, D.R., Panizzi, A.R., Corso, I.C., de Oliveira, E.B., (2000) Pragas da soja no Brasil e seu manejo integrado, p. 67. , Londrina, Embrapa;\n(2002), http://www.ibge.gov.br, Mapa de clima do Brasil. Available at: (accessed 10.12)., IBGE; (2006) Censo Agropecuário, pp. 1-267. , Instituto Brasileiro de Geografia e Estatística, Rio de Janeiro, IBGE;\n(2011), http://www.ibge.gov.br, Pesquisa nacional por amostra de domicílios. Available at: (accessed 13.03.13)., IBGE; (2012), http://www.iea.sp.gov.br/out/banco/menu.php, Banco de Dados. Instituto de Economia Agrícola. Available at: (accessed 07.12)., IEA; Jakobsen, J., Rasmussen, K., Leisz, S., Folving, R., Quang, N.V., The effects of land tenure policy on rural livelihoods and food sufficiency in the upland village of Que, North Central Vietnam (2007) Agric. Syst., 94, pp. 309-319;\nJanssen, S., van Ittersum, M.K., Assessing farm innovations and responses to policies: a review of bio-economic farm models (2007) Agric. Syst., 94, pp. 622-636;\nJanssen, B.H., Guiking, F.C.T., van der Eijk, D., Smaling, E.M.A., Wolf, J., van Reuler, H., A system for quantitative evaluation of the fertility of tropical soils (QUEFTS) (1990) Geoderma, 46, pp. 299-318;\nJanssen, S., Louhichi, K., Kanellopoulos, A., Zander, P., Flichman, G., Hengsdijk, H., Meuter, E., Van Ittersum, M.K., A generic bio-economic farm model for environmental and economic assessment of agricultural systems (2010) Environ. Manage., 46, pp. 862-877;\nJolly, C.M., Gadbois, M., The effect of animal traction on labour productivity and food self-sufficiency: the case of Mali (1996) Agric. Syst., 51, pp. 453-467;\nKanellopoulos, A., Berentsen, P., Heckelei, T., Van Ittersum, M., Lansink, A.O., Assessing the forecasting performance of a generic bio-economic farm model calibrated with two different PMP variants (2010) J. Agric. Econ., 61, pp. 274-294;\nKöbrich, C., Rehman, T., Khan, M., Typification of farming systems for constructing representative farm models: two illustrations of the application of multivariate analyses in Chile and Pakistan (2003) Agric. Syst., 76, pp. 141-157;\n(2005) Dispõe sobre a introdução do biodiesel na matriz energética brasileira. Presidência da República, , Casa Civil - Subchefia para Assuntos Jurídicos, Brasília, DF, Lei No.11097;\n(2005) Dispõe sobre a proteção da vegetação nativa [.], , Presidência da República, Casa Civil, Subchefia para Assuntos Jurídicos, Brasília, DF, Lei No.12651;\nLeite, J.G.D.B., Bijman, J., Giller, K., Slingerland, M., Biodiesel policy for family farms in Brazil: one-size-fits-all? (2013) Environ. Sci. Policy, 27, pp. 195-205;\nLouhichi, K., Kanellopoulos, A., Janssen, S., Flichman, G., Blanco, M., Hengsdijk, H., Heckelei, T., Ittersum, M.V., FSSIM, a bio-economic farm model for simulating the response of EU farming systems to agricultural and environmental policies (2010) Agric. Syst., 103, pp. 585-597;\nLu, C.H., van Ittersum, M.K., Rabbinge, R., A scenario exploration of strategic land use options for the Loess Plateau in northern China (2004) Agric. Syst., 79, pp. 145-170;\n(2012), http://www.agricultura.gov.br/politica-agricola/zoneamento-agricola, Zoneamento agrícola de risco climático. Ministério da Agricultura Pecuária e Abastecimento. Available at: (accessed 03.12)., MAPA; (2011) Programa Nacional de Produção e Uso de Biodiesel - PNPB, p. 48. , Ministério do Desenvolvimento Agrário, Brasília, MDA;\n(2012) Portaria No. 60, de 6 de Setembro de 2012. Dispõe sobre os critérios e procedimentos relativos à concessão, manutenção e uso do Selo combustível Social, pp. 63-66. , Ministério do Desenvolvimento Agrário, Diário Oficial da União, Brasília, MDA;\nMilgroom, J., Giller, K.E., Courting the rain: rethinking seasonality and adaptation to recurrent drought in semi-arid southern Africa (2013) Agric. Syst., 118, pp. 91-104;\nMortensen, D.A., Egan, J.F., Maxwell, B.D., Ryan, M.R., Smith, R.G., Navigating a critical juncture for sustainable weed management (2012) Bioscience, 62, pp. 75-84;\nMoscardi, F., Sosa-Gómez, D.R., Corso, I.C., Invertebrates associated to sunflower and its management. (2005), p. 641. , Leite, R.M.V.B.C., Brighenti, A.M., Castro, C. (Eds.), Sunflower in Brazil. Embrapa, Londrina,(in Portuguese); Mosnier, C., Agabriel, J., Lherm, M., Reynaud, A., A dynamic bio-economic model to simulate optimal adjustments of suckler cow farm management to production and market shocks in France (2009) Agric. Syst., 102, pp. 77-88;\n(2005) Biocombustíveis, Cadernos NAE, p. 235. , Núcleo de Assuntos Estratégicos da Presidência da República, Brasília, NAE;\nNijhof, K., (1987) The Concentration of Macro-Elements in Economic Products and Residues of (Sub)Tropical Field Crops, , Centre for World Food Studies, Amsterdam-Wageningen;\nNobre, R.G., Lima, G., Gheyi, H.R., Medeiros, E., Soares, L., Alves, A.N., Teor de óleo e produtividade da mamoneira de acordo com a adubação nitrogenada e irrigação com água salina (2013) Pesquisa Agropecuária Brasileira, 47, pp. 991-999;\nOliveira, M.D.S., Cáceres, D.R., (2005) Girassol na alimentação de bovinos, , FUNEP, Jaboticabal;\nPathak, B.S., Singh, A., Singh, D., Verma, R.N., Performance of oil milling technologies in India (1988) Agric. Mech. Asia, Africa Latin Am., 19, pp. 68-72;\nPatil, S., Reidsma, P., Shah, P., Purushothaman, S., Wolf, J., Comparing conventional and organic agriculture in Karnataka, India: where and when can organic farming be sustainable? (2014) Land Use Policy, 37, pp. 40-51;\nPingali, P., Raney, T., Wiebe, K., Biofuels and food security: missing the point (2008) Appl. Econ. Perspect. Policy, 30, pp. 506-516;\nPonsioen, T.C., Hengsdijk, H., Wolf, J., van Ittersum, M.K., Rötter, R.P., Son, T.T., Laborte, A.G., TechnoGIN, a tool for exploring and evaluating resource use efficiency of cropping systems in East and Southeast Asia (2006) Agric. Syst., 87, pp. 80-100;\nPoulton, C., Dorward, A., Kydd, J., The future of small farms: new directions for services, institutions, and intermediation (2010) World Dev., 38, pp. 1413-1428;\nReidsma, P., Feng, S., van Loon, M., Luo, X., Kang, C., Lubbers, M., Kanellopoulos, A., Qu, F., Integrated assessment of agricultural land use policies on nutrient pollution and sustainable development in Taihu Basin, China (2012) Environ. Sci. Policy, 18, pp. 66-76;\nRossi, A., Cadoni, P., (2012) Policy Instruments to Promote Good Practices in Bioenergy Feedstock Production. Bioenergy and Food Security Criteria and Indicators, , FAO, Rome;\nRuben, R., Pender, J., Rural diversity and heterogeneity in less-favoured areas: the quest for policy targeting (2004) Food Policy, 29, pp. 303-320;\nRuthenberg, H., (1976) Farming Systems in the Tropics, , Oxford University Press, Oxford;\n(2012), Perfil do agronegócio Mineiro. Secretaria de Estado de Agricultura, Pecuária e Abastecimento de Minas Gerais, Belo Horizonte, p. 137., SAEMG; Schaffel, S., Herrera, S., Obermaier, M., La Rovere, E.L., Can family farmers benefit from biofuel sustainability standards? Evidence from the Brazilian social fuel certificate (2012) Biofuels, 3, pp. 725-736;\nSingh, J., Bargale, P.C., Development of a small capacity double stage compression screw press for oil expression (2000) J. Food Eng., 43, pp. 75-82;\nten Berge, H.F.M., van Ittersum, M.K., Rossing, W.A.H., van de Ven, G.W.J., Schans, J., Farming options for The Netherlands explored by multi-objective modelling (2000) Eur. J. Agron., 13, pp. 263-277;\nTraoré, B., Louhichi, K., Rapidel, B., (2009), pp. 276-277. , A bio-economic model to analyse the performance of the cotton sector in Mali. In: Proceedings of the Conference on Integrated Assessment of Science and Policy (AgSAP), Egmond aan Zee, The Netherlands; van Ittersum, M.K., Rabbinge, R., Concepts in production ecology for analysis and quantification of agricultural input-output combinations (1997) Field Crops Res., 52, pp. 197-208;\nvan Ittersum, M.K., Rabbinge, R., van Latesteijn, H.C., Exploratory land use studies and their role in strategic policy making (1998) Agric. Syst., 58, pp. 309-330;\nvan Ittersum, M.K., Ewert, F., Heckelei, T., Wery, J., Alkan Olsson, J., Andersen, E., Bezlepkina, I., Wolf, J., Integrated assessment of agricultural systems - a component-based framework for the European Union (SEAMLESS) (2008) Agric. Syst., 96, pp. 150-165;\nVasisht, A.K., Sujith Kumar, S., Aggarwal, P.K., Kalra, N., Pathk, H., Joshi, H.C., Choudhary, R.C., An integrated evaluation of trade-offs between environmental risk factors and food production using interactive multiple goal linear programming - a case study of Haryana (2007) Indian J. Agric. Econ., 62, pp. 511-523;\nVelthof, G.L., Oudendag, D., Witzke, H.P., Asman, W.A.H., Klimont, Z., Oenema, O., Integrated assessment of nitrogen losses from agriculture in EU-27 using MITERRA-EUROPE (2009) J. Environ. Qual., 38, pp. 402-417;\nWatanabe, K., Bijman, J., Slingerland, M., Institutional arrangements in the emerging biodiesel industry: case studies from Minas Gerais, Brazil (2012) Energy Policy, 40, pp. 381-389;\nWhite, D.S., Labarta, R.A., Leguía, E.J., Technology adoption by resource-poor farmers: considering the implications of peak-season labour costs (2005) Agric. Syst., 85, pp. 183-201;\nWolf, J., Ponsioen, T.C., Hengsdijk, H., TechnoGIN-3: a generic tool for analysing cropping systems. (2004), pp. 1-23. , Application of Prototype for West African Conditions Within the VINVAL Project - No. 3, Wageningen, The Netherlands; (2008) Agriculture for Development, World Development Report 2008, , The World Bank, Washington, DC, World Bank;\nWossink, A., Renkema, J., Analysis of future change in Dutch arable farming: a farm economics approach (1994) Eur. Rev. Agric. Econ., 21, pp. 95-112;\nZheljazkov, V.D., Vick, B.A., Ebelhar, M.W., Buehring, N., Baldwin, B.S., Astatkie, T., Miller, J.F., Yield, oil content, and composition of sunflower grown at multiple locations in Mississippi (2008) Agron. J., 100, pp. 635-642","page":"64-76","publisher":"Elsevier Ltd","publisher-place":"Plant Production Systems, Wageningen University, P.O. Box 430, 6700 AK Wageningen, Netherlands","title":"Integrated assessment of biodiesel policies aimed at family farms in Brazil","type":"article-journal","volume":"131"},"uris":["http://www.mendeley.com/documents/?uuid=e054db7c-9f60-4f18-8384-89957fc6ca43"]}],"mendeley":{"formattedCitation":"(Leite, Silva and van Ittersum, 2014)","plainTextFormattedCitation":"(Leite, Silva and van Ittersum, 2014)","previouslyFormattedCitation":"(Leite, Silva and van Ittersum, 2014)"},"properties":{"noteIndex":0},"schema":"https://github.com/citation-style-language/schema/raw/master/csl-citation.json"}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(Leite, Silva and van Ittersum, 2014)</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The conceptual formulation of this research model is based on theoretically, conceptually, and practically oriented previous studies associated with the problems of the agricultural sector in the field. This ensures that the conceptual model of this study clearly describes the concepts, topics, and related issues.</w:t>
      </w:r>
    </w:p>
    <w:p w14:paraId="387D5D5C" w14:textId="77777777" w:rsidR="00987E61" w:rsidRPr="0037337F" w:rsidRDefault="00987E61" w:rsidP="0037337F">
      <w:pPr>
        <w:pStyle w:val="ListParagraph"/>
        <w:spacing w:after="0" w:line="240" w:lineRule="auto"/>
        <w:ind w:left="426" w:firstLine="425"/>
        <w:jc w:val="both"/>
        <w:rPr>
          <w:rFonts w:ascii="Times New Roman" w:hAnsi="Times New Roman" w:cs="Times New Roman"/>
          <w:sz w:val="24"/>
          <w:szCs w:val="24"/>
        </w:rPr>
      </w:pPr>
    </w:p>
    <w:p w14:paraId="71078966" w14:textId="4B5A3D7F" w:rsidR="00197B65" w:rsidRDefault="00197B65" w:rsidP="0037337F">
      <w:pPr>
        <w:pStyle w:val="ListParagraph"/>
        <w:tabs>
          <w:tab w:val="left" w:pos="426"/>
        </w:tabs>
        <w:spacing w:line="240" w:lineRule="auto"/>
        <w:ind w:left="0"/>
        <w:rPr>
          <w:rFonts w:ascii="Times New Roman" w:hAnsi="Times New Roman" w:cs="Times New Roman"/>
          <w:b/>
          <w:bCs/>
          <w:sz w:val="24"/>
          <w:szCs w:val="24"/>
        </w:rPr>
      </w:pPr>
    </w:p>
    <w:p w14:paraId="492F0E2F" w14:textId="5C5DFA6F" w:rsidR="00197B65" w:rsidRPr="00353110" w:rsidRDefault="00353110" w:rsidP="00353110">
      <w:pPr>
        <w:tabs>
          <w:tab w:val="left" w:pos="426"/>
        </w:tabs>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LITERATURE REVIEWE RILATED TO FAMERS’ SOCIAL MOVEMENT</w:t>
      </w:r>
    </w:p>
    <w:p w14:paraId="2D3FEBEE" w14:textId="6661C11A" w:rsidR="00197B65" w:rsidRPr="0037337F" w:rsidRDefault="008218B0" w:rsidP="000663AA">
      <w:pPr>
        <w:spacing w:line="240" w:lineRule="auto"/>
        <w:ind w:firstLine="425"/>
        <w:jc w:val="both"/>
        <w:rPr>
          <w:rFonts w:ascii="Times New Roman" w:hAnsi="Times New Roman" w:cs="Times New Roman"/>
          <w:sz w:val="24"/>
          <w:szCs w:val="24"/>
          <w:lang w:val="id-ID"/>
        </w:rPr>
      </w:pPr>
      <w:r w:rsidRPr="0037337F">
        <w:rPr>
          <w:rFonts w:ascii="Times New Roman" w:hAnsi="Times New Roman" w:cs="Times New Roman"/>
          <w:sz w:val="24"/>
          <w:szCs w:val="24"/>
        </w:rPr>
        <w:lastRenderedPageBreak/>
        <w:t xml:space="preserve">The research on the farmers 'social movement is part of the objective of sociological studies that discusses the movement of this group in fighting for their interests and demands. This is related to issues of equality, human rights, and justice for the state and against other dominant groups such as capitalists in agriculture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{"citationItems":[{"id":"ITEM-1","itemData":{"DOI":"10.1080/07491409.2019.1669756","ISSN":"07491409 (ISSN)","abstract":"This article centers the voices of the widows of farmers from Yavatmal, Maharashtra, who give meaning to the patriarchal structures that unfold amid neoliberal agriculture in India. The theoretical framework of the culture-centered approach presented in the article works in solidarity with transnational feminist scholarship to interrupt the dominant discourse of development that reproduces the disempowerment experienced by these widows. Based on in-depth interviews conducted across villages, this article foregrounds the meanings and explanations of India’s agrarian crisis through the voices of widows of farmers. Their narratives position the suicides of their husbands amid the high-investment Bt cotton farming that incurred debts from which it became impossible to recover. By deploying voices of the gendered subaltern to interrogate the agrarian crisis, the article highlights the multiple structures that make widows’ lives precarious. Their reflective journeys address the communicative erasures faced by the widows within households and the larger discourse of neoliberal development of agriculture. © 2019, © 2019 The Organization for Research on Women and Communication.","author":[{"dropping-particle":"","family":"Falnikar","given":"A","non-dropping-particle":"","parse-names":false,"suffix":""},{"dropping-particle":"","family":"Dutta","given":"M J","non-dropping-particle":"","parse-names":false,"suffix":""}],"container-title":"Women's Studies in Communication","id":"ITEM-1","issue":"4","issued":{"date-parts":[["2019"]]},"language":"English","note":"Export Date: 3 March 2021\n\nCorrespondence Address: Falnikar, A.; Department of Communications and New Media, 9 Arts Link, AS4, Singapore; email: ashwini.f@nus.edu.sg\n\nFunding details: National University of Singapore, NUS\n\nFunding text 1: National University of Singapore grant to CARE (Center for Culture-centered Approach to Research and Evaluation).\n\nReferences: Basu, A., Dutta, M.J., Sex workers and HIV/AIDS: Analyzing participatory culture-centered health communication strategies (2009) Human Communication Research, 35 (1), pp. 86-114; \nBhattacharya, H., (2017) Narrating love and violence: Women contesting caste, tribe, and state in Lahaul, India, , New Brunswick, NJ: Rutgers University Press;\nBlum, S.D., Called by the earth: Women in sustainable farming (2011) Journal of Workplace Rights, 16 (3-4), pp. 315-336;\n(2007) International Journal of Public Opinion Research, 19. , Brossard, D., &amp;amp; Nisbet, M. C. (,). Deference to scientific authority among a low information public: Understanding US opinion on agricultural biotechnology., (1), 24–52;\nBrossard, D., Shanahan, J., Nesbitt, T.C., (2007) The Media, the Public and Agricultural Biotechnology, , Cambridge, MA, Cabi;\nBryant, L., Pini, B., Towards an understanding of gender and capital in constituting biotechnologies in agriculture (2006) Sociologia Ruralis, 46 (4), pp. 261-279;\nDutta, M.J., (2008) Communicating health: A culture-centered approach, , Cambridge, United Kingdom: Polity Press;\nDutta, M.J., (2011) Communicating social change: Structure, culture, and agency, , New York, NY: Routledge;\nDutta, M.J., Basu, A., Health among men in rural Bengal: Exploring meanings through a culture-centered approach (2007) Qualitative Health Research, 17 (1), pp. 38-48;\nDutta, M., Pal, M., Dialog theory in marginalized settings: A subaltern studies approach (2010) Communication Theory, 20 (4), pp. 363-386;\nFernandes, L., (2013) Transnational feminism in the United States: Knowledge, ethics, power, , New York: New York University Press;\nGruère, G., Sengupta, D., Bt cotton and farmer suicides in India: An evidence-based assessment (2011) Journal of Development Studies, 47 (2), pp. 316-337;\nJarosz, L., Nourishing women: Toward a feminist political ecology of community supported agriculture in the United States (2011) Gender, Place, and Culture, 18 (3), pp. 307-326;\n(2016) Special assistance, , http://mahaschemes.maharashtra.gov.in/en/special-assistance-scheme.html, Retrieved from;\nMishra, S., Farmers’ suicides in Maharashtra (2006) Economic and Political Weekly, 41 (16), pp. 1538-1545;\nMohanakumar, S., Sharma, R.K., Analysis of farmer suicides in Kerala (2006) Economic and Political Weekly, 41 (16), pp. 1553-1558;\nMohanty, B.B., Farmer suicides in India (2013) Economic and Political Weekly, 48 (21), pp. 45-54;\nNarayanamoorthy, A., Kalamkar, S.S., Is Bt cotton cultivation economically viable for Indian farmers? An empirical analysis (2006) Economic and Political Weekly, 41 (26), pp. 2716-2724;\nOmvedt, G., Farmers’ movements and the debate on poverty and economic reforms in India (2005) Social movements in India: Poverty, power, and politics, pp. 179-202. , Ray R., Katzenstein M.F., (eds), Lanham, MD: Rowman &amp;amp; Littlefield,. (Eds;\nPatnaik, U., Global capitalism, deflation, and agrarian crisis in developing countries (2003) Journal of Agrarian Change, 3 (1-2), pp. 33-66;\nQaim, M., Zilberman, D., Yield effects of genetically modified crops in developing countries (2003) Science, 299 (5608), pp. 900-902;\nRao, N.C., Dev, S.M., Biotechnology and pro-poor agricultural development (2009) Economic and Political Weekly, 44 (52), pp. 56-64;\nRao, N.C., Pray, C.E., Herring, R.J., Biotechnology for a second green revolution in India: Socioeconomic, political, and public policy issues (2015) AgBioForum: The Journal of Agrobiotechnology Management &amp;amp; Economics, 12 (2), pp. 126-141. , http://agbioforum.org/v18n2/v18n2a01-rao.pdf, –,. Retrieved from;\nReddy, D.N., Mishra, S., (2009) Agrarian crisis in India, , New Delhi, India: Oxford University Press, &amp;amp;, (Eds;\nSainath, P., (2015) The slaughter of suicide data, , http://psainath.org/the-slaughter-of-suicide-data/, 5 August).,. Retrieved from;\nWriters, S., Nagar, R., (2006) Playing with fire: Feminist thought and activism through seven lives in India, , Minneapolis: University of Minnesota Press;\nVasavi, A., Suicides and the making of India’s agrarian distress (2009) South African Review of Sociology, 40 (1), pp. 94-108","page":"432-451","publisher":"Routledge","publisher-place":"Department of Communications and New Media, National University of Singapore, Singapore","title":"Voices of Farmer-Widows Amid the Agrarian Crisis in India","type":"article-journal","volume":"42"},"uris":["http://www.mendeley.com/documents/?uuid=c842f694-7da1-46f1-a77a-c9055047635a"]},{"id":"ITEM-2","itemData":{"DOI":"10.1177/0032329213493751","ISSN":"00323292 (ISSN)","abstract":"While struggles over land dispossession have recently proliferated across the developing world and become particularly significant in India, this paper argues that existing theories of political agency do not capture the specificity of the politics of dispossession. Based on two years of ethnographic research on anti-dispossession movements across rural India, the paper argues that the dispossession of land creates a specific kind of politics, distinct not just from labor politics, but also from various other forms of peasant politics that have been theorized in the social sciences. It illustrates how the process of land dispossession itself shapes the targets, strategy and tactics, organization, social composition, goals, and ideologies of anti-dispossession struggles. It concludes with reflections on why land conflicts are less easily institutionalized than labor conflicts and may therefore constitute a significantly disruptive force in the emerging centers of global capitalism for the foreseeable future. © 2013 SAGE Publications.","author":[{"dropping-particle":"","family":"Levien","given":"M","non-dropping-particle":"","parse-names":false,"suffix":""}],"container-title":"Politics and Society","id":"ITEM-2","issue":"3","issued":{"date-parts":[["2013"]]},"language":"English","note":"Cited By :87\n\nExport Date: 3 March 2021\n\nCorrespondence Address: Levien, M.; Department of Sociology, 533 Mergenthaler Hall, 3400 N. Charles St., Baltimore, MD 21218, United States; email: levien@jhu.edu\n\nFunding details: Ministry of Environment and Forests, MoEF\n\nFunding text 1: I have tried to show that the process of land dispossession creates a distinct form of politics with certain generic features as well as identifiable axes of variation. The use of extra-economic state force to achieve dispossession creates movements that target first and foremost the state, and specifically the particular administrative level where expropriation is enacted. The transparency of the state’s role means that it must justify its expropriations by aligning them with a concept of development whose persuasiveness will crucially affect the emergence and success of anti-dispossession movements. Because the dispossession of land is both more existentially threatening than the expropriation of surpluses, and one-off in nature, it is impossible to fight it successfully through “everyday” means. Resistance tends to be overt and takes the form of spatial struggles at the point of enclosure in which various means—physical, legal, and political—are brought to bear to defend land against co-optation and violent removal. With dispossession, everyday forms of repossession are ways of mitigating defeat, not achieving success. Because dispossession is orthogonal to, and neglected by, existing forms of political and social organization, these overt struggles tend to be organized through local, ad-hoc, autonomous organizations created specifically for the purpose. Combined with the fact that dispossession is experienced in many different forms, this creates a proliferation of localized “single-issue” movements. In India, these movements have, for years, been forming alliances with each other (NAPM), but some are now being absorbed into the armed Maoist insurgency, and others are eliciting limited support from political parties. Anti-dispossession movements are by nature cross-class; however, their exact composition and degree of internal contradiction vary massively. Locally distinct agrarian social structures, political histories, and different geographies of dispossession combine to create movements with diverse goals and ideologies. Some constitute a non-compromising countermovement against the forcible commodification of land; others are fighting for concessions on the terrain of commodification itself. Among both we find highly diverse political ideologies that do not neatly map onto the major political tendencies that organize electoral politics. Although these features of dispossession politics are not exhaustive, I offer them as basic coordinates to stimulate refinement or reconstruction based on further comparative research. Though drawn from the experience of dispossession politics in India, a few words are in order about their applicability to other contexts. While we can expect great variation in the specifics of dispossession politics across countries, I believe that the features presented above are sufficiently general—and genetically linked to the experience of land dispossession—that they should have fairly wide applicability to movements fighting state-led dispossession of agricultural land in other countries. We can expect to see significant differences in struggles over forest rights (in which poaching, arson, and “everyday forms” of resistance are common) and in the piecemeal “intimate dispossessions” that occur when local actors struggle over insecure or ambiguous property rights in the absence of state involvement. 159 Further, while land acquisition in India is a fairly rationalized state procedure (eminent domain laws have been on the books since the nineteenth century), in other countries and perhaps especially in conflict situations, the state can be relatively less central to land dispossession compared to non-state wielders of coercion, such as paramilitaries, 160 corporate security forces, drug cartels, or rural elites with what Marx calls “their little independent methods.” 161 Such circumstances of rampant non-state violence are hardly conducive to the kinds of politics illustrated above. Nevertheless, the type of state-led land dispossession described here is sufficiently widespread that the framework suggested here should be relevant to a large domain of politics in many countries. Having sketched the contours of a particular kind of politics formed though processes of land dispossession, I would like to conclude with some observations about its likely significance for India and, perhaps, other emerging centers of global capitalism. Given the above, it should already be apparent that states will face several obstacles to institutionalizing conflict around land in a way that is analogous to collective bargaining for labor. Unlike labor, land is essentially a zero-sum asset. Its supply is finite, it is currently in high demand for both agricultural and non-agricultural uses, and these uses are not compatible. While the surplus created by labor can be shared between a capitalist and laborer in a way that might align their interests, land can either stay with a farmer or be given to a capitalist. As we have seen, the loss of land constitutes a large, transparent, and irreversible threat to farmers’ livelihoods and even ways of life. To get farmers to comply with dispossession, states must either mobilize coercion, normative persuasion, or substantial material inducements. Coercion will continue to be used, especially in remote areas inhabited by the most marginalized groups. However, this is likely to further alienate agriculturalists and increase opposition; its use will become more difficult as the issue attracts more media attention and achieves greater political salience. India’s burgeoning Maoist insurgency is good evidence of how such a strategy can backfire. The second option, persuading farmers that it is their patriotic duty to sacrifice their land for national development, is increasingly difficult as the state dispossesses land for private and sometimes foreign companies for increasingly real estate-driven purposes. I have argued here and elsewhere that India’s proliferating land wars are, to a large extent, a consequence of a neoliberal regime of dispossession that lacks the ideological legitimacy of its predecessor. 162 Apart from abandoning this neoliberal regime, the third strategy of securing compliance through material compensation is probably the only option available. This is the strategy that India’s central and state governments are currently pursuing as they devise amendments to the central Land Acquisition Act and institute state resettlement and rehabilitation policies. The intention of these legislative and policy interventions is to dissipate land wars and ensure a predictable supply of land for capital by giving farmers a larger stake in the accumulation generated by dispossession. 163 There are, however, significant obstacles to such a class compromise. One obstacle is the ability of private capitalists to agree on the need for concessions, which has not been the case so far in India. With different industry organizations disagreeing on the need for more liberal compensation, 164 the current draft of India’s amendment to the central Land Acquisition Act has seen its more liberal provisions watered down. 165 If passed in this less liberal form, it will decrease the likelihood that this legislation will be effective at quelling farmer opposition, to the detriment of the long-term interests of capitalists themselves. A second obstacle is the lack of enduring organizational vehicles that can be co-opted as negotiating partners. As we have seen, dispossession is a serial process that usually occurs only once for any particular farmer; for each instance of dispossession, bargaining has to begin afresh with new individuals. The ad-hoc, autonomous, and often transient nature of the organizations farmers create to fight dispossession makes it impossible for states to forge long-term relations (analogous to those with unions) that would facilitate stable compromises. The need to repeatedly negotiate with new individuals and their informal organizations multiplies the likelihood of opposition and greatly decreases the predictability of compliance. Finally, there is a third and more fundamental obstacle. The idea of utilizing the exchange value of land to build a class compromise between capital and farmers assumes what needs to be explained: how farmers come to value their land at its exchange value in the first place. As we have seen, this cannot be taken for granted. Just as class compromise can only be built with workers once they have accepted the principle of exchanging their labor for a wage, a class compromise around land dispossession requires that farmers accept the principle of exchanging their land for a price. Whether all farmers have their price remains to be seen; what is clear is that India’s land wars provide numerous examples of farmers refusing to give their land even when offered significant sums of money. So long as they refuse to treat their land at its exchange value, they cannot be brought into a class compromise on the terrain of commodification. Until and unless such nonmarket orientations to land are significantly unhinged, which at present seems remote, it is unlikely that states will be able to institutionalize material compliance to dispossession in the near term. It is more likely that farmers will continue to effectively use the levers of democracy to impede the state’s ability to transfer land to capital. In hundreds of villages across India, farmers are currently using the strategies and tactics discussed in this paper to make themselves significant obstacles to capitalist development. Almost all of the movements discussed in this paper have succeeded in stopping or significantly stalling the projects that are premised upon their dispossession. Some have no interest in the forms of development proposed for their land; others are fighting to be incorporated into it on better terms. Combined, nevertheless, they are making it increasingly difficult for capitalists to obtain that seemingly mundane but crucial condition of accumulation: a physical place on Earth. Beyond disrupting accumulation by dispossession, the ultimate political direction of these movements is varied and their ability to articulate compelling and viable alternatives remains uncertain. What we can say, for now, is that peasants continue to make significant interventions in history, and that these are increasingly shaped by the process of dispossession. 166 I would like to thank Amita Baviskar, Fred Block, Michael Burawoy, Phillip Campanile, Jia-Ching Chen, Laura Enriquez, Eli Friedman, Gillian Hart, Suchi Pande, Marcel Paret, Raka Ray, Aseem Srivastava, Michael Watts, participants of the Yale Modern South Asia Workshop, and the Politics &amp;amp; Society editors for their helpful comments and criticisms. Declaration of Conflicting Interests The author declared no potential conflicts of interest with respect to the research, authorship, and/or publication of this article. Funding The author received no financial support for the research, authorship, and/or publication of this article. 1. David Harvey, The New Imperialism (Oxford: Oxford University Press, 2003). 2. See the collection of articles in the special issue on “Land: A New Wave of Accumulation by Dispossession in Africa?,” Review of African Political Economy 38, no. 128 (2011). See also Kojo Sebastian Amanor, “Global Resource Grabs, Agribusiness Concentration and the Smallholder: Two West African Case Studies,” Journal of Peasant Studies 39, no. 3-4: 731-750; Philip Woodhouse, “New Investment, Old Challenges: Land Deals and the Water Constraint in African Agriculture,” Journal of Peasant Studies 39, no. 3-4: 777-794; Tom Lavers, “Patterns of Agrarian Transformation in Ethiopia: State-mediated Commercialisation and the ‘Land Grab,’” Journal of Peasant Studies 39, no. 3-4: 795-822; Ruth Hall, “The Next Great Trek? South African Commercial Farmers Move North,” Journal of Peasant Studies 39, no. 3-4: 823-844; and “Large-scale Land Deals from the Inside Out: Findings from Kenya’s Tana Delta,” Journal of Peasant Studies 39, no. 3-4: 1039-1076. 3. See, for example, Derek Hall, Philip Hirsch, and Tanya Li, Powers of Exclusion: Land Dilemmas in Southeast Asia (Singapore: Nus Press, 2011); Derek Hall, “Land Grabs, Land Control, and Southeast Asian Crop Booms,” Journal of Peasant Studies 38, no. 4 (2011): 837-857; Tania Li, The Will to Improve: Governmentality, Development and the Practice of Politics (Durham: Duke University Press, 2007); Miles Kenney-Lazar, “Plantation Rubber, Land Grabbing and Social-Property Transformation in Southern Laos,” Journal of Peasant Studies 39, no. 3-4: 1017-1038. 4. For an overview, see the special issue on “Land Grabbing in Latin America,” Canadian Journal of Development Studies 33, no. 4 (2012); and Saturnino M. Borras Jr., Jennifer C. Franco, Sergio Gomez, Crisobal Kay, and Max Spoor, “Land Grabbing in Latin America and the Caribbean,” Journal of Peasant Studies 39, no. 3-4: 845-872. 5. See “Rural Population,” The World Bank (2012). Available at: http://data.worldbank.org/indicator/SP.RUR.TOTL . Accessed March 15, 2013. The intersection of exceptionally fast growth rates and large peasantries with very small holdings may be partly responsible for the particular significance of land dispossession in India and China. One should also note that whereas “land grabs” in Africa and Latin America appear to be primarily driven by agribusiness, biofuels, and to a lesser extent, mineral extraction, in India and China they are primarily driven by urban-industrial development. 6. See You-Tien Hsing, The Great Urban Transformation: Politics of Land and Property in China (Oxford: Oxford University Press, 2010), 182-183. 7. See Landesa Rural Development Institute, “Summary of 2011 Seventeen-Province Survey’s Findings” (2011). Available at: http://www.landesa.org/news/6th-china-survey/ . Accessed February 25, 2012. 8. In a visit to Guandong in February 2012, Jiabao made farmers’ rights a central theme and acknowledged the problem of land grabs, saying, “The root of the problem is that the land is the property of the farmers, but this right has not been protected in the way it should be.” Quoted in Elizabeth C. Economy, “A Land Grab Epidemic: China’s Wonderful World of Wukans,” Council on Foreign Relations (2012). Available at: http://blogs.cfr.org/asia/2012/02/07/a-land-grab-epidemic-chinas-wonderful-world-of-wukans/ . Accessed August 15, 2012. 9. Hsing shows that the central government has made some efforts to prosecute corrupt officials, cancel development zones, and to take some power away from local governments. However, she also argues that this is motivated not just by political considerations, but by concerns about macroeconomic overheating. See Hsing, Greater Urban Transformation , 213. In 2011, after Hsing’s study, the Chinese government passed a new law on forced evictions, and is now considering a reform to its land “takings” law. 10. The most comprehensive study to date, led by Walter Fernandes, has put the total number of displaced for development projects in India between 1947 and 2004 at 60 million people. According to Fernandes, while adivasis constitute 8.6 percent of India’s population, they make up 40 percent of the displaced, with Dalits comprising another 20 percent. See Walter Fernandes, “Sixty Years of Development-induced Displacement in India,” in H. M. Mathur, ed., India Social Development Report 2008: Development and Displacement (New Delhi: Oxford University Press, 2008), 91-92. 11. For an analysis of this shift, see Devparna Roy, “Gujarat’s Gain and West Bengal’s Loss? ‘Development,’ Land Acquisition in India, and the Tata Nano Project: A Comparison of Singur with Sanand” (paper presented at the Land Deal Politics Initiative Conference on Global Land Grabbing, Institute of Development Studies, Sussex, United Kingdom, April 6-8, 2011). 12. For a more complete analysis of how the changing character of dispossession in post-liberalization India is contributing to the proliferation and success of land wars, see Michael Levien, “Regimes of Dispossession: From Steel Towns to Special Economic Zones,” Development and Change 44, no. 2(2013): 381-407. 13. There is, of course, a large literature in institutional economics, which holds that the protection of private property is the cornerstone of economic growth. See, for example, Douglass North, Institutions, Institutional Change and Economic Performance (Cambridge: Cambridge University Press, 1990). As a more recent statement puts it, “a cluster of institutions ensuring secure property rights for a broad cross section of society, which we refer to as the institutions of private property , are essential for investment incentives and economic performance.” See Daron Acemoglu, Simon Johnson, and James. A. Robinson, “Reversal of Fortune: Geography and Institutions in the Making of the Modern World Income Distribution,” The Quarterly Journal of Economics 107(2002): 1235. However, facilitating large private investments in a country where the majority of available land is in the hands of a small-holding peasantry has proven to be dependent on a growing state willingness to dispossess rather than protect the private property of rural agriculturalists. The accelerating use of eminent domain in India and elsewhere suggests that rapid economic growth appears to be based on the selective protection of private property. 14. One private consultancy has estimated that in 2011-2012, capital investment projects worth Rs. 2.7 trillion ($54 billion) were stalled, mostly due to uncertainties in land availability. See Center for Monitoring Indian Economy Pvt. Ltd., “Sharp increase in projects getting shelved,” (2012). Available at: http://www.cmie.com/kommon/bin/sr.php?kall=wclrdhtm.php&amp;amp;cmienvdt=20120704101759176&amp;amp;pc=099000000000&amp;amp;type=INSIGHTS . Accessed August 15, 2012. 15. While Ashutosh Varshney argues that a democratic system introduced before an industrial revolution empowers the countryside, his main example is the new farmers’ movements demanding subsidies and higher prices. That land rather than agricultural surpluses would be the source of conflict between urban capital and the countryside was anticipated by no one—until the land wars of the last five to seven years. See Ashutosh Varshney, Democracy, Development, and the Countryside (Cambridge: Cambridge University Press, 1995). In an urban context, Liza Weinstein also observes how democratic institutions, combined with the concern of investors to avoid political snags, has forced authorities in Mumbai to at least consult with those being evicted for slum redevelopment. See Liza Weinstein, “Democracy in the Globalizing Indian City: Engagements of Political Society and the State in Globalizing Mumbai,” Politics &amp;amp; Society 37, no. 3 (2009): 397-427. 16. Harvey, The New Imperialism , 169-171. 17. See, for example, Gail Omvedt, Reinventing Revolution: New Social Movements and the Socialist Tradition in India (Armonk: M.E. Sharpe, 1993). 18. Michael Hardt and Antonio Negri, Empire (Cambridge: Harvard University Press, 2000); Michael Hardt and Antonio Negri, Multitude: War and Democracy in the Age of Empire (New York: Penguin, 2004). 19. Partha Chatterjee, The Politics of the Governed: Reflections on Popular Politics in Most of the World (New York: Columbia University Press, 2005). 20. See Michael Levien, “Special Economic Zones and Accumulation by Dispossession in India,” Journal of Agrarian Change 11, no. 4 (2011): 454-483. 21. Harvey, The New Imperialism , 168, 174. 22. Ibid., 169, 179. 23. See Fred Block, “Introduction,” in Karl Polanyi, The Great Transformation: The Political and Economic Origins of Our Time (Boston: Beacon, [1944] 2001): xviii-xxxviii; Michael Burawoy, “For a Sociological Marxism: The Complementary Convergence of Antonio Gramsci and Karl Polanyi,” Politics &amp;amp; Society 31, no. 2 (2003): 193-261; Giovanni Arrighi and Beverly Silver, “Polanyi’s ‘Double Movement’: The Belle Epoques of British and US Hegemony Compared,” Politics &amp;amp; Society 31, no. 2 (2003): 325-355; Beverly Silver, Forces of Labor: Workers’ Movements and Globalization Since 1870 (Cambridge: Cambridge University Press, 2003); Peter Evans, “Is an Alternative Globalization Possible?” Politics &amp;amp; Society 36, no. 2 (2008): 271-305; Ayse Bugra and Kaan Agartan, eds., Reading Karl Polanyi for the 21 st Century (New York: Palgrave, 2007). 24. See Polanyi, The Great Transformation. 25. See Burawoy, “Sociological Marxism,” 213. 26. See Michael Burawoy, “From Polanyi to Pollyanna: The False Optimism of Global Labor Studies,” Global Labour Journal 1, no. 2 (2010): 308. 27. See Andrew G. Walder, “Political Sociology and Social Movements,” Annual Review of Sociology 35 (2009): 393-412. 28. Though in his late writings, Marx himself backed away from this position. See Theodore Shanin, Late Marx and the Russian Road: Marx and the Peripheries of Capitalism (New York: Monthly Review Press, 1983). 29. See Vladimir I. Lenin, The Development of Capitalism in Russia (Moscow: Progress Publishers, 1967); Karl Kautsky, The Agrarian Question (London: Zwan Publications, 1988). 30. See Barrington Moore, Social Origins of Dictatorship and Democracy: Lord and Peasant in the Making of the Modern World (Boston: Beacon Press, 1966); Eric Wolf, Peasant Wars of the Twentieth Century (Norman, OK: University of Oklahoma Press, 1999); Jeffrey Paige,","page":"351-394","publisher-place":"Johns Hopkins University, United States","title":"The Politics of Dispossession: Theorizing India's \"Land Wars\"","type":"article-journal","volume":"41"},"uris":["http://www.mendeley.com/documents/?uuid=59ff50b5-f014-49ec-aa51-fd9bf6c23f21"]}],"mendeley":{"formattedCitation":"(Levien, 2013; Falnikar and Dutta, 2019)","plainTextFormattedCitation":"(Levien, 2013; Falnikar and Dutta, 2019)","previouslyFormattedCitation":"(Levien, 2013; Falnikar and Dutta, 2019)"},"properties":{"noteIndex":0},"schema":"https://github.com/citation-style-language/schema/raw/master/csl-citation.json"}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(Levien, 2013; Falnikar and Dutta, 2019)</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Several sociological studies have focused on the issue of the peasant movement against the state that ignores farmers' rights such as land use, access to information, fairness in price policies, protection from global trade threats, and fair distribution of agricultural land</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{"citationItems":[{"id":"ITEM-1","itemData":{"DOI":"10.1177/0001839219879646","ISSN":"00018392 (ISSN)","abstract":"We theorize that anger incited by a social movement, which has a mobilizing effect among outsider activists, might immobilize collective action intentions for institutional insiders—those sympathetic to the movement and employed by its target. We conducted initial field surveys across a spectrum of social movements, including Occupy Wall Street and #metoo, as well as those related to business sustainability and gun control, which showed that institutional insiders are often just as angry as outsider activists. But the evidence from those surveys did not show that social movement anger translated into collective action intentions among institutional insiders. We tested our theory deductively with an experiment conducted with participants who were supportive of social movement issues in their organizations. Overall, our results show that anger about a social movement issue relates to greater collective action intentions among outsider activists but not among institutional insiders. Instead of anger emboldening institutional insiders to act despite the potential costs, anger triggers fear about the potential negative consequences of collective action in the workplace, which in turn results in withdrawal. While social movements often rely on anger frames to mobilize sympathizers, our work suggests that this practice may paradoxically cause fear that immobilizes those uniquely positioned to be able to influence organizations to change. © The Author(s) 2019.","author":[{"dropping-particle":"","family":"DeCelles","given":"K A","non-dropping-particle":"","parse-names":false,"suffix":""},{"dropping-particle":"","family":"Sonenshein","given":"S","non-dropping-particle":"","parse-names":false,"suffix":""},{"dropping-particle":"","family":"King","given":"B G","non-dropping-particle":"","parse-names":false,"suffix":""}],"container-title":"Administrative Science Quarterly","id":"ITEM-1","issue":"4","issued":{"date-parts":[["2020"]]},"language":"English","note":"Cited By :3\n\nExport Date: 3 March 2021\n\nCODEN: ASCQA\n\nCorrespondence Address: DeCelles, K.A.; University of TorontoCanada; email: katy.decelles@rotman.utoronto.ca\n\nFunding details: Northwestern University, NU\n\nFunding details: Rice University\n\nFunding details: Social Sciences and Humanities Research Council of Canada, SSHRC, 435-2013-0086SSHRC\n\nFunding details: University of Toronto, UofT\n\nFunding text 1: https://orcid.org/0000-0001-6321-1591 DeCelles Katherine A. 1 Sonenshein Scott 2 King Brayden G. 3 1 University of Toronto 2 Rice University 3 Northwestern University katy.decelles@rotman.utoronto.ca 10 2019 0001839219879646 © The Author(s) 2019 2019 Johnson Graduate School, Cornell University We theorize that anger incited by a social movement, which has a mobilizing effect among outsider activists, might immobilize collective action intentions for institutional insiders—those sympathetic to the movement and employed by its target. We conducted initial field surveys across a spectrum of social movements, including Occupy Wall Street and #metoo, as well as those related to business sustainability and gun control, which showed that institutional insiders are often just as angry as outsider activists. But the evidence from those surveys did not show that social movement anger translated into collective action intentions among institutional insiders. We tested our theory deductively with an experiment conducted with participants who were supportive of social movement issues in their organizations. Overall, our results show that anger about a social movement issue relates to greater collective action intentions among outsider activists but not among institutional insiders. Instead of anger emboldening institutional insiders to act despite the potential costs, anger triggers fear about the potential negative consequences of collective action in the workplace, which in turn results in withdrawal. While social movements often rely on anger frames to mobilize sympathizers, our work suggests that this practice may paradoxically cause fear that immobilizes those uniquely positioned to be able to influence organizations to change. social movements collective action insider activism Social Sciences and Humanities Research Council of Canada https://doi.org/10.13039/501100000155 435-2013-0086SSHRC edited-state corrected-proof The authors acknowledge funding from Social Sciences and Humanities Research Council of Canada (SSHRC), Standard Research Grant, Grant # 435-2013-0086SSHRC, the Michael Lee-Chin Family Institute for Corporate Citizenship at the Rotman School at University of Toronto, the Jones School of Business at Rice University, and the Kellogg School of Management at Northwestern University. The authors would like to thank Associate Editor Dev Jennings and three anonymous reviewers, as well as the many colleagues and students who provided us with comments on previous versions of this work. ORCID iD Katherine A. DeCelles https://orcid.org/0000-0001-6321-1591\n\nFunding text 2: The authors acknowledge funding from Social Sciences and Humanities Research Council of Canada (SSHRC), Standard Research Grant, Grant # 435-2013-0086SSHRC, the Michael Lee-Chin Family Institute for Corporate Citizenship at the Rotman School at University of Toronto, the Jones School of Business at Rice University, and the Kellogg School of Management at Northwestern University. The authors would like to thank Associate Editor Dev Jennings and three anonymous reviewers, as well as the many colleagues and students who provided us with comments on previous versions of this work.\n\nReferences: Alba, R., Pereira, J., The progress and pitfalls of diversity on Wall Street.” Report of the Center for Urban Research, City University of New York, Dec (2011) Retrieved March, p. 30; \nAlden, W., (2011) Study says Wall Street pay is tilted toward white men, , http://dealbook.nytimes.com/2011/12/02/study-sees-wall-street-pay-tilted-toward-white-men/?_php=true&amp;amp;_type=blogs&amp;amp;_r=0, March, 30, 2016,,. Retrieved, from;\nAllen, J.B., Kenrick, D.T., Linder, D.E., McCall, M.A., Arousal and attraction: A response-facilitation alternative to misattribution and negative-reinforcement models (1989) Journal of Personality and Social Psychology, 57, pp. 261-270;\nAminzade, R., McAdam, D., Emotions and contentious politics (2002) Mobilization: An International Quarterly, 7, pp. 107-109;\nAshford, S.J., Feedback-seeking in individual adaptation: A resource perspective (1986) Academy of Management Journal, 29, pp. 465-487;\nAshford, S.J., Rothbard, N.P., Piderit, S.K., Dutton, J.E., Out on a limb: The role of context and impression management in selling gender-equity issues (1998) Administrative Science Quarterly, 43, pp. 23-57;\nBarbalet, J., (1998) Emotion, Social Theory, and Social Structure, , Cambridge, Cambridge University Press;\nBaron, R.M., Kenny, D.A., The moderator–mediator variable distinction in social psychological research: Conceptual, strategic, and statistical considerations (1986) Journal of Personality and Social Psychology, 51, pp. 1173-1182;\nBecker, J.C., Tausch, N., Wagner, U., Emotional consequences of collective action participation: Differentiating self-directed and outgroup-directed emotions (2011) Personality and Social Psychology Bulletin, 37, pp. 1587-1598;\nBenford, R.D., Snow, D.A., Framing processes and social movements: An overview and assessment (2000) Annual Review of Sociology, 26, pp. 611-639;\nBerezin, M., Secure states: Towards a political sociology of emotion (2002) Sociological Review, 50, pp. 33-52;\nBerkman, E.T., Lieberman, M.D., Gable, S.L., BIS, BAS, and response conflict: Testing predictions of the revised reinforcement sensitivity theory (2009) Personality and Individual Differences, 46, pp. 586-591;\nBlumer, H., Collective behavior (1939) Principles of Sociology: 167–224, , Park R.E., (ed), New York, Barnes and Noble.,,. (ed;\nBriscoe, F., Gupta, A., Social activism in and around organizations (2016) Academy of Management Annals, 10, pp. 1-57;\nBritt, L., Heise, D., From shame to pride in identity politics (2000) Self, Identity, and Social Movements: 252–268, , Stryker S., Owens T.J., White R.W., (eds), Minneapolis, University of Minnesota Press.,,. (eds;\nCadena-Roa, J., Strategic framing, emotions, and Superbarrio—Mexico City’s masked crusader (2002) Mobilization: An International Quarterly, 7, pp. 201-216;\nCarver, C.S., White, T.L., Behavioral inhibition, behavioral activation, and affective responses to impending reward and punishment: The BIS/BAS scales (1994) Journal of Personality and Social Psychology, 67, pp. 319-333;\nChatterji, A.K., Toffel, M.W., The new CEO activists: A playbook for polarized political times (2018) Harvard Business Review, 96 (1), pp. 78-89;\nColeman, J.S., (1994) Foundations of Social Theory, , Cambridge, MA, Belknap Press;\nCollins, R., Stratification, emotional energy, and the transient emotions (1990) Research Agendas in the Sociology of Emotions: 27–57, , Kemper T.D., (ed), Albany, NY, State University of New York Press.,,. (ed;\nCollins, R., (2004) Interaction Ritual Chains, , Princeton, NJ, Princeton University Press;\nCordero-Guzman, H.R., (2011) Main stream support for a mainstream movement, , http://occupywallst.org/media/pdf/OWS-profile1-10-18-11-sent-v2-HRCG.pdf, March, 30, 2016,,. Retrieved, from;\nCorr, P.J., J.A. Gray’s reinforcement sensitivity theory: Tests of the joint subsystems hypothesis of anxiety and impulsivity (2002) Personality and Individual Differences, 33, pp. 511-532;\nCreed, D., Hudson, B.A., Okhuysen, G.A., Smith-Crowe, K., Swimming in a sea of shame: Incorporating emotion into explanations of institutional reproduction and change (2014) Academy of Management Review, 39, pp. 275-301;\nCrosby, F., A model of egoistical relative deprivation (1976) Psychological Review, 83, pp. 85-113;\nDavidson, M., Friedman, R.A., When excuses don’t work: The persistent injustice effect among black managers (1998) Administrative Science Quarterly, 43, pp. 154-183;\nDavis, G., White, C., (2015) Changing Your Company from the Inside Out: A Guide for Social Intrapreneurs, , Cambridge, MA, Harvard Business Review Press;\nDetert, J.R., Burris, E.R., Leadership behavior and employee voice: Is the door really open? (2007) Academy of Management Journal, 50, pp. 869-884;\nDe Weerd, M., Klandermans, B., Group identification and political protest: Farmers’ protests in the Netherlands (1999) European Journal of Social Psychology, 29, pp. 1073-1095;\nDurkheim, E., (1912) The Elementary Forms of Religious Life, , Fields K.E., (ed), New York, Free Press, 1995, English transl. by;\nDutton, J.E., Ashford, S.J., Selling issues to top management (1993) Academy of Management Review, 18, pp. 397-428;\nDutton, J.E., Ashford, S.J., Lawrence, K.A., Miner-Rubino, K., Red light, green light: Making sense of the organizational context for issue selling (2002) Organization Science, 13, pp. 355-369;\nDutton, J.E., Ashford, S.J., O’Neill, R.M., Hayes, E., Wierba, E.E., Reading the wind: How middle managers assess the context for selling issues to top managers (1997) Strategic Management Journal, 18, pp. 407-423;\nEesley, C.E., DeCelles, K.A., Lenox, M., Through the mud or in the boardroom: Activist types and their coercive strategies in targeting firms for social change (2016) Strategic Management Journal, 37, pp. 2425-2440;\nEffler, E.S., (2010) Laughing Saints and Righteous Heroes: Emotional Rhythms in Social Movement Groups, , Chicago, University of Chicago Press;\nEmirbayer, M., Goldberg, C.A., Pragmatism, Bourdieu, and collective emotions in contentious politics (2005) Theory and Society, 34, pp. 469-518;\nFolger, R., Reformulating the conditions of resentment: A referent cognition model (1987) Social Comparison, Social Justice, and Relative Deprivation: 183–215, , Masters J.C., Smith W.P., (eds), London, Erlbaum.,,. (eds;\nFox, E.J., (2014) Making six figures on Wall Street, but life stinks, , http://money.cnn.com/2014/02/18/investing/young-wall-street-kevin-roose/, March, 30, 2016,,. Retrieved, from;\nFrank, J., (2009) Constituent Moments: Enacting the People in Postrevolutionary America, , London, Duke University Press;\nFriedman, R.A., Robinson, R.J., Justice for all? Union versus management responses to unjust acts and social accounts (1993) International Journal of Conflict Management, 4, pp. 99-117;\nFrijda, N.H., Kuipers, P., ter Schure, E., Relations among emotion, appraisal, and emotional action readiness (1989) Journal of Personality and Social Psychology, 57, pp. 212-228;\nGamson, W.A., (1992) Talking Politics, , New York, Cambridge University Press;\nGamson, W.A., Sifry, M.L., The #Occupy movement: An introduction (2013) Sociological Quarterly, 54, pp. 159-163;\nGoodwin, J., Jasper, J., Polletta, F., The return of the repressed: The fall and rise of emotions in social movement theory (2000) Mobilization: An International Quarterly, 5, pp. 65-83;\nGoodwin, J., Jasper, J., Polletta, F., (2001) Passionate Politics: Emotions and Social Movements, , Chicago, University of Chicago Press, (eds;\nGoodwin, J., Pfaff, S., Emotion work in high-risk social movements: Managing fear in the U.S. and East German civil rights movements (2001) Passionate Politics: Emotions and Social Movements, pp. 282-302. , Goodwin J., Jasper J., Polletta F., (eds), Chicago, University of Chicago Press,,. (eds;\nGray, J.A., The psychophysiological basis of introversion–extraversion (1970) Behaviour Research and Therapy, 8, pp. 249-266;\nGray, J.A., The behavioural inhibition system: A possible substrate for anxiety (1976) Theoretical and Experimental Bases of Behaviour Modification: 3–41, , Feldman M.P., Broadhurst A.M., (eds), London, Wiley,,. (eds;\nGray, J.A., Précis of The Neuropsychology of Anxiety: An Enquiry into the Functions of the Septo-hippocampal System (1982) Behavioral and Brain Sciences, 5, pp. 469-534;\nGray, J.A., (1987) The Psychology of Fear and Stress, , Cambridge, Cambridge University Press;\nGray, J.A., McNaughton, N., (2000) The Neuropsychology of Anxiety: An Enquiry into the Functions of the Septo-hippocampal System, , Oxford, Oxford University Press;\nHammond, J.L., The anarchism of occupy Wall Street (2015) Science and Society, 79, pp. 288-313;\nHarmon-Jones, E., Sigelman, J., State anger and prefrontal brain activity: Evidence that insult-related relative left-prefrontal activation is associated with experienced anger and aggression (2001) Journal of Personality and Social Psychology, 80, pp. 797-803;\nHayes, A.F., (2013) Introduction to Mediation, Moderation, and Conditional Process Analysis: A Regression Based Approach, , New York, Guilford Press;\nHeise, D.R., (1979) Understanding Events: Affect and the Construction of Social Action, , New York, Cambridge University Press;\nHeise, D.R., (2007) Expressive Order: Confirming Sentiments in Social Actions, , New York, Springer;\nHercus, C., Identity, emotion, and feminist collective action (1999) Gender and Society, 13, pp. 34-55;\nHuttenlocher, J., Hedges, L.V., Bradburn, N.M., Reports of elapsed time: Bounding and rounding processes in estimation (1990) Journal of Experimental Psychology: Learning, Memory, and Cognition, 16, pp. 196-213;\nJasper, J.M., Emotions and social movements: Twenty years of theory and research (2011) Annual Review of Sociology, 37, pp. 285-303;\nJasper, J.M., Poulsen, J.D., Recruiting strangers and friends: Moral shocks and social networks in animal rights and anti-nuclear protests (1995) Social Problems, 42, pp. 493-512;\nKellogg, K.C., Operating room: Relational spaces and microinstitutional change in surgery (2009) American Journal of Sociology, 115, pp. 657-711;\nKellogg, K.C., Making the cut: Using status-based countertactics to block social movement implementation and microinstitutional change in surgery (2012) Organization Science, 23, pp. 1546-1570;\nKemper, T.D., Toward a sociology of emotions: Some problems and some solutions (1978) American Sociologist, 13 (1), pp. 30-41;\nKemper, T.D., Power and status and the power–status theory of emotions (2006) Handbook of the Sociology of Emotions, pp. 87-113. , Stets J., Turner J., (eds), New York, Springer,,. (eds;\nKing, B.G., A political mediation model of corporate response to social movement activism (2008) Administrative Science Quarterly, 53, pp. 395-421;\nKlandermans, B., Mobilization and participation: Social-psychological expansions of resource mobilization theory (1984) American Sociological Review, 49, pp. 583-600;\nKlandermans, B., de Weerd, M., Sabucedo, J.-M., Costa, M., Injustice and adversarial frames in a supranational political context: Farmers’ protest in the Netherlands and Spain (1999) Social Movements in a Globalizing World: 134–147, , della Porta D., Kriesi H., Rucht D., (eds), New York, Springer.,,. (eds;\nKlandermans, B., Oegema, D., Potentials, networks, motivations, and barriers: Steps towards participation in social movements (1987) American Sociological Review, 52, pp. 519-531;\nKlandermans, B., Van der Toorn, J., Van Stekelenburg, J., Embeddedness and identity: How immigrants turn grievances into action (2008) American Sociological Review, 73, pp. 992-1012;\nLangman, L., Occupy: A new new social movement (2013) Current Sociology, 61, pp. 510-524;\nLazarus, R.S., (1991) Emotion and Adaptation, , New York, Oxford University Press;\nLenox, M.J., Eesley, C.E., Private environmental activism and the selection and response of firm targets (2009) Journal of Economics and Management Strategy, 18, pp. 45-73;\nLerner, J.S., Gonzalez, R.M., Small, D.A., Fischhoff, B., Effects of fear and anger on perceived risks of terrorism: A national field experiment (2003) Psychological Science, 14 (2), pp. 144-150;\nLerner, J.S., Keltner, D., Fear, anger, and risk (2001) Journal of Personality and Social Psychology, 81, pp. 146-159;\nLewin, K., (1935) A Dynamic Theory of Personality: Selected Papers, , New York, McGraw-Hill;\nLively, K.J., Heise, D.R., Sociological realms of emotional experience (2004) American Journal of Sociology, 109, pp. 1109-1136;\nMackie, D.M., Devos, T., Smith, E.R., Intergroup emotions: Explaining offensive action tendencies in an intergroup context (2000) Journal of Personality and Social Psychology, 79, pp. 602-616;\nMartin, J., (1986) The tolerance of injustice, 4, pp. 217-242. , In Relative Deprivation and Social Comparison: The Ontario Symposium, Hillsdale, NJ, Lawrence Erlbaum;\nMartin, J., Brickman, P., Murray, A., Moral outrage and pragmatism: Explanations for collective action (1984) Journal of Experimental Social Psychology, 20, pp. 484-496;\nMcAdam, D., Recruitment to high-risk activism: The case of freedom summer (1986) American Journal of Sociology, 92, pp. 64-90;\nMcAdam, D., Conceptual origins, current problems, future directions (1996) Comparative Perspectives on Social Movements: Political Opportunities, Mobilizing Structures, and Cultural Framings, pp. 23-40. , McAdam D., McCarthy J., Zald M.N., (eds), Cambridge, Cambridge University Press,,. (eds;\nMcAdam, D., McCarthy, J.D., Zald, M.N., Social movements (1988) Handbook of Sociology, pp. 695-737. , Smelser N.J., (ed), Beverly Hills, CA, Sage,,. (ed;\nMcAdam, D., Paulsen, R., Specifying the relationship between social ties and activism (1993) American Journal of Sociology, 99, pp. 640-667;\nMcCarthy, J.D., Zald, M.N., Resource mobilization and social movements: A partial theory (1977) American Journal of Sociology, 82, pp. 1212-1241;\nMcDonnell, M., King, B.G., Soule, S.A., A dynamic process model of private politics: Activist targeting and corporate receptivity to social challenges (2015) American Sociological Review, 80, pp. 654-678;\nMelucci, A., The symbolic challenge of contemporary movements (1985) Social Research, 52, pp. 789-816;\nMeyerson, D.E., (2001) Tempered Radicals: How People Use Difference to Inspire Change at Work, , Boston, Harvard Business School Press;\nMeyerson, D.E., Scully, M.A., Crossroads: Tempered radicalism and the politics of ambivalence and change (1995) Organization Science, 6, pp. 585-600;\nMiller, D.A., Cronin, T., Garcia, A.L., Branscombe, N.R., The relative impact of anger and efficacy on collective action is affected by feelings of fear (2009) Group Processes and Intergroup Relations, 12, pp. 445-462;\nMilliken, F.J., Morrison, E.W., Hewlin, P.F., An exploratory study of employee silence: Issues that employees don’t communicate upward and why (2003) Journal of Management Studies, 40, pp. 1453-1476;\nMinkoff, D.C., Producing social capital: National social movements and civil society (1997) American Behavioral Scientist, 40, pp. 606-619;\nMohammad, S.M., (2012) # emotional tweets, pp. 246-255. , Agirre E., Bos J., Diab M., Manandhar S., Marton Y., Yuret D., (eds), Proceedings of the First Joint Conference on Lexical and Computational Semantics,. 1: Proceedings of the Main Conference and the Shared Task, and. 2: Proceedings of the Sixth International Workshop on Semantic Evaluation, Stroudsburg, PA, Association for Computational Linguistics,,. (eds;\nMorrison, E.W., Employee voice behavior: Integration and directions for future research (2011) Academy of Management Annals, 5 (1), pp. 373-412;\nMoskalenko, S., McCauley, C., Measuring political mobilization: The distinction between activism and radicalism (2009) Terrorism and Political Violence, 21, pp. 239-260;\nNeubert, E., (1998) Geschichte der Opposition in der DDR 1949–1989, 346. , Berlin, Links Verlag;\nOhlemacher, T., Bridging people and protest: Social relays of protest groups against low-flying military jets in West Germany (1996) Social Problems, 43, pp. 197-218;\nOliver, P.E., Formal models of collective action (1993) Annual Review of Sociology, 19 (1), pp. 271-300;\nOlzak, S., Soule, S.A., Coddou, M., Munoz, J., Friends or foes? How social movement allies affect the passage of legislation in the U.S. Congress (2016) Mobilization: An International Quarterly, 21, pp. 213-230;\nPettinicchio, D., Institutional activism: Reconsidering the insider/outsider dichotomy (2012) Sociology Compass, 6, pp. 499-510;\nRao, H., Dutta, S., Free spaces as organizational weapons of the weak (2012) Administrative Science Quarterly, 57, pp. 625-668;\n(2011) New Yorkers support anti-Wall Street protests: Poll, , https://www.reuters.com/article/us-protests/new-yorkers-support-anti-wall-street-protests-poll-idUSTRE79G55O20111017, Oct, 17;\nRobinson, D.T., Smith-Lovin, L., Wisecup, A.K., Affect control theory (2006) Handbook of the Sociology of Emotions: 179–202, , Stets J., Turner J.H., (eds), New York, Springer.,,. (eds;\nRomanos, E., Immigrants as brokers: Dialogical diffusion from Spanish indignados to Occupy Wall Street (2016) Social Movement Studies, 15, pp. 247-262;\nSantoro, W.A., McGuire, G.M., Social movement insiders: The impact of institutional activists on affirmative action and comparable worth policies (1997) Social Problems, 44, pp. 503-519;\nScherer, K.R., On the sequential nature of appraisal processes: Indirect evidence from a recognition task (1999) Cognition and Emotion, 13, pp. 763-793;\nScully, M., Segal, A., (2002) Passion with an umbrella: Grassroots activists in the workplace, pp. 125-168. , Bingley, UK, Emerald Group,,. Social Structure and Organizations Revisited;\nSitrin, M., Occupy trust: The role of emotion in the new movements (2013) Fieldsights–Hot Spots, Cultural Anthropology Online, p. 14","page":"847-886","publisher":"SAGE Publications Ltd","publisher-place":"University of Toronto, Canada","title":"Examining Anger’s Immobilizing Effect on Institutional Insiders’ Action Intentions in Social Movements","type":"article-journal","volume":"65"},"uris":["http://www.mendeley.com/documents/?uuid=d14c470c-d09b-4ad3-a20a-ad1f76803458"]}],"mendeley":{"formattedCitation":"(DeCelles, Sonenshein and King, 2020)","plainTextFormattedCitation":"(DeCelles, Sonenshein and King, 2020)","previouslyFormattedCitation":"(DeCelles, Sonenshein and King, 2020)"},"properties":{"noteIndex":0},"schema":"https://github.com/citation-style-language/schema/raw/master/csl-citation.json"}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(DeCelles, Sonenshein and King, 2020)</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Another focus of this study is their 'resistance to the domination and hegemony of global capitalist groups in agricultural affairs, such as the dominance of the trade-in drugs, environmental damage due to business interests, and neglect of farmers' rights in acquiring the opportunity to develop wisdom-based agricultural products</w:t>
      </w:r>
      <w:r w:rsidRPr="0037337F">
        <w:rPr>
          <w:rFonts w:ascii="Times New Roman" w:hAnsi="Times New Roman" w:cs="Times New Roman"/>
          <w:sz w:val="24"/>
          <w:szCs w:val="24"/>
          <w:lang w:val="id-ID"/>
        </w:rPr>
        <w:t xml:space="preserve"> l</w:t>
      </w:r>
      <w:r w:rsidRPr="0037337F">
        <w:rPr>
          <w:rFonts w:ascii="Times New Roman" w:hAnsi="Times New Roman" w:cs="Times New Roman"/>
          <w:sz w:val="24"/>
          <w:szCs w:val="24"/>
        </w:rPr>
        <w:t>ocally</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{"citationItems":[{"id":"ITEM-1","itemData":{"DOI":"10.3390/ijerph17165818","abstract":"An extremely useful theoretical approach to understanding the nature of work, health, and wellbeing is the job demand–control (JDC) model and the job demand–control–support (JDCS) model. In order for professional workers in the nongovernmental organization (NGO) sector to do their job, it is necessary for them to have a feeling of wellbeing. Despite this, in Europe, studies regarding the effects of the JDCS model in relation to workers’ wellbeing have not been carried out. This study is expected to fill this important gap in research by analyzing the relationship of wellbeing with work demands, work control, and social support. In order to corroborate the proposed hypotheses, an analysis of these constructs in employees in European nongovernmental organizations (NGOs) was developed and, using structural equation models, these relationships were tested. The results confirm the main hypothesis of the job demand–control–support (JDCS) model and the causal relationship among physical and psychological demands, work control, and support from supervisors and colleagues with the level of employee wellbeing. © MDPI AG. All rights reserved.","author":[{"dropping-particle":"","family":"Navajas-Romero","given":"V","non-dropping-particle":"","parse-names":false,"suffix":""},{"dropping-particle":"","family":"Río","given":"L.C.Y.L.","non-dropping-particle":"Del","parse-names":false,"suffix":""},{"dropping-particle":"","family":"Ceular-Villamandos","given":"N","non-dropping-particle":"","parse-names":false,"suffix":""}],"container-title":"International Journal of Environmental Research and Public Health","id":"ITEM-1","issued":{"date-parts":[["2020"]]},"language":"English","note":"Export Date: 21 February 2021\n\nCorrespondence Address: Navajas-Romero, V.; Department of Statistics and Operations Research, Spain; email: vnavajas@uco.es","publisher":"MDPI AG","publisher-place":"Department of Statistics and Operations Research, Business Organization and Applied Economics, Universidad de Córdoba14014, Spain","title":"Analysis of wellbeing in nongovernmental organizations’ workplace in a developed area context","type":"article-journal"},"uris":["http://www.mendeley.com/documents/?uuid=e472b9dd-0ed0-4761-9119-6aee725fb113"]}],"mendeley":{"formattedCitation":"(Navajas-Romero, Del Río and Ceular-Villamandos, 2020)","plainTextFormattedCitation":"(Navajas-Romero, Del Río and Ceular-Villamandos, 2020)","previouslyFormattedCitation":"(Navajas-Romero, Del Río and Ceular-Villamandos, 2020)"},"properties":{"noteIndex":0},"schema":"https://github.com/citation-style-language/schema/raw/master/csl-citation.json"}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(Navajas-Romero, Del Río and Ceular-Villamandos, 2020)</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Several focus studies on the issue of social movements are an inseparable part of the objectives of sociological studies related to both concept development, and theoretically and practically oriented studies.</w:t>
      </w:r>
    </w:p>
    <w:p w14:paraId="084ACE8C" w14:textId="1DF46BB8" w:rsidR="00197B65" w:rsidRPr="0037337F" w:rsidRDefault="008218B0" w:rsidP="000663AA">
      <w:pPr>
        <w:spacing w:line="240" w:lineRule="auto"/>
        <w:ind w:firstLine="425"/>
        <w:jc w:val="both"/>
        <w:rPr>
          <w:rFonts w:ascii="Times New Roman" w:hAnsi="Times New Roman" w:cs="Times New Roman"/>
          <w:sz w:val="24"/>
          <w:szCs w:val="24"/>
          <w:lang w:val="id-ID"/>
        </w:rPr>
      </w:pPr>
      <w:r w:rsidRPr="0037337F">
        <w:rPr>
          <w:rFonts w:ascii="Times New Roman" w:hAnsi="Times New Roman" w:cs="Times New Roman"/>
          <w:sz w:val="24"/>
          <w:szCs w:val="24"/>
        </w:rPr>
        <w:t>The study of farmers’ social movements is not only related to sociological issues such as farmers’ resistance, the relationship between state and private sector domination of farmers, and the struggle for justice for farmers, rather it is also associated with economic, ecological, and conservation issues. According to Gonçalves et al. (2013), Mutter et al. (1999) and Wegren (1996) economic issues are related to studies that focus on building networks and agricultural management to realize the welfare and prosperity of agricultural communities. In this context, several studies showed that the welfare and prosperity of farmers are influenced by the networks and institutions of the farming community</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{"citationItems":[{"id":"ITEM-1","itemData":{"DOI":"10.1080/07491409.2019.1669756","ISSN":"07491409 (ISSN)","abstract":"This article centers the voices of the widows of farmers from Yavatmal, Maharashtra, who give meaning to the patriarchal structures that unfold amid neoliberal agriculture in India. The theoretical framework of the culture-centered approach presented in the article works in solidarity with transnational feminist scholarship to interrupt the dominant discourse of development that reproduces the disempowerment experienced by these widows. Based on in-depth interviews conducted across villages, this article foregrounds the meanings and explanations of India’s agrarian crisis through the voices of widows of farmers. Their narratives position the suicides of their husbands amid the high-investment Bt cotton farming that incurred debts from which it became impossible to recover. By deploying voices of the gendered subaltern to interrogate the agrarian crisis, the article highlights the multiple structures that make widows’ lives precarious. Their reflective journeys address the communicative erasures faced by the widows within households and the larger discourse of neoliberal development of agriculture. © 2019, © 2019 The Organization for Research on Women and Communication.","author":[{"dropping-particle":"","family":"Falnikar","given":"A","non-dropping-particle":"","parse-names":false,"suffix":""},{"dropping-particle":"","family":"Dutta","given":"M J","non-dropping-particle":"","parse-names":false,"suffix":""}],"container-title":"Women's Studies in Communication","id":"ITEM-1","issue":"4","issued":{"date-parts":[["2019"]]},"language":"English","note":"Export Date: 3 March 2021\n\nCorrespondence Address: Falnikar, A.; Department of Communications and New Media, 9 Arts Link, AS4, Singapore; email: ashwini.f@nus.edu.sg\n\nFunding details: National University of Singapore, NUS\n\nFunding text 1: National University of Singapore grant to CARE (Center for Culture-centered Approach to Research and Evaluation).\n\nReferences: Basu, A., Dutta, M.J., Sex workers and HIV/AIDS: Analyzing participatory culture-centered health communication strategies (2009) Human Communication Research, 35 (1), pp. 86-114; \nBhattacharya, H., (2017) Narrating love and violence: Women contesting caste, tribe, and state in Lahaul, India, , New Brunswick, NJ: Rutgers University Press;\nBlum, S.D., Called by the earth: Women in sustainable farming (2011) Journal of Workplace Rights, 16 (3-4), pp. 315-336;\n(2007) International Journal of Public Opinion Research, 19. , Brossard, D., &amp;amp; Nisbet, M. C. (,). Deference to scientific authority among a low information public: Understanding US opinion on agricultural biotechnology., (1), 24–52;\nBrossard, D., Shanahan, J., Nesbitt, T.C., (2007) The Media, the Public and Agricultural Biotechnology, , Cambridge, MA, Cabi;\nBryant, L., Pini, B., Towards an understanding of gender and capital in constituting biotechnologies in agriculture (2006) Sociologia Ruralis, 46 (4), pp. 261-279;\nDutta, M.J., (2008) Communicating health: A culture-centered approach, , Cambridge, United Kingdom: Polity Press;\nDutta, M.J., (2011) Communicating social change: Structure, culture, and agency, , New York, NY: Routledge;\nDutta, M.J., Basu, A., Health among men in rural Bengal: Exploring meanings through a culture-centered approach (2007) Qualitative Health Research, 17 (1), pp. 38-48;\nDutta, M., Pal, M., Dialog theory in marginalized settings: A subaltern studies approach (2010) Communication Theory, 20 (4), pp. 363-386;\nFernandes, L., (2013) Transnational feminism in the United States: Knowledge, ethics, power, , New York: New York University Press;\nGruère, G., Sengupta, D., Bt cotton and farmer suicides in India: An evidence-based assessment (2011) Journal of Development Studies, 47 (2), pp. 316-337;\nJarosz, L., Nourishing women: Toward a feminist political ecology of community supported agriculture in the United States (2011) Gender, Place, and Culture, 18 (3), pp. 307-326;\n(2016) Special assistance, , http://mahaschemes.maharashtra.gov.in/en/special-assistance-scheme.html, Retrieved from;\nMishra, S., Farmers’ suicides in Maharashtra (2006) Economic and Political Weekly, 41 (16), pp. 1538-1545;\nMohanakumar, S., Sharma, R.K., Analysis of farmer suicides in Kerala (2006) Economic and Political Weekly, 41 (16), pp. 1553-1558;\nMohanty, B.B., Farmer suicides in India (2013) Economic and Political Weekly, 48 (21), pp. 45-54;\nNarayanamoorthy, A., Kalamkar, S.S., Is Bt cotton cultivation economically viable for Indian farmers? An empirical analysis (2006) Economic and Political Weekly, 41 (26), pp. 2716-2724;\nOmvedt, G., Farmers’ movements and the debate on poverty and economic reforms in India (2005) Social movements in India: Poverty, power, and politics, pp. 179-202. , Ray R., Katzenstein M.F., (eds), Lanham, MD: Rowman &amp;amp; Littlefield,. (Eds;\nPatnaik, U., Global capitalism, deflation, and agrarian crisis in developing countries (2003) Journal of Agrarian Change, 3 (1-2), pp. 33-66;\nQaim, M., Zilberman, D., Yield effects of genetically modified crops in developing countries (2003) Science, 299 (5608), pp. 900-902;\nRao, N.C., Dev, S.M., Biotechnology and pro-poor agricultural development (2009) Economic and Political Weekly, 44 (52), pp. 56-64;\nRao, N.C., Pray, C.E., Herring, R.J., Biotechnology for a second green revolution in India: Socioeconomic, political, and public policy issues (2015) AgBioForum: The Journal of Agrobiotechnology Management &amp;amp; Economics, 12 (2), pp. 126-141. , http://agbioforum.org/v18n2/v18n2a01-rao.pdf, –,. Retrieved from;\nReddy, D.N., Mishra, S., (2009) Agrarian crisis in India, , New Delhi, India: Oxford University Press, &amp;amp;, (Eds;\nSainath, P., (2015) The slaughter of suicide data, , http://psainath.org/the-slaughter-of-suicide-data/, 5 August).,. Retrieved from;\nWriters, S., Nagar, R., (2006) Playing with fire: Feminist thought and activism through seven lives in India, , Minneapolis: University of Minnesota Press;\nVasavi, A., Suicides and the making of India’s agrarian distress (2009) South African Review of Sociology, 40 (1), pp. 94-108","page":"432-451","publisher":"Routledge","publisher-place":"Department of Communications and New Media, National University of Singapore, Singapore","title":"Voices of Farmer-Widows Amid the Agrarian Crisis in India","type":"article-journal","volume":"42"},"uris":["http://www.mendeley.com/documents/?uuid=1f2d330f-dcbd-4f79-acab-d11c0073718a"]}],"mendeley":{"formattedCitation":"(Falnikar and Dutta, 2019)","plainTextFormattedCitation":"(Falnikar and Dutta, 2019)","previouslyFormattedCitation":"(Falnikar and Dutta, 2019)"},"properties":{"noteIndex":0},"schema":"https://github.com/citation-style-language/schema/raw/master/csl-citation.json"}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(Falnikar and Dutta, 2019)</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Furthermore, studies revealed that these networks have a significant impact on changes and improvements in people's lives. This also affects the sustainability of the agricultural sector as a contributor to national food security for a country</w:t>
      </w:r>
      <w:r w:rsidRPr="0037337F">
        <w:rPr>
          <w:rFonts w:ascii="Times New Roman" w:hAnsi="Times New Roman" w:cs="Times New Roman"/>
          <w:sz w:val="24"/>
          <w:szCs w:val="24"/>
        </w:rPr>
        <w:fldChar w:fldCharType="begin" w:fldLock="1"/>
      </w:r>
      <w:r w:rsidRPr="0037337F">
        <w:rPr>
          <w:rFonts w:ascii="Times New Roman" w:hAnsi="Times New Roman" w:cs="Times New Roman"/>
          <w:sz w:val="24"/>
          <w:szCs w:val="24"/>
        </w:rPr>
        <w:instrText>ADDIN CSL_CITATION {"citationItems":[{"id":"ITEM-1","itemData":{"DOI":"10.1177/1532708610372769","ISBN":"1532708610","ISSN":"15327086","abstract":"This article analyzes the development of \"local food\" institutions from a social movements perspective. Over the last decade, institutions that \"shorten the links\" between producer and consumer have developed through a diverse collaboration of many social sectors (farmers, agronomic experts, retailers, chefs, food writers, and several distinct consumer sectors). Some agronomists and rural sociologists critical of the globalization and industrialization of agriculture have recognized this development as heralding Polanyian \"reembedding\" of market exchanges in social relations. This article analyzes whether and how local food is a social movement, using new social movement theory as an analytic framework. © 2010 Sage Publications.","author":[{"dropping-particle":"","family":"Starr","given":"Amory","non-dropping-particle":"","parse-names":false,"suffix":""}],"container-title":"Cultural Studies - Critical Methodologies","id":"ITEM-1","issue":"6","issued":{"date-parts":[["2010"]]},"page":"479-490","title":"Local food: A social movement?","type":"article-journal","volume":"10"},"uris":["http://www.mendeley.com/documents/?uuid=f33283fa-3532-4f7e-86d2-6f9f1cbcd916"]}],"mendeley":{"formattedCitation":"(Amory Starr, 2010)","plainTextFormattedCitation":"(Amory Starr, 2010)","previouslyFormattedCitation":"(Amory Starr, 2010)"},"properties":{"noteIndex":0},"schema":"https://github.com/citation-style-language/schema/raw/master/csl-citation.json"}</w:instrText>
      </w:r>
      <w:r w:rsidRPr="0037337F">
        <w:rPr>
          <w:rFonts w:ascii="Times New Roman" w:hAnsi="Times New Roman" w:cs="Times New Roman"/>
          <w:sz w:val="24"/>
          <w:szCs w:val="24"/>
        </w:rPr>
        <w:fldChar w:fldCharType="separate"/>
      </w:r>
      <w:r w:rsidRPr="0037337F">
        <w:rPr>
          <w:rFonts w:ascii="Times New Roman" w:hAnsi="Times New Roman" w:cs="Times New Roman"/>
          <w:noProof/>
          <w:sz w:val="24"/>
          <w:szCs w:val="24"/>
        </w:rPr>
        <w:t>(Amory Starr, 2010)</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w:t>
      </w:r>
    </w:p>
    <w:p w14:paraId="38E29678" w14:textId="44DA7FAA" w:rsidR="00197B65" w:rsidRPr="0037337F" w:rsidRDefault="008218B0" w:rsidP="000663AA">
      <w:pPr>
        <w:spacing w:line="240" w:lineRule="auto"/>
        <w:ind w:firstLine="425"/>
        <w:jc w:val="both"/>
        <w:rPr>
          <w:rFonts w:ascii="Times New Roman" w:hAnsi="Times New Roman" w:cs="Times New Roman"/>
          <w:sz w:val="24"/>
          <w:szCs w:val="24"/>
          <w:lang w:val="id-ID"/>
        </w:rPr>
      </w:pPr>
      <w:r w:rsidRPr="0037337F">
        <w:rPr>
          <w:rFonts w:ascii="Times New Roman" w:hAnsi="Times New Roman" w:cs="Times New Roman"/>
          <w:sz w:val="24"/>
          <w:szCs w:val="24"/>
        </w:rPr>
        <w:t xml:space="preserve">Several other studies have focused on farmers' social movements on ecological issues related to the efforts of farming communities to cultivate agricultural seeds oriented to a sustainable environment </w:t>
      </w:r>
      <w:r w:rsidRPr="0037337F">
        <w:rPr>
          <w:rFonts w:ascii="Times New Roman" w:hAnsi="Times New Roman" w:cs="Times New Roman"/>
          <w:sz w:val="24"/>
          <w:szCs w:val="24"/>
        </w:rPr>
        <w:fldChar w:fldCharType="begin" w:fldLock="1"/>
      </w:r>
      <w:r w:rsidRPr="0037337F">
        <w:rPr>
          <w:rFonts w:ascii="Times New Roman" w:hAnsi="Times New Roman" w:cs="Times New Roman"/>
          <w:sz w:val="24"/>
          <w:szCs w:val="24"/>
        </w:rPr>
        <w:instrText>ADDIN CSL_CITATION {"citationItems":[{"id":"ITEM-1","itemData":{"DOI":"10.2307/3641869","ISSN":"00308684 (ISSN)","abstract":"Historically, the relationship between workers and environmentalists has been complex. Between the late 1960s and early 1980s unions concerned about working conditions and pollution, particularly the United Farm Workers (UFW), consistently sought to forge coalitions with national environmental leaders to enact tough clean air and clean water legislation. Both groups became increasingly concerned about the proliferation of chemical pesticides and occasionally cooperated to push for more effective safeguards for workers, consumers, and the environment. While these efforts yielded improvements, political, ideological, stylistic, and class differences prevented the UFW-environmental alliance from becoming permanent and effective. In particular, the Sierra Club, which had advocated restrictions on chemical pesticides since the 1960s, endorsed a 1973 strike by the more established and influential Oil, Chemical, and Atomic Workers Union (OCAW), yet at the same time it refused to endorse similar efforts by the UFW. Despite common objectives, the UFW and the environmental movement failed to establish a lasting relationship. In the long run, differences that prevented closer ties between the Sierra Club and the UFW emerged at the national level and undermined alliances between the labor and environmental movements.","author":[{"dropping-particle":"","family":"Gordon","given":"R","non-dropping-particle":"","parse-names":false,"suffix":""}],"container-title":"Pacific Historical Review","id":"ITEM-1","issue":"1","issued":{"date-parts":[["1999"]]},"language":"English","note":"Cited By :17\n\nExport Date: 3 March 2021\n\nReferences: Taylor, R.B., (1975) Chavez and the Farm Workers, p. 242. , Boston; \nMajka, L.C., Majka, T.J., (1982) Farm Workers, Agribusiness, and the State, pp. 201-203. , Philadelphia;\nChavez against the wall (1974) The New Republic, 171, pp. 13-16. , Dec. 7;\nMajka, Majka, Farm Workers, Agribusiness, and the State;\nJenkins, J.C., (1985) The Politics of Insurgency: The Farm Worker Movement in the 1960s, , New York;\nTaylor, Chavez and the Farm Workers;\nBrown, J.B., (1972) The United Farm Workers Grape Strike and Boycott, 1965-1970: An Evaluation of the Culture of Poverty Theory, , New York;\nSierra Club Records, 1. , Sierra Club Collection, Bancroft Library, University of California, Berkeley;\nFoster, J.B., The limits of environmentalism without class: Lessons from the ancient forest struggles of the Pacific Northwest (1993) Capitalism, Nature, Socialism, 4, pp. 11-41;\nSchwab, J., (1994) Deeper Shades of Green: The Rise of Blue-collar and Minority Environmentalism in America, pp. xvii-xxii. , San Francisco;\nGottlieb, R., (1993) Forcing the Spring: The Transformation of the American Environmental Movement, , Washington, D.C., For an example of the environmental mainstream's reluctance to become involved in the UFW's boycott, see folder &amp;quot;Environmental Action,&amp;quot; box 2 [accession date, July 10, 1975], UFW Collection;\nGordon, R., Shell no!: OCAW and the labor-environmental alliance, 1968-1984 (1998) Environmental History, 3, pp. 459-486;\nSchwab, Deeper Shades of Green;\nKazis, R., Grossman, R., (1982) Fear at Work: Job Blackmail, Labor and the Environment, , New York;\nGottlieb, R., A question of class: The workplace experience (1992) Socialist Review, 22, pp. 131-163;\nGottlieb, Forcing the Spring;\nWhite, R., 'Are you an environmentalist or do you work for a living?': Work and nature (1995) Uncommon Ground: Toward Reinventing Nature, , William Cronon, ed., New York;\nFoster, The Limits of Environmentalism Without Class;\nKeil, R., The green work alliance (1995) Capitalism, Nature, Socialism, 6, pp. 63-76;\nFoster, J.B., (1994) The Vulnerable Planet: A Short Economic History of the Environment, pp. 137-138. , New York;\nDowie, M., (1995) Losing Ground: American Environmentalism at the Close of the Twentieth Century, pp. 158-159. , Cambridge, Mass;\nNoble, C., (1986) Liberalism at Work: The Rise and Fall of OSHA, pp. 142-144. , Philadelphia, In an otherwise excellent history of OSHA, Noble argues that organized labor was and continues to be primarily responsible for the failure of OSHA and strained relations with the environmental mainstream;\nMajka, Majka, Farm Workers, Agribusiness, and the State;\nMooney, P.H., Majka, T.J., (1995) Farmers' and Farmworkers' Movements: Social Protest in American Agriculture, , New York;\nWeber, D., (1994) Dark Sweat, White Gold: California Farm Workers, Cotton, and the New Deal, , Berkeley;\nWeber, D., (1994) Dark Sweat, White Gold: California Farm Workers, Cotton, and the New Deal, , Folder 7, box 18, Office of the President, UFW Collection; folder 15, box 35;\nDille, J.R., Smith, P.W., Central nervous system effects of chronic exposure to organophosphate insecticides (1964) Aerospace Medicine, 35, pp. 475-478;\nNamba, T., Poisoning due to organophosphate insecticides: Acute and chronic manifestations (1971) American Journal of Medicine, 50, pp. 475-492;\n(1968) Occupational Disease in California Related to Pesticides and Other Agricultural Chemicals, 1967, , Sacramento;\nFolder 7, box 18, Office of the President, UFW Collection; Folder 4, box 7, ibid; (1969) El Malcriado, p. 3. , Jan. 15;\nBrown, The United Farm Workers Grape Strike and Boycott, p. 164;\nFlimmer, J., (1977) Pesticide Chemistry in the 20th Century, pp. 98-99. , Washington, D.C;\nMcEwen, F.L., Stephenson, G.R., (1979) The Use and Significance of Pesticides in the Environment, p. 166. , New York;\nMoses, M., Farm workers and pesticides (1993) Confronting Environmental Racism: Voices from the Grassroots, pp. 161-178. , Robert Bullard, ed., Boston;\nWasserstrom, R.F., Wiles, R., (1985) Field Duty: U.S. Farmworkers and Pesticide Safety, p. 1. , New York;\nFolder &amp;quot;Info/Research-Pesticides 1974,&amp;quot; box 11, UFW Collection; Taylor, R.B., Nerve gas in the orchards (1970) The Nation, 210, pp. 751-753. , June 22;\n(1969) El Malcriado, p. 7. , Sept. 15;\nSchwartz, J., Poisoning farm workers (1975) Environment, 17, pp. 26-33. , June;\nWasserstrom, Wiles, Field Duty, p. 3;\nHarmer, R., Poisons, profits, and politics (1969) The Nation, 209, p. 134. , Aug. 25;\nMoses, Farm Workers and Pesticides, p. 14;\n(1969) U.S. Congressional Record, p. 21892. , Aug. 1;\nBrown, L.R., (1988) The State of the World, p. 21. , New York;\n(1988) Pesticide Industry Sales and Usage, 1987 Market Estimates, , Washington, D.C;\nFolder &amp;quot;Info/Research-Pesticides 1974,&amp;quot; box 11, UFW Collection; (1969) El Malcriado, p. 7. , Sept. 15;\nPoisoning Farm Workers, pp. 26-33;\nFolder &amp;quot;Info/Research-Pesticides 1974,&amp;quot; box 11, UFW Collecuon; (1969) El Malcriado, p. 7. , Sept. 15;\nSchwanz, Poisoning Farm Workers, pp. 26-33;\nTaylor, Nerve Gas in the Orchards, pp. 751-753;\nMartin, P., A profile of California farmworkers (1985) California Agriculture, pp. 16-18;\nFolder 7, box 61, Office of the President, UFW Collection; Ibid; Dowie, Losing Ground, pp. 1-8;\nGottlieb, Forcing the Spring, pp. 117-161;\nNorman, C., Regulating pesticides: The delaney paradox (1987) Science, 236, p. 1054;\nHoberg, G., (1992) Pluralism by Design: Environmental Policy and the American Regulatory State, pp. 120-121. , New York;\nGreen, M.D., The politics of pesticides (1969) The Nation, 209, pp. 569-571. , Nov. 24;\nDe Bell, G., (1970) The Environmental Handbook, p. 88. , New York;\nGreen, Politics of Pesticides, pp. 569-571;\nHarmer, Poisons, Profits, and Politics, p. 43;\nDille, Smith, Central Nervous System Effects of Chronic Exposure to Organophosphate Insecticides, pp. 475-478;\nNamba, Poisoning Due to Organophosphate Insecticides, pp. 475-492;\nHoberg, Pluralism by Design, pp. 119-120;\nMoses, M., Pesticide-related health problems and farmworkers (1989) AAOHN [American Association of Occupational Health Nurses] Journal, p. 1. , March;\nLast, J.M., Wallace, R.B., (1992) Public Health and Preventive Medicine, p. 488. , New York;\nSale, K., (1993) The Green Revolution: The American Environmental Movement, 1962-1992, pp. 21-27. , New York;\nShabecoff, P., (1993) A Fierce Green Fire: The American Environmental Movement, pp. 111-120. , New York;\nPage, J.A., O'Brien, M.-W., (1973) Bitter Wages: Ralph Nader's Study Group Report on Disease and Injury on the Job, pp. 41-44. , New York, For evidence of UFW disappointment, see folder 15, box 26, Office of the President, UFW Collection;\nGottlieb, Forcing the Spring, p. 244;\nFolder 15, box 26, Office of the President, UFW Collection; note; Folder 9, box 19, ibid; Jenkins, Politics of Insurgency, p. 142;\nFolder 15, box 26, Office of the President, UFW Collection; Jenkins, Politics of Insurgency, p. 176;\nTaylor, R.B., A romance rekindled (1973) The Nation, 216, pp. 366-370. , March 19;\nMajka, Majka, Farm Workers, Agribusiness, and the State, p. 201;\nFarm Workers, Agribusiness, and the State, p. 201;\nFolder &amp;quot;Info/Research-Pesticides 1974,&amp;quot; box 11, UFW Collection; Chavez Against the Wall, pp. 13-16;\nJenkins, Politics of Insurgency, p. 178;\nMajka, Majka, Farm Workers, Agribusiness, and the State, p. 202;\nCesar Chavez's decisive battle (1973) Business Week, p. 81. , Aug. 4;\nFolder &amp;quot;Info/Research-Pesticides 1974,&amp;quot; box 11, UFW Collection; Hoberg, Pluralism by Design, p. 124;\nPluralism by Design, pp. 124-127;\nThe dilemma of pesticides (1975) U.S. News and World Report, 79, p. 74. , Nov. 3;\nMajka, Majka, Farm Workers, Agribusiness, and the State, p. 213;\nFolder &amp;quot;Conditions/Pesticides,&amp;quot; box 2 [accession date, June 1, 1978], Administration Files, UFW Collection; Ibid; (1973) El Malcriado, pp. 8-9. , March 9;\n(1972) New York Times, , March 26;\n(1974) Time, 104, pp. 13-16. , Sept. 18;\nTaylor, A Romance Rekindled, pp. 366-370;\nTaylor, R.B., Something in the wind (1975) The Nation, 220, pp. 206-209. , Feb. 22;\nIBT's grim warning (1974) Business Week, p. 102. , May 4;\nFolder &amp;quot;Environmental Action,&amp;quot; box 2 [accession date, July 10, 1975], Works Department, UFW Collection; A broader look at the environment (1973) Sierra Club Bulletin, p. 18. , March;\nGottlieb, Forcing the Spring, p. 289;\nKazis, Grossman, Fear at Work, p. 247;\nWallick, F., Labor: Paying a price (1974) Equilibrium, pp. 22-25. , July;\n(1974) Equilibrium, pp. 22-25;\nSale, The Green Revolution, , introduction;\n(1971) Union News, 27, p. 2. , June;\nnote; Labor attacks the 'conservation caper,' (1972) San Francisco Chronicle, , Jan. 18;\nPorter E., Jr., The Sierra club-'ecclesiastical self-confidence,' (1973) The Sierra Club's Loma Prietan, p. 5. , March;\nLabor Chief Henning scores environmentalists (1972) Sacramento Bee, , Feb. 2;\nCline, A., Labor, ecology headed for showdown (1972) San Francisco Chronicle, , March 3;\nPeterson, J., Union chiefs, ecologists clash over job losses (1972) National Observer, 12. , Dec. 9;\n(1972) National Observer, 12;\n(1972) National Observer, 12;\n(1972) National Observer, 12;\n(1972) National Observer, 12;\n(1973) Shell Oil &amp;amp; Shell Chemical Strike, 1973;\nLerza, C., Giving shell some gas: Environmental issues reach the bargaining table (1973) Environmental Action, pp. 3-6. , March 3;\nA broader look at the environment (1973) Sierra Club Bulletin, 58, p. 18;\nShapley, D., Shell strike: Ecologists refine relations with labor (1973) Science, 180, p. 166. , April 13;\nGottlieb, Forcing the Spring, pp. 290-292;\nSierra Club Records, 1. , Sierra Club Collection;\nJenkins, The Politics of Insurgency, pp. 194-195;\nDeVall, The Governing of a Voluntary Organization, pp. 184-187;\nFolder &amp;quot;Mitchell/Goldwin Study of Environmental Action Membership, 6/14/83,&amp;quot; box 7, Environmental Action Collection, University of Pittsburgh; Jenkins, The Politics of Insurgency, pp. 194-195;\nEconomy and industrial relations Sierra Club Records, 1. , box 101, Sierra Club Collection;\nSierra Club Records, 1;\nnote; Ibid; ibid; Majka, Majka, Farm Workers, Agribusiness, and the State, pp. 226-233;\nJenkins, The Politics of Insurgency, pp. 192-194;\nFolder 17 &amp;quot;AFL-CIO Negotiations, 1974,&amp;quot; box 2, Marshall Ganz Files, and folder 7 &amp;quot;AFL-CIO, 1974,&amp;quot; box 31, Administration Department Files, UFW Collection; Chavez, C., Farm workers at risk (1993) Toxic Struggles: The Theory and Practice of Environmental Justice, pp. 163-170. , Richard Hofrichter, ed., Philadelphia;\nBarr, E.T., Sour grapes: Cesar Chavez 20 years later (1985) The New Republic, 193, p. 20. , Nov. 25;\nBurnstein, A., Chavez and the UFW (1983) Business Week, pp. 86-88. , Sept. 26;\nMooney, Majka, Farmers and Farm Workers Movements, p. 191;\nSale, The Green Revolution, p. 23;\nZakin, S., (1993) Coyotes and Town Dogs: EARTH FIRST! and the Environmental Movement, p. 168. , New York;\nCohen, M.P., (1988) The History of the Sierra Club, 1892-1970, pp. 395-434. , San Francisco;\nChavez, Farm Workers at Risk, pp. 167-168;\nGordon, R., Environmental Blues: Working-class Environmentalism and the Labor-environmental Alliance, 1968-1985, , Ph.D. dissertation, Wayne State University, forthcoming;\nGottlieb, Forcing the Spring, p. 291;\nLabor attacks the 'conservation caper,' (1972) San Francisco Chronicle, , Jan. 18;\n(1973) Shell Oil Company-OCAW Strike-1973, , Evans to McCloskey, Feb. 14, box 61, National Legislative Office Records, Sierra Club Collection;\nMcCloskey, Economy and industrial relations Shell Oil Company-OCAW Strike-1973, , to OCAW Environmental and Education Representative Richard Engler, Feb. 15, 1973, in which McCloskey stated that it was likely that the Sierra Club would provide striking workers with support; folder 53 box 101","page":"51-77","publisher":"University of California Press","title":"Poisons in the fields: The United Farm Workers, pesticides, and environmental politics","type":"article-journal","volume":"68"},"uris":["http://www.mendeley.com/documents/?uuid=71048432-b126-42f2-9a0f-5b1dd893b24c"]}],"mendeley":{"formattedCitation":"(Gordon, 1999)","plainTextFormattedCitation":"(Gordon, 1999)","previouslyFormattedCitation":"(Gordon, 1999)"},"properties":{"noteIndex":0},"schema":"https://github.com/citation-style-language/schema/raw/master/csl-citation.json"}</w:instrText>
      </w:r>
      <w:r w:rsidRPr="0037337F">
        <w:rPr>
          <w:rFonts w:ascii="Times New Roman" w:hAnsi="Times New Roman" w:cs="Times New Roman"/>
          <w:sz w:val="24"/>
          <w:szCs w:val="24"/>
        </w:rPr>
        <w:fldChar w:fldCharType="separate"/>
      </w:r>
      <w:r w:rsidRPr="0037337F">
        <w:rPr>
          <w:rFonts w:ascii="Times New Roman" w:hAnsi="Times New Roman" w:cs="Times New Roman"/>
          <w:noProof/>
          <w:sz w:val="24"/>
          <w:szCs w:val="24"/>
        </w:rPr>
        <w:t>(Gordon, 1999)</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In this movement, farmers are faced with national and global capitalist groups that try to thwart the society. A number of studies revealed that agricultural capitalist groups, especially those engaged in cultivation, always want to dominate and master cultivation, from the manufacturing to the utilization and production stages</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fldChar w:fldCharType="begin" w:fldLock="1"/>
      </w:r>
      <w:r w:rsidR="0037337F" w:rsidRPr="0037337F">
        <w:rPr>
          <w:rFonts w:ascii="Times New Roman" w:hAnsi="Times New Roman" w:cs="Times New Roman"/>
          <w:sz w:val="24"/>
          <w:szCs w:val="24"/>
        </w:rPr>
        <w:instrText>ADDIN CSL_CITATION {"citationItems":[{"id":"ITEM-1","itemData":{"DOI":"10.1111/j.1467-9523.2008.00457.x","ISSN":"00380199 (ISSN)","abstract":"The focus of international scholarship on the contemporary transformation of organic food and farming has been a rather narrow preoccupation with the 'conventionalisation thesis' that describes a process whereby the structure and ideology of the expanding organic sector is seen increasingly to resemble that of the conventional food and farming sector that it has traditionally opposed. This study seeks to contribute to this literature by examining the role of the UK government in shaping the British organic sector since 1980, when it first began to engage seriously with organic farming. It draws on the analysis of a wide range of government and organic movement publications for the period 1980-2006, as well as a programme of semi-structured interviews with key organic policy actors during this time frame. By analysing the way in which the UK government has discursively constructed three separate story-lines about organics, this study argues that the effects of government action on British organic food and farming are best described as a process of containment. Further, it posits the need to move on from the rather reductionist focus offered by the conventionalisation thesis to more nuanced approaches to the transformation of contemporary food and farming that account for different geographical contexts, and the particular roles of different actors actively constructing what 'organics' is. © Journal Compilation © 2008 European Society for Rural Sociology.","author":[{"dropping-particle":"","family":"Tomlinson","given":"I","non-dropping-particle":"","parse-names":false,"suffix":""}],"container-title":"Sociologia Ruralis","id":"ITEM-1","issue":"2","issued":{"date-parts":[["2008"]]},"language":"English","note":"Cited By :27\n\nExport Date: 3 March 2021\n\nCorrespondence Address: Tomlinson, I.; Centre for Environmental Policy, Exhibition Road, South Kensington, London SW7 2AZ, United Kingdom; email: i.tomlinson@imperial.ac.uk\n\nReferences: Alteri, M., Rosset, P., Agroecology and the conversion of large-scale conventional systems to sustainable management (1996) International Journal of Environmental Studies, 50 (3), pp. 165-185; \nBalfour, E., (1943) The Living Soil, , (London: Faber and Faber);\nBergamo, P., Fedele, E., Liannibell, L., Marzillo, G., Fat-soluble vitamin contents and fatty acid composition in organic and conventional Italian dairy products (2003) Food Chemistry, 82 (4), pp. 625-631;\n(1995) The Effect of Organic Farming Regimes on Breeding and Winter Bird Populations - Parts 1-IV, , British Trust for Ornithology and Institute of Arable Crops Research A research project funded by Ministry of Agriculture, Fisheries and Food and World Wide Fund for Nature UK (Norfolk: British Trust for Ornithology);\nBrown, N., (2001) Speech Made at Soil Association 12th National Conference, , 5-7 January 2001;\nBuck, D., Getz, C., Guthman, J., From farm to table: The organic vegetable commodity chain of northern California (1997) Sociologia Ruralis, 37 (1), pp. 3-19;\nBuller, H., Agricultural change and the environment in western Europe (1992) Agricultural Change, Environment and Economy, pp. 68-88. , in K. Hoggart ed., (London: Mansell);\nCampbell, C., Liepins, R., Naming organic: Understanding organic standards in New Zealand as a discursive field (2001) Sociologia Ruralis, 41 (1), pp. 21-39;\nChamberlain, D., Wilson, J., Fuller, R., A comparison of bird populations on organic and conventional farm systems in southern Britain (1999) Biological Conservation, 88 (3), pp. 307-320;\nCleeton, J., Organic foods in relation to nutrition and health (2004) Coronary and Diabetic Care in the UK, , in: Association of Primary Care Groups and Trusts (London: National Health Service);\nClunies-Ross, T., Agricultural change and politics of organic farming (1990), Unpublished PhD thesis (Bath: University of Bath); Conford, P., (2001) The Origins of the Organic Movement, , (Edinburgh: Floris Books);\n(2004) Green and Pleasant Land - What Consumers Want, , http://www2.co-operative.com:8080/ext_1/Development.nsf/ 504ca249c786e20f85256284006da7ab/4437370e8c3d44cf00256a77003b9580? OpenDocument, Co-op Group Summary. Available online at Accessed 21 February 2008;\n(2002) An Economic Evaluation of the Organic Farming Scheme, , http://statistics.defra.gov.uk/esg/evaluation/organic/cover.pdf, Centre for Rural Economic Research Final report to DEFRA (Cambridge: Centre for Rural Economic Research University of Cambridge) Available online at Accessed 22 November 2006;\n(2002) Farming and Food - A Sustainable Future, , http://archive.cabinetoffice.gov.uk/farming/pdf/PC%20Report2.pdf, Curry (London: Cabinet Office) Available online at Accessed 21 February 2008;\nDabbert, S., Haring, A., Zanoli, R., (2004) Organic Farming: Policies and Prospects, , (London: Zed Books);\n(2002) The Strategy for Sustainable Farming and Food - Facing the Future, , http://www.defra.gov.uk/corporate/publications/pubcat/pol.htm#s51, Department for Environment, Food and Rural Affairs (DEFRA) (London: HMSO) Available online at Accessed 21 February 2008;\n(2002) Action Plan to Develop Organic Food and Farming in England, , http://www.defra.gov.uk/corporate/publications/pubcat/pol.htm#a33, DEFRA (London: HMSO) Available online at Accessed 21 February 2008;\n(2004) Animal Health and Welfare Strategy for Great Britain, , http://www.defra.gov.uk/animalh/ahws/default.htm, DEFRA (London: HMSO) Available online at Accessed 21 February 2008;\n(2004) The First Soil Action Plan for England: 2004-2006, , http://www.defra.gov.uk/environment/land/soil/sap/index.htm, DEFRA (London: HMSO) Available online at Accessed 21 February 2008;\n(2006) Pesticides and the Environment: A Strategy for the Sustainable Use of Plant Protection Products and Strategy Action Plans, , http://www.pesticides.gov.uk/uploadedfiles/Web_Assets/PSD/ PB11721_Pesticidesenvironment_Lo.pdf, DEFRA (London: HMSO) Available online from Accessed 21 February 2008;\n(2006) Sustainable Farming and Food Strategy: Forward Look, , http://www.defra.gov.uk/farm/policy/sustain/pdf/sffs-fwd-060718.pdf, DEFRA (London: HMSO) Available online from Accessed 21 February 2008;\nDewhurst, R.J., Fisher, W.J., Tweed, J.K.S., Wilkins, R.J., Comparison of grass and legume silages for milk production. 1 Production responses with different levels of concentrate (2003) Journal of Dairy Science, 86 (8), pp. 2598-2611;\nDonaldson, A., Lee, R., Ward, N., Wilkinson, K., (2006) Foot and Mouth - Five Years On: The Legacy of the 2001 Foot and Mouth Disease Crisis for Farming and the British Countryside, , http://www.ncl.ac.uk/cre/publish/discussionpapers/pdfs/dp6.pdf, Centre for Rural Economy Discussion Paper Series No. 6 (Newcastle: University of Newcastle upon Tyne) Available online at Accessed 21 February 2008;\nEllis, K., Innocent, A.G., Grove-White, D., Cripps, P., McLean, W.G., Howard, C.V., Mihm, M., Comparing the fatty acid composition of organic and conventional milk (2006) Journal of Dairy Science, 89 (6), pp. 1938-1950;\n(2003) Position Statement on Organic Farming, , http://www.english-nature.org.uk/news/statement.asp?ID=25, English Nature Available online at Accessed 10 December 2004;\n(2000) Position Paper - Food Standards Agency View on Organic Foods, , Food Standards Agency (FSA) (London: FSA);\nGuthman, J., Regulating meaning, appropriating nature: The codification of California organic agriculture (1998) Antipode, 30 (2), pp. 135-154;\nGuthman, J., Back to the land: The paradox of organic food standards (2004) Environment and Planning A, 36 (3), pp. 511-528;\nGuthman, J., The trouble with 'Organic Lite' in California: A rejoinder to the 'conventionalisation' debate (2004) Sociologia Ruralis, 44 (3), pp. 301-316;\nHajer, M., (1995) The Politics of Environmental Discourse: Ecological Modernisation and the Policy Process, , (Oxford: Clarendon Press);\nHall, A., Mogyorody, V., Organic farmers in Ontario: An examination of the conventionalisation argument (2001) Sociologia Ruralis, 41 (4), pp. 399-422;\nHickman, L., Is organic worth it? (2006) The Guardian G2, p. 7. , 31 March;\n(1986) Hansard Col.733, , House of Commons 28 February;\n(1986) Hansard Col. 245, , House of Commons 8 September;\n(1986) Hansard Col. 246, , House of Commons 8 September;\n(1986) Hansard Col. 246, , House of Commons 8 September;\n(1987) Hansard Col. 695, , House of Commons 23 April;\n(1987) Hansard Col. 695, , House of Commons 23 April;\n(1988) Hansard Col. 462, , House of Commons 4 July;\n(1988) Hansard Col. 1179, , House of Commons 7 July;\n(1989) Hansard Col. 433, , House of Commons 11 April;\n(2006) The Principles of Organic Agriculture, , http://www.ifoam.org/about_foam/principles/index.html, IFOAM Available online at Accessed 1 September 2006;\nLa Trobe, H., Farmers' markets: Consuming local rural produce (2001) International Journal of Consumer Studies, 25 (3), pp. 181-192;\n(1989) Living Earth, p. 5. , April-June;\nLobley, M.M., Reed, A., Butler, P., Courtney, Warren, W., (2005) The Impact of Organic Farming on the Rural Economy in England, , Final report to DEFRA. Research report No. 11, Centre for Rural Research (Exeter: University of Exeter);\nLockie, S., Halpin, D., The 'conventionalisation' thesis reconsidered: Structural and ideological transformation of Australian organic agriculture (2005) Sociologia Ruralis, 45 (4), pp. 284-307;\n(1997) Jack Cunningham's Commitment to the Countryside, , MAFF Press release No. 2097/97 release date 17 July 1997;\n(1998) Boost for Organic Farming: Cunningham Announces Interim Package, , MAFF Press release No. 136/98 release date 2 April 1998;\nMansfield, B., Organic views of nature: The debate over organic certification for aquatic animals (2004) Sociologia Ruralis, 44 (2), pp. 216-232;\nMichelsen, J., Recent development and political acceptance of organic farming in Europe (2001) Sociologia Ruralis, 41 (1), pp. 3-20;\nMichelsen, J., Organic farming in a regulatory perspective: The Danish case (2001) Sociologia Ruralis, 41 (1), pp. 62-84;\nMoore, O., Understanding postorganic fresh fruit and vegetable consumers at participatory farmers' markets in Ireland: Reflexivity, trust and social movements (2006) International Journal of Consumer Studies, 30 (5), pp. 416-426;\nMorgan, K., Murdoch, J., Organic vs. conventional agriculture: Knowledge, power and innovation in the food chain (2000) Geoforum, 31 (2), pp. 159-173;\n(1997) Survey of Organic Consumers, , http://www.organicts.com, MORI Available online at Accessed 17 November 2004;\n(2000) Survey of Organic Consumers, , http://www.organicts.com, MORI Available online at Accessed 17 November 2004;\nNielson, J.H., Lund-Nielson, T., Healthier organic livestock products; antioxidants in organic and conventional produced milk (2005), Abstracts. First Annual Congress of the EU Project Quality Low Input Food and the Soil Association Annual Conference. Newcastle upon Tyne, 6-9 January 2005; Pederson, K.B., Kjaergard, B., Do we have room for shining eyes and cows as comrades? Gender perspectives on organic farming in Denmark (2004) Sociologia Ruralis, 22 (4), pp. 373-394;\n(2006) Launch of New Biopesticides Scheme, , http://www.pesticides.gov.uk/environment.asp?1d=1846, PSD Available online at Accessed 27 September 2006;\nReed, M., Fight the future! How the contemporary campaigns of the UK organic movement have arisen from their composting of the past (2001) Sociologia Ruralis, 41 (1), pp. 131-145;\nReed, M., Revels from the crown down: The organic movement's revolt against agricultural biotechnology (2002) Science As Culture, 11 (4), pp. 481-504;\nRosset, P., Alteri, M., Agroecology versus input substitution: A fundamental contradiction of sustainable agriculture (1997) Society and Natural Resources, 10 (3), pp. 283-295;\nSage, C., Social embeddness and relations of regard; alternative good-food relations in south-west Ireland (2003) Journal of Rural Studies, 19 (1), pp. 47-60;\n(1999) Survey of Organic Consumers, , http://www.organicts.com, Soil Association quoted at Accessed 17 November 2004;\n(2001) Organic Farming and UK Agricultural Policy Paper: Objectives for UK Agriculture, , http://www.soilassociation.org/web/as/asweb.nsf/printable_library/ NT00000E&amp;amp;E, Soil Association Available online at Accessed 4 November 2006;\n(2001) Organic Farming, Food Quality and Human Health, , Soil Association A review of 400 published papers on the health aspects of organic food (Bristol: Soil Association);\n(2001) Vaccination Strategy for Foot and Mouth Disease, , http://www.soilassociation.org, Soil Association 10 October Available online at Accessed 1 November 2006;\n(2003) Soil Association Organic Market Report 2003, , Soil Association (Bristol: Soil Association);\n(2004) Summary Annual Review 2004, , http://www.soilassociation.org/web/sa/saweb.nsf/ b0062cf005bc02c180256a6b003d987f/ cfb553d5f327c19d80256ee60055e432!OpenDocument, Soil Association Available online at Accessed 1 November 2006;\n(2005) Soil Association Organic Market Report 2005, , Soil Association (Bristol: Soil Association);\n(2005) Case for Vaccination, , http://www.soilassociation.org, Soil Association (26/10/06) Available online at accessed 1 November 2006;\n(2006) Soil Association Organic Market Report 2006, , Soil Association (Bristol: Soil Association);\n(2006) Genetic Engineering - The Key Issues, , http://www.soilassociation.org/web/sa/saweb.nsf/ b0062cf005bc02c180256a6b003d987f/ b6c1e34224cde30580256dc9002d0cac!OpenDocument, Soil Association information sheet Available online at Accessed 1 November 2006;\n(1982) Soil Association Quarterly Review, , Winter Winter;\n(1988) Soil Association Quarterly Review, , Oct-Dec;\n(2001) Survey of Organic Consumers, , http://www.organicts.com, Taylor Nelson Sofres Available online at Accessed 17 November 2004;\nTomlinson, I., Transforming British organics: The role of central government, 1980-2006 (2007), Unpublished PhD thesis (London: University College London); Tovey, H., Food, environmentalism and rural sociology: On the organic farming movement in Ireland (1997) Sociologia Ruralis, 37 (1), pp. 21-37;\n(2004) Organic Milk - Food Alternative Sources of Omega 3, , http://www.abdn.ac.uk/mediareleases/release.php?id=82, University of Aberdeen Media release Available online at Accessed 21 February 2008;\nUnwin, R., Bell, B., Shepherd, M., Webb, J., Keating, R., Bailey, S., (1995) The Effects of Organic Farming Systems on Aspects of the Environment, , A review prepared for MAFF (London: MAFF);\nVos, T., Visions of the middle landscape: Organic farming and the politics of nature (2000) Agriculture and Human Values, 17 (3), pp. 245-256;\n(2000) Which? Magazine, , http://news.bbc.co.uk/1/hi/health, Survey on organic food Available online at Accessed 17 November 2004;\nWilson, J.D., Evans, J., Browne, S.J., King, J.R., Territory distribution and breeding success of skylarks on organic and intensive farmland in southern England (1997) Journal of Applied Ecology, 34, pp. 1462-1478;\nWookey, B., (1987) Rushall: The Story of an Organic Farm, , (Oxford: Basil Blackwell)","page":"133-151","publisher-place":"Centre for Environmental Policy, Imperial College London, Exhibition Road, South Kensington, London SW7 2AZ, United Kingdom","title":"Re-thinking the transformation of organics: The role of the UK government in shaping British organic food and farming","type":"article-journal","volume":"48"},"uris":["http://www.mendeley.com/documents/?uuid=0b24e081-e0db-4ff4-b92c-a59e07811992"]},{"id":"ITEM-2","itemData":{"DOI":"10.1080/00220380601055502","ISSN":"00220388 (ISSN)","abstract":"The genomics revolution in biology has enabled technologies with unprecedented potential; genetic engineering is changing the terrain of development studies. Societies have reacted with indifference or appreciation to genetically engineered pharmaceuticals, beginning with insulin; yet for food and agriculture, a globally contentious politics and unprecedented policy dilemmas have arisen. Transgenic organisms raise questions of property, ethics and safety unimaginable a generation ago: what can be owned and with what responsibility? Much turns on science: how one conceptualizes evidence, knowledge, uncertainty and risk. Both opponents and proponents of frontier applications in biotechnology have a poverty story to tell, but with divergent implications. The balance in this global debate has perceptibly shifted; a new developmentalist consensus concludes that the world's poor may benefit from genetic engineering: the question is 'under what conditions'? This essay introduces a collection of scholarly treatments that begin with the needs of the poor - for income, nutrition, environmental integrity - and evaluate theory and evidence for contributions from transgenic crops. The new consensus assumes much about biosafety, bioproperty and biopolitics that is contrary to ground realities - the actual capacity of firms and states to monitor and control biotechnology - but raises new questions at the frontiers of development studies.","author":[{"dropping-particle":"","family":"Herring","given":"R J","non-dropping-particle":"","parse-names":false,"suffix":""}],"container-title":"Journal of Development Studies","id":"ITEM-2","issue":"1","issued":{"date-parts":[["2007"]]},"language":"English","note":"Cited By :51\n\nExport Date: 3 March 2021\n\nCorrespondence Address: Herring, R.J.; Cornell University, Ithaca, NY, United States\n\nReferences: Altieri, M.A., (2001) Genetic Engineering in Agriculture: The Myths, Environmental Risks and Alternatives, , Food First, Oakland, CA; \nAmmann, K., Jacot, Y., Al Mazyad, P.R., Weediness in the light of new transgenic crops and their potential hybrids (2004) Botanical Garden, , University of Bern, Switzerland;\nBambawale, O.M., Singh, A., Sharma, O.P., Bhosle, B.B., Lavekar, R.C., Dhandhapani, A., Kanwar, V., Pawar, V.M., Performance of Bt cotton (MECH-162) under integrated pest management in farmers' participatory field trial in Nanded district, Central India (2004) Current Science, 86 (12), pp. 1628-1633;\nBharathan, G., Bt-Cotton in India: Anatomy of a controversy (2000) Current Science, 79 (8), pp. 1067-1075;\nBouis, H.E., The potential of genetically modified food crops to improve human nutrition in developing countries (2007) Journal of Development Studies, 43 (1), pp. 79-96;\nCenter for Biological Informatics, US Geological Survey Invasive species information node; Charles, D., (2001) Lords of the Harvest: Biotech, Big Money, and the Future of Food, , Perseus Publishing, Cambridge, MA;\nCohen, J., Komen, J., Zepeda, J.F., Innovation, regulation and capacity for bioengineered crops - Sustaining a pro poor agenda? (2003) Conference on Transgenics and the Poor Cornell University, , paper presented at the Cornell University, Ithaca, New York;\nConway, G., (1997) The Doubly Green Revolution: Food for All in the 21st Century, , Penguin Books, New York;\nDawkins, K., (1997) Gene Wars: The Politics of Biotechnology, , Seven Stories Press, New York;\nDemocratizing biotechnology: genetically modified crops in developing countries.Institute for Development Studies, University of Sussex, Brighton, UK; Government of India (2001) Biotech News, 2 (2). , Department of Biotechnology Ministry of Science and Technology;\nDouglas, M., Wildavsky, A., (1982) Risk and Culture, , University of California Press, Berkeley;\nDryzek, J.S., (1997) The Politics of the Earth: Environmental Discourses, , Oxford University Press, Cambridge;\nEdelman, M.J., (1964) The Symbolic Uses of Politics, , University of Illinois Press, Urbana;\nGonsalves, C., Lee, D.R., Gonsalves, D., The adoption of genetically modified papaya in Hawaii and its implications for developing countries (2007) Journal of Development Studies, 43 (1), pp. 177-191;\nGupta, A., Rewarding local communities for conserving biodiversity: The case of the honey bee (1998) Protection of Global Biodiversity: Converging Strategies, pp. 180-189. , Duke University Press, Durham;\nGupta, A.K., Chandak, V., Agricultural biotechnology in India: Ethics, business and politics (2005) International Journal of Biotechnology, 7 (13), pp. 212-217;\nHerring, R.J., Land tenure and credit-capital tenure in contemporary India (1977) Land Tenure and Peasant in South Asia, , Orient Longman, New Delhi;\nHerring, R.J., (2001) Promethean Science, Pandora's Jug: Conflicts Around Genetically Engineered Organisms in India, , Columbia University, New York;\nHerring, R.J., The political impossibility theorem of agrarian reform: Path dependence and terms of inclusion (2003) Changing Paths: The New Politics of Inclusion, , University of Michigan Press, Ann Arbor, MI;\nHerring, R.J., Data as social product (2003) Q-Squared: Combining Qualitative and Quantitative Methods in Poverty Appraisal, , Permanent Black, New Delhi;\nHerring, R.J., Miracle seeds, suicide seeds and the poor: GMOs, NGOs, farmers and the state (2005) Social Movements in India: Poverty, Power, and Politics, pp. 203-232. , Rowan and Littlefield, Lanham, MD;\nHerring, R.J., Stealth seeds: Bioproperty, biosafety, biopolitics (2007) Journal of Development Studies, 43 (1), pp. 130-157;\nHerring, R.J., Edwards, R.M., Guaranteeing employment to the rural poor: Social functions and class interests in the employment guarantee scheme in Western India (1983) World Development, 11 (7), pp. 575-592;\nHilgartner, S., Acceptable intellectual property (2002) Journal of Molecular Biology, 319, pp. 943-946;\nHo, M.-W., Ching, L.L., (2003) The Case For A GM-Free Sustainable World, , Independent Science Panel, London;\nHorsch, R.B., Fraley, R.T., Biotechnology can help reduce the loss of biodiversity (1998) Protection of Global Biodiversity: Converging Strategies, , Duke University Press, Durham;\nHuang, J., Pray, C., Rozelle, S., Enhancing the crops to feed the poor (2002) Nature, 418 (6898), p. 678;\nJames, C., (2002) Global Review of Transgenic Crops: 2001 Feature: Bt Cotton, , Ithaca, N Y;\nJames, C., (2003) Preview: Global Status of Commercialised Transgenic Crops: 2003, , Ithaca, NY;\nJayaraman, K.S., Illegal Bt cotton in India haunts regulators (2001) Nature Biotechnology, 19 (12), p. 1090;\nJayaraman, K.S., India produces homegrown GM cotton (2004) Nature Biotechnology, 22 (3), pp. 255-256;\nJeyaratnam, J., Acute pesticide poisoning: A major global health problem (1990) World Health Statistics Quarterly, 43, pp. 139-144;\n(2002) Farmers' Suicides in Karnataka: A Scientific Analysis, Report of the Expert Committee for Study on Farmers' Suicides, , Government of Karnataka Bangalore;\nKloppenburg Jr., J., Kleinman, D.L., Seed wars: Common heritage, private property, and political strategy (1987) Socialist Review, 95, pp. 7-41;\n(2002), U N DeePer in the Techno-Corporate Mire, New Delhi; Kryder, R.D., Kowalaski, S.P., Krattiger, A.F., (2000) The Intellectual and Technical Property Components of Pro Vitamin-A Rice (Golden Rice™): A Preliminary Freedom-to-operate Review, , Ithaca, NY, USA;\nLiptak, A., Saving seeds subjects farmers to suits over patent (2003) New York Times, pp. 1-18;\nLipton, M., Plant breeding and poverty: Can transgenic seeds replicate the 'green revolution' as a source of grains for the poor? (2007) Journal of Development Studies, 43 (1), pp. 31-62;\nLybbert, T.J., Humanitarian use technology transfer: Issues and approaches (2002) Intellectual Property Strategy Today, 2, pp. 17-24;\nLeissinger, K.M., Ethical challenges of agricultural biotechnology for developing countries (2000) Agricultural Biotechnology and the Poor, , Consultative Group on International Agricultural Research, Washington, DC;\nLele, U., Biotechnology: Opportunities and challenges for developing countries (2003) American Journal of Agricultural Economics, 85, pp. 1119-1125;\nMadsen, S.T., The view from Vevey (2001) Economic and Political Weekly, 29, pp. 3733-3742;\nMcHughen, A., (2000) Pandora's Picnic Basket: The Potential and Hazards of Genetically Modified Foods, , Oxford University Press, Oxford;\nMcNeely, J.A., Scherr, S.J., (2003) Ecoagriculture: Strategies to Feed the World and Save Wild Biodiversity, , Island Press, Washington;\nMead, P.S., Slutsker, L., Dietz, V., McCaig, L.F., Bresee, J.S., Shapiro, C., Griffin, P.M., Tauxe, R.V., Food-related illness and death in the United States (2004) Emerging Infectious Diseases, 5, p. 5;\nMoore, M., Arguing the politics of inclusion (2003) Changing Paths: The New Politics of Inclusion, , University of Michigan Press, Ann Arbor, MI;\nMoose, S., (2003) StarLink™: Fallout from a Shooting Biotech Star, , University of Illinois;\nMunkvold, G.P., Hellmich, R.L., Rice, L.G., Comparison of fumonisin concentrations in kernels of transgenic Bt maize hybrids and non-transgenic hybrids (1999) Plant Disease, 83, pp. 130-138;\nNanda, M., (2003) Prophets Facing Backward: Postmodern Critiques of Science and Hindu Nationalism in India, , Rutgers University Press, New Brunswick, NJ;\n(1999) Genetically Modified Crops: The Ethical and Social Issues, , Nuffield Council on Bioethics Nuffield Council on Bioethics, London;\n(2004) The Use of Genetically Modified Crops in Developing Countries, , Nuffield Council on Bioethics Nuffield Council on Bioethics, London;\nPaarlberg, R.L., (2001) The Politics of Precaution: Genetically Modified Crops in Developing Countries, , Johns Hopkins University Press, Baltimore, MD;\n(2000) Agricultural Biotechnology and the Poor, , Consultative Group on International Agricultural Research, Washington, DC;\nPimentel, D., Tort, M., D'Anna, L., Krawic, A., Ecology of increasing disease (1998) Bioscience, 48 (10), pp. 817-826;\nPinstrup-Andersen, P., Schiøler, E., (2000) Seeds of Contention: World Hunger and the Global Controversy over GM Crops, p. 8. , Johns Hopkins University Press, Baltimore;\nPotrykus, I., Experience from the humanitarian Golden Rice project: Extreme precautionary regulation prevents use of green biotechnology in public projects (2004) BioVision Alexandria;\nPray, C.E., Huang, J., Hu, R., Rozelle, S., Five years of Bt cotton in China - The benefits continue (2002) The Plant Journal, 31 (4), pp. 423-430;\nPray, C.E., Naseem, A., Supplying crop biotechnology to the poor: Opportunities and constraints (2007) Journal of Development Studies, 43 (1), pp. 192-217;\nQaim, M., Zilberman, D., Yield effects of genetically modified crops in developing countries (2003) Science, 299 (5608), pp. 900-902;\n(2000) Agricultural Biotechnology in Developing Countries: Towards Optimizing the Benefits for the Poor, , Kluwer Academic Publishers, Boston;\nReid, W.V., Gene co-ops and the biotrade: Translating genetic resource rights into sustainable development (1996) Journal of Ethno-Pharmacology, 51, pp. 75-92;\nRoberts, D., Josling, T.E., Orden, D., (1999) A Framework for Analyzing Technical Trade Barriers in Agricultural Markets, , USDA Economic Research Service;\nRoe, E., Development narratives, or making the best of blueprint development (1991) World Development, 19 (4), pp. 287-300;\nRogers, E.M., (1995) Diffusion of Innovations, , Free Press, New York;\nRoy, D., Herring, R.J., Geister, C.C., Naturalising transgenics: Official seeds, loose seeds and risk in the decision matrix of Gujarati cotton farmers (2007) Journal of Development Studies, 43 (1), pp. 158-176;\n(2004) Editorial, 291 (2), p. 8. , Scientific American;\nSerageldin, I., Persley, G.J., (2000) Promethean Science: Agricultural Biotechnology, the Environment, and the Poor, , Consultative Group on International Agricultural Research Secretariat Consultative Group on International Agricultural Research, Washington, DC;\nScott, J.C., (1998) Seeing Like a State, , Yale University Press, New Haven;\nSharma, D., (2004) GM Food and Hunger: A View from the South, , Forum for Biotechnology and Food Security, New Delhi;\nShelton, A.M., Risks and benefits of agricultural biotechnology (2004) Testing of Genetically Modified Organisms in Foods, pp. 1-53. , Haworth Press, Binghamton, NY;\nShiva, V., (2000) Stolen Harvest: The Hijacking of the Global Food Supply, , South End Press, Cambridge, MA;\nShiva, V., (2001) Patents: Myths and Reality, , Penguin, Delhi;\nShiva, V., Emani, A., Jafri, A.H., Globalization and threat to seed security: Case of transgenic cotton trials in India (1999) Economic and Political Weekly, 6, pp. 13-19;\nShiva, V., Jafri, A.H., Emani, A., Pande, M., (2000) Seeds of Suicide: The Ecological and Human Costs of Globalisation of Agriculture, , Research Foundation for Science Technology and Ecology, New Delhi;\nSurridge, C., Feast or famine? (2004) Nature, 428, pp. 360-361;\n(2000) Responding to Bioprospecting, , Spartacus Forlag AS, Oslo;\nSimpson, R.D., Sedjo, R.A., Reid, J.W., Valuing biodiversity for use in pharmaceutical research (1996) Journal of Political Economy, 104 (1), pp. 163-185;\nTanksley, S.D., McCouch, S.R., Seed banks and molecular maps: Unlocking genetic potential from the wild (1997) Science, 277 (5329), p. 1063;\nThies, J.E., Devare, M.H., An ecological assessment of transgenic crops (2007) Journal of Development Studies, 43 (1), pp. 97-129;\nStone, G.D., Biotechnology and suicide in India (2002) Anthropology News, 43 (5), p. 5;\n(2001) Human Development Report: Making Technologies Work for Human Development, , United Nations Development Programme Oxford University Press, New York;\n(2004) The State of Food and Agriculture 2003-2004: Agricultural Biotechnology: Meeting the Needs of the Poor, , UNFAO UNFAO, Rome;\n(2002) Agroecological Innovations: Increasing Food Production With Participatory Development, , Earthscan Publications, London;\n(2002) The System of Rice Intensification: Proceedings of an International Conference Sanya, , China Cornell International Institute for Food, Agriculture and Development, Cornell International Institute for Food, Agriculture and Development, Ithaca, NY;\nUphoff, N., Higher yields with fewer external inputs? The system of rice intensification and potential contributions to agricultural sustainability (2003) International Journal of Agricultural Sustainability, 1 (1), pp. 38-50;\nVisvanathan, S., Parmar, C., A biotechnology story: Notes from India (2002) Economic and Political Weekly, pp. 2714-2724;\nWambugu, F., The current and future situation of agricultural biotechnology in Africa (2000) Agricultural Biotechnology in Developing Countries: Towards Optimizing the Benefits for the Poor, , Kluwer Academic, Boston;\nWeiss, C., Eisner, T., Partnerships for value-added through bioprospecting (1998) Technology In Society, 20, pp. 481-498;\nWinston, M., (2002) Travels in Genetically Modified Zone, , Harvard University Press, Cambridge, MA;\n(1999) The Developmental State, , Cornell University Press, Ithaca, NY;\n(1999) Malnutrition Worldwide, , World Health Organization;\n(2001) Nutrition/micronutrient Deficiencies: Combating Vitamin A Deficiency, , World Health Organization;\n(2005) Modern Food Biotechnology, Human Health and Development: An Evidence-based Study, , World Health Organization, The Food Safety Department Geneva;\nZilberman, D., Ameden, H., Qaim, M., The impact of agricultural biotechnology on yields, risks and biodiversity of low-income countries (2007) Journal of Development Studies, 43 (1), pp. 63-78","page":"1-30","publisher-place":"Cornell University, Ithaca, NY, United States","title":"The genomics revolution and development studies: Science, poverty and politics","type":"article-journal","volume":"43"},"uris":["http://www.mendeley.com/documents/?uuid=b57a2ea6-8776-4439-b608-379803da277d"]}],"mendeley":{"formattedCitation":"(Herring, 2007b; Tomlinson, 2008)","manualFormatting":"(Herring, 2007; Tomlinson, 2008)","plainTextFormattedCitation":"(Herring, 2007b; Tomlinson, 2008)","previouslyFormattedCitation":"(Herring, 2007b; Tomlinson, 2008)"},"properties":{"noteIndex":0},"schema":"https://github.com/citation-style-language/schema/raw/master/csl-citation.json"}</w:instrText>
      </w:r>
      <w:r w:rsidRPr="0037337F">
        <w:rPr>
          <w:rFonts w:ascii="Times New Roman" w:hAnsi="Times New Roman" w:cs="Times New Roman"/>
          <w:sz w:val="24"/>
          <w:szCs w:val="24"/>
        </w:rPr>
        <w:fldChar w:fldCharType="separate"/>
      </w:r>
      <w:r w:rsidRPr="0037337F">
        <w:rPr>
          <w:rFonts w:ascii="Times New Roman" w:hAnsi="Times New Roman" w:cs="Times New Roman"/>
          <w:noProof/>
          <w:sz w:val="24"/>
          <w:szCs w:val="24"/>
        </w:rPr>
        <w:t>(Herring, 2007; Tomlinson, 2008)</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The mission of the capitalist group is to direct and control farmers for business interests</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{"citationItems":[{"id":"ITEM-1","itemData":{"DOI":"10.12688/f1000research.2-235.v1","ISSN":"20461402 (ISSN)","abstract":"Strong feedback between global biodiversity loss and persistent, extreme rural poverty are major challenges in the face of concurrent food, energy, and environmental crises. This paper examines the role of industrial agricultural intensification and market integration as exogenous socio-ecological drivers of biodiversity loss and poverty traps in Latin America. We then analyze the potential of a food sovereignty framework, based on protecting the viability of a diverse agroecological matrix while supporting rural livelihoods and global food production. We review several successful examples of this approach, including ecological land reform in Brazil, agroforestry, milpa, and the uses of wild varieties in smallholder systems in Mexico and Central America. We highlight emergent research directions that will be necessary to assess the potential of the food sovereignty model to promote both biodiversity conservation and poverty reduction. © 2013 Chappell MJ et al.","author":[{"dropping-particle":"","family":"Chappell","given":"M J","non-dropping-particle":"","parse-names":false,"suffix":""},{"dropping-particle":"","family":"Wittman","given":"H","non-dropping-particle":"","parse-names":false,"suffix":""},{"dropping-particle":"","family":"Bacon","given":"C M","non-dropping-particle":"","parse-names":false,"suffix":""},{"dropping-particle":"","family":"Ferguson","given":"B G","non-dropping-particle":"","parse-names":false,"suffix":""},{"dropping-particle":"","family":"Barrios","given":"L G","non-dropping-particle":"","parse-names":false,"suffix":""},{"dropping-particle":"","family":"Barrios","given":"R G","non-dropping-particle":"","parse-names":false,"suffix":""},{"dropping-particle":"","family":"Jaffee","given":"D","non-dropping-particle":"","parse-names":false,"suffix":""},{"dropping-particle":"","family":"Lima","given":"J","non-dropping-particle":"","parse-names":false,"suffix":""},{"dropping-particle":"","family":"Méndez","given":"V E","non-dropping-particle":"","parse-names":false,"suffix":""},{"dropping-particle":"","family":"Morales","given":"H","non-dropping-particle":"","parse-names":false,"suffix":""},{"dropping-particle":"","family":"Soto-Pinto","given":"L","non-dropping-particle":"","parse-names":false,"suffix":""},{"dropping-particle":"","family":"Vandermeer","given":"J","non-dropping-particle":"","parse-names":false,"suffix":""},{"dropping-particle":"","family":"Perfecto","given":"I","non-dropping-particle":"","parse-names":false,"suffix":""}],"container-title":"F1000Research","id":"ITEM-1","issued":{"date-parts":[["2013"]]},"language":"English","note":"Cited By :64\n\nExport Date: 3 March 2021\n\nCorrespondence Address: Chappell, M.J.; Institute for Agriculture and Trade Policy, MinneapolisUnited States\n\nReferences: Azariadis, C., Stachurski, J., Handbook of economic growth , 1, pp. 295-384. , P. Aghion, S. N. Durlauf, Eds. (Elsevier, Amsterdam, 2005); Maru, Y.T., Fletcher, C.S., Chewings, V.H., A Synthesis of Current Approaches to Traps Is Useful But Needs Rethinking for Indigenous Disadvantage and Poverty Research (2012) Ecology and Society, 17 (2), p. 7; \nBarrett, C.B., Travis, A.J., Dasgupta, P., On biodiversity conservation and poverty traps (2011) Proc Natl Acad Sci U S A, 108 (34), pp. 13907-13912. , 21873176, 3161563;\nMészáros, I., The challenge of sustainable development and the culture of substantive equality (2001) Mon Rev, 53 (7), p. 10. , Reference Source;\nPerfecto, I., Vandermeer, J.H., Wright, A.L., Nature's matrix: Linking agriculture, conservation and food sovereignty Reference Source, (Earthscan, London, 2009); Holland, T.G., Peterson, G.D., Gonzalez, A., A cross-national analysis of how economic inequality predicts biodiversity loss (2009) Conserv Biol, 23 (5), pp. 1304-1313. , 19765041;\nFreebairn, D.K., Did the Green Revolution Concentrate Incomes? A Quantitative Study of Research Reports (1995) World Dev, 23 (2), pp. 265-279;\nPanorama Social de América Latina Reference Source; Tilman, D., Cassman, K.G., Matson, P.A., Agricultural sustainability and intensive production practices (2002) Nature, 418 (6898), pp. 671-677. , 12167873;\nTilman, D., Global environmental impacts of agricultural expansion: the need for sustainable and efficient practices (1999) Proc Natl Acad Sci U S A, 96 (11), pp. 5995-6000. , 10339530, 34218;\nMcMichael, P., Development and Social Change: A global perspective Reference Source, (Pine Forge Press, Thousand Oaks, ed. 3rd Edition, 2004); Phalan, B., Onial, M., Balmford, A., Reconciling Food Production and Biodiversity Conservation: Land Sharing and Land Sparing Compared (2011) Science, 333 (6047), pp. 1289-1291. , 21885781;\nTscharntke, T., Clough, Y., Wanger, T.C., Global food security, biodiversity conservation and the future of agricultural intensification (2012) Biol Cons, 151 (1), pp. 53-59;\nBarrett, C.B., Economics of poverty, the environment and natural resource use (2008), 4, p. 212. , Reference Source, R. B. Dellink, A. Ruijs, Eds. (Springer, Dordrecht),::; Nadkarni, M.V., Poverty, Environment, Development: A Many-Patterned Nexus (2000) Econ Polit Weekly, 35 (14), pp. 1184-1190. , Reference Source;\nTaylor, P.J., García Barrios, R., Global environmental economics: Equity and the limits to markets Reference Source, T. Mount, H. Shue, M. Dore, Eds. (Blackwell, Oxford, UK, 1999); Gray, L.C., Moseley, W.G., A geographical perspective on poverty-environment interactions (2005) Geogr J, 171 (1), pp. 9-23;\nBorras, S.M., Pro-poor land reform: a critique (2007), (University of Ottawa Press, Ottawa, Ontario,); Nivia, E., Agriculture at a Crossroads: The International Assessment of Agricultural Knowledge, Science and Technology for Development (IAASTD) Reference Source, R. T. Watson, H. R. Herren, J. Wakhungu, Eds. (Island Press, Washington, D.C., 2009); Pérez, M., Schlesinger, S., Wise, T.A., La Promesa y los Peligros de la Liberalización del Comercio Agrícola: Lecciones de América Latina Reference Source, (Asociación de Instituciones de Promoción y Educación (AIPE), and the Global Development and Environment Institute (GDAE) of Tufts University, La Paz Bolivia, 2009); Barrett, C.B., Swallow, B.M., Fractal poverty traps (2006) World Dev, 34 (1), pp. 1-15;\nWeis, A.J., The global food economy: The battle for the future of farming Reference Source, (Zed Books, distributed by Palgrave Macmillan, London and New York, 2007); Dasgupta, P., An inquiry into well-being and destitution Reference Source, (Clarendon, Oxford, 1993); Berkes, F., Folke, C., Linking social and ecological systems Reference Source, (Cambridge University Press, Cambridge, 1998); Van Kooten, G.C., Bulte, E.H., The economics of nature: Managing biological assets Reference Source, (Malden, Blackwell, 2000); World resources 2005: The wealth of the poor-Managing ecosystems to fight poverty (World Resources Institute, Washington, D.C., 2005). Reference Source; Where is the Wealth of Nations? Measuring Capital for the 21st Century (The World Bank, Washington, 2006). Reference Source; Marenya, P.P., Barrett, C.B., State-conditional Fertilizer Yield Response on Western Kenyan Farms (2009) Am J Agr Econ, 91 (4), pp. 991-1006;\nGarcía Barrios, R., García Barrios, L.E., Environmental and technological degradation in peasant agriculture: A consequence of development in Mexico (1990) World Dev, 18 (11), pp. 1569-1585;\nOstrom, E., Paper presented at the Ford Foundation 50th Anniversary Forum, Axotla (2012), Mexico City, Mexico,; Robbins, P., Political ecology: A critical introduction Reference Source, Critical introductions to geography (Blackwell Publishing, Malden, MA, 2004); Escobar, A., Encountering Development: The Making and Unmaking of the Third World , p. ix 290. , Reference Source, Princeton studies in culture/power/history (Princeton University Press, Princeton, N.J., 1995);; Linking poverty reduction and environmental management: Policy challenges and opportunities Working Paper., (The World Bank, Washington, D.C., 2002). Reference Source; McMichael, P., A food regime genealogy (2009) J Peasant Stud, 36 (1), pp. 139-169;\nConroy, M.E., Murray, D.L., Rosset, P.M., A cautionary tale: failed US development policy in Central America Reference Source, (Lynne Rienner Publishers, Boulder, CO and London, 1996); Berdegué, J.A., Fuentealba, R., paper presented at the New Directions for Smallholder Agriculture (2011), Reference Source, Rome, Italy,; Krueger, A.O., Schiff, M., Valdés, A., Agricultural incentives in developing countries: Measuring the effect of sectoral and economywide policies (1988) World Bank Econ Rev, 2 (3), pp. 255-271;\nRural development: Sector Policy Paper Reference Source (The World Bank, Washington, DC, 1975); Araghi, F., Peasants and globalisation: political economy, rural transformation and the agrarian question , p. 336. , Reference Source, A. Haroon Akram-Lodhi, C. Kay Eds. (Routledge, London, 2008),; Otero, G., Neoliberal Globalization, NAFTA and Migration: Mexico's Loss of Food and Labor Sovereignty (2011) J Poverty, 15 (4), pp. 384-402;\nSchejtman, A., Berdegué, J.A., Florez, V., Trade and poverty in Latin America , pp. 249-322. , Reference Source, P. Giordano, Ed. (Inter-American Development Bank, Washington, D.C., 2009),; Justino, P., Litchfield, J., Whitehead, L., The impact of inequality in Latin America Working Paper 21, Reference Source; Berdegué, J.A., Schejtman, A., Chiriboga, M., Towards national and global agendas: Latin America and the Caribbean Reference Source, Background paper for the World Development Report 2008&amp;quot; (The World Bank and Rimisp-Latin American Center for Rural Development, Santiago, Chile, 2006); Modrego, F., Charnay, R., Jara, E., Small farmers in Developing Countries: Some results of household surveys data analysis Reference Source, Background paper for the World Development Report 2008&amp;quot; (The World Bank and Rimisp-Latin American Center for Rural Development, Santiago, Chile, 2006); Vandermeer, J.H., Perfecto, I., Breakfast of biodiversity: The political ecology of rain forest destruction Reference Source, (FoodFirst Books, Oakland, CA ed. 2nd, 2005); Agriculture at a crossroads: International assessment of agricultural knowledge, , science and technology for development, Reference Source;\nDeFries, R., Rudel, T.K., Uriarte, M., Deforestation driven by urban population growth and agricultural trade in the twenty-first century (2010) Nature Geosci, 3, pp. 178-181;\nThrupp, L.A., Bergeron, G., Waters, W.F., Bittersweet harvests for global supermarkets: Challenges in Latin America's agricultural export boom Reference Source, (World Resources Institute, Washington, D.C., 1995); Wright, A.L., Rethinking the Circle of Poison: The Politics of Pesticide Poisoning among Mexican Farm Workers (1986) Lat Am Perspect, 13 (4), pp. 26-59. , 11617577;\nAltieri, M.A., Rojas, A., Ecological Impacts of Chile's Neoliberal Policies, with Special Emphasis on Agroecosystems (1999) Env Dev Sustain, 1 (1), pp. 55-72;\nDonald, P.F., Biodiversity impacts of some agricultural commodity production systems (2004) Conserv Biol, 18 (1), pp. 17-38;\nLiverman, D.M., Vilas, S., Neoliberalism and the environment in Latin America (2006) Annu Rev Environ Resour, 31, pp. 327-363;\nFoley, J.A., Ramankutty, N., Brauman, K.A., Solutions for a cultivated planet (2011) Nature, 478 (7369), pp. 337-342. , 21993620;\nPerfecto, I., Vandermeer, J.H., The agroecological matrix as alternative to the land-sparing/agriculture intensification model (2010) Proc Natl Acad Sci U S A, 107 (13), pp. 5786-5791. , 20339080, 2851926;\nGibbs, K.E., Mackey, R.L., Currie, D.J., Human land use agriculture, pesticides and losses of imperiled species (2009) Diversity Distrib, 15 (2), pp. 242-253;\nPatnaik, U., Food availability and famine: a longer view (1991) J Peasant Stud, 19 (1), pp. 1-25;\nDavis, M., Late Victorian Holocausts: El Niñeo famines and the making of the Third World Reference Source, (Verso, London and New York, 2002); Waldman, A., Poor in India starve as surplus wheat rots (2002), p. A3. , The New York Times, Reference Source; Rudel, T.K., Schneider, L., Uriarte, M., Agricultural intensification and changes in cultivated areas, 1970-2005 (2009) Proc Natl Acad Sci U S A, 106 (49), pp. 20675-20680. , 19955435, 2791618;\nEwers, R.M., Scharlemann, J.P.W., Balmford, A., Do increases in agricultural yield spare land for nature? (2009) Glob Change Biol, 15 (7), pp. 1716-1726;\nSen, A., Poverty and famines: an essay on entitlement and deprivation 1981, , (Oxford University Press, Oxford, UK,);\nSmith, L.C., El Obeid, A.E., Jensen, H.H., The geography and causes of food insecurity in developing countries (2000) Agr Econ, 22 (2), pp. 199-215;\nDas, R.J., The Green Revolution and poverty: A theoretical and empirical examination of the relation between technology and society (2002) Geoforum, 33 (1), pp. 55-72;\nBorras, S.M., Franco, J.C., Global Land Grabbing and Trajectories of Agrarian Change: A Preliminary Analysis (2012) Journal of Agrarian Change, 12 (1), pp. 34-59;\nOstrom, E., Nagendra, H., Insights on linking forests, trees, and people from the air on the ground, and in the laboratory (2006) Proc Natl Acad Sci U S A, 103 (51), pp. 19224-19231. , 17088538, 1838564;\nChiriboga, M., El desarrollo sostenible en el Medio Rural Reference Source, L. Martínez, Ed. (FLASCO, Quito, Ecuador, 1999); World development report 2008: Agriculture for development ; Holt-Giménez, E., Out of AGRA: The Green Revolution returns to Africa (2008) Development, 51, pp. 464-471;\nMoseley, W.G., Carney, J., Becker, L., Neoliberal policy, rural livelihoods, and urban food security in West Africa: A comparative study of The Gambia, Côte d'Ivoire, and Mali (2010) Proc Natl Acad Sci U S A, 107 (13), pp. 5774-5779. , 20339079, 2851933;\nBuckland, J., International Obstacles to Rural Development: How Neoliberal Policies Constrain Competitive Markets and Sustainable Agriculture (2006) Rev Can Etud Dev, 27 (1), pp. 9-24;\nDe Young, R., Princen, T., The localization reader: Adapting to the coming downshift , pp. 17-26. , Reference Source, R. De Young, T. Princen, Eds. (MIT Press, Cambridge, MA, 2012),; Prugh, T., Costanza, R., Daly, H.E., The local politics of global sustainability , pp. 16-173. , Reference Source, (Island Press, Washington, D.C., 2000),; Marsden, T., Third natures? Reconstituting Space through Place-making strategies for sustainability (2012) Int J Sociol Agr Food, 19 (2), pp. 257-274. , Reference Source;\nLyson, T.A., Torres, R.J., Welsh, R., Scale of agricultural production, civic engagement, and community welfare (2001) Soc Forces, 80 (1), pp. 311-327;\nLeite, S., Heredia, B., Medeiros, L., Impactos dos Assentamentos: Um estudo sobre o meio rural brasileiro Reference Source, (Editora UNESP, São Paulo, 2004); Goldschmidt, W., As you sow: three studies in the social consequences of agribusiness Reference Source, (Allenheld, Osmun, New York, 1978); Bodley, J.H., The power of scale: A global history approach Reference Source, (M.E. Sharpe, Armonk, N.Y., 2003); Patel, R.C., The value of nothing: How to reshape market society and redefine democracy Reference Source, (Picador, New York, 2009); Swift, M.J., Izac, A.M.N., van Noordwijk, M., Biodiversity and ecosystem services in agricultural landscapes - are we asking the right questions? (2004) Agr Ecosyst Environ, 104 (1), pp. 113-134;\nEcosystems and Human Well-Being: Current State and Trends: Findings of the Condition and Trends Working Group Reference Source. (Island Press, Washington, D.C., 2005); Thrupp, L.A., Linking agricultural biodiversity and food security: the valuable role of agrobiodiversity for sustainable agriculture (2000) Int Aff, 76 (2), pp. 265-281. , 18383639;\nRemans, R., Flynn, D.F.B., DeClerck, F., Sustainable diets and biodiversity: Directions and solutions for policy, research and action , pp. 134-149. , Reference Source, B. Burlingame, S. Dernini, Eds. (Food and Agriculture Organization of the United Nations, Rome, Italy, 2010),; Gold, K., McBurney, R.P.H., Sustainable diets and biodiversity: Directions and solutions for policy, research and action , pp. 108-114. , Reference Source, B. Burlingame, S. Dernini, Eds. (Food and Agriculture Organization of the United Nations, Rome, Italy, 2010),; Hooper, D.U., Chapin, F.S., Ewel, J.J., Effects of biodiversity on ecosystem functioning: a consensus of current knowledge (2005) Ecol Monogr, 75 (1), pp. 3-35;\nJarvis, D., Brown, A.H., Cuong, P.H., A global perspective of the richness and evenness of traditional crop-variety diversity maintained by farming communities (2008) Proc Natl Acad Sci U S A, 105 (14), pp. 5326-5331. , 18362337, 2291090;\nEasterling, W., Apps, M., Assessing the Consequences of Climate Change for Food and forest Resources: A View from the IPCC (2005) Climatic Change, 70 (1-2), pp. 165-189;\nBeg, N., Morlota, J.C., Davidson, O., Linkages between climate change and sustainable development (2002) Climate Pol, 2 (2-3), pp. 129-144;\nKassam, K., Pluralism, Resilience, and the Ecology of Survival: Case Studies from the Pamir Mountains of Afghanistan (2010) Ecol Soc, 15 (2). , Reference Source;\nMcLaughlin, P., Dietz, T., Structure, agency and environment: Toward an integrated perspective on vulnerability (2008) Global Environ Chang, 18 (1), pp. 99-111;\nTomich, T.P., Brodt, S., Ferris, H., Agroecology: A Review from a Global-Change Perspective (2011) Annu Rev Environ Resour, 36, pp. 193-222;\nMcDowell, J.Z., Hess, J.J., Accessing adaptation: Multiple stressors on livelihoods in the Bolivian highlands under a changing climate (2012) Global Environ Chang, 22 (2), pp. 342-352;\nLin, B.B., Resilience in Agriculture through Crop Diversification: Adaptive Management for Environmental Change (2011) Bioscience, 61 (3), pp. 183-193;\nDorsey, B., Agricultural Intensification, Diversification, and Commercial Production among Smallholder Coffee Growers in Central Kenya (1999) Econ Geogr, 75 (2), pp. 178-195;\nKasem, S., Thapa, G.B., Crop diversification in Thailand: Status, determinants, and effects on income and use of inputs (2011) Land Use Policy, 28 (3), pp. 618-628;\nGomiero, T., Pimentel, D., Paoletti, M.G., Environmental Impact of Different Agricultural Management Practices: Conventional vs. Organic Agriculture (2011) Crit Rev Plant Sci, 30 (1-2), pp. 95-124;\nPaoletti, M.G., Pimentel, D., Stinner, B.R., Agroecosystem biodiversity: Matching production and conservation biology (1992) Agr Ecosyst Environ, 40 (1-4), pp. 3-23;\nSchönning, M., Richardsdotter-Dirke, M., &amp;quot;Ekologiskt och konventionellt jordbruk: skillnader i biologisk mångfald och livsmedelskvalitet. En litteraturöversikt (Organic and conventional agriculture: differences in biodiversity and food quality: A literature review)&amp;quot; Rapport 9304, Reference Source; Bengtsson, J., Ahnström, J., Weibull, A.C., The effects of organic agriculture on biodiversity and abundance: a meta-analysis (2005) J Appl Ecol, 42 (2), pp. 261-269;\nScherr, S.J., McNeely, J.A., Biodiversity conservation and agricultural sustainability: Towards a new paradigm of 'ecoagriculture' landscapes (2008) Philos Trans R Soc Lond B Biol Sci, 363 (1491), pp. 477-494. , 17652072, 2610165;\nPywell, R.F., Heard, M.S., Bradbury, R.B., Wildlife-friendly farming benefits rare birds, bees and plants (2012) Biol Lett, 8 (5), pp. 772-775. , 22675140, 3440986;\nKremen, C., Miles, A.F., Comparing biologically diversified with conventional farming systems: What is known about environmental benefits, externalities and tradeoffs among crop productivity and ecosystem services? (2012) Ecol Soc, 17, p. 40;\nAltieri, M.A., The ecological role of biodiversity in agroecosystems (1999) Agr Ecosyst Environ, 74 (1-3), pp. 19-31. , Reference Source;\nTscharntke, T., Klein, A.M., Kruess, A., Landscape perspectives on agricultural intensification and biodiversity-ecosystem service management (2005) Ecol Lett, 8 (8), pp. 857-874;\nVandermeer, J.H., Lawrence, D., Symstad, A., Biodiversity and ecosystem functioning: Synthesis and perspectives , pp. 221-236. , M. Loreau, S. Naeem, P. Inchausti, Eds. (Oxford University Press, Oxford, 2002),; Gabriel, D., Sait, S.M., Hodgson, J.A., Scale matters: the impact of organic farming on biodiversity at different spatial scales (2010) Ecol Lett, 13 (7), pp. 858-869. , 20482572;\nBalmford, A., Green, R.E., Scharlemann, J.P.W., Sparing land for nature: Exploring the potential impact of changes in agricultural yield on the area needed for crop production (2005) Glob Change Biol, 11 (10), pp. 1594-1605;\nPfiffner, L., Häring, A., Dabbert, S., Organic Food and Farming: Towards Partnership and Action in Europe , pp. 115-123. , (Dänish Ministry for Food, Agriculture and Fisheries, Copenhagen, Denmark, 2001),; Fuller, R.J., Norton, L.R., Feber, R.E., Benefits of organic farming to biodiversity vary among taxa (2005) Biol Lett, 1 (4), pp. 431-434. , 17148225, 1626368;\nHole, D.G., Perkins, A.J., Wilson, J.D., Does organic farming benefit biodiversity? (2005) Biol Cons, 122 (1), pp. 113-130;\nGibson, R.H., Pearce, S., Morris, R.J., Plant diversity and land use under organic and conventional agriculture: a whole-farm approach (2007) J Appl Ecol, 44 (4), pp. 792-803;\nLynch, D.H., Halberg, N., Bhatta, G.D., Environmental impacts of organic agriculture in temperate regions (2012) CAB Reviews: Perspectives in Agriculture, Veterinary Science, Nutrition, and Natural Resources, 7 (10), pp. 1-17;\nMondelaers, K., Aertsens, J., van Huylenbroeck, G., A meta-analysis of the differences in environmental impacts between organic and conventional farming (2009) British Food J, 111 (10), pp. 1098-1119;\nWinqvist, C., Ahnström, J., Bengtsson, J., Effects of organic farming on biodiversity and ecosystem services: taking landscape complexity into account (2012) Ann NY Acad Sci, 1249, pp. 191-203. , 22335471;\nKleijn, D., Baquero, R.A., Clough, Y., Mixed biodiversity benefits of agri-environment schemes in five European countries (2006) Ecol Lett, 9 (3), pp. 243-254. , 16958888;\nDavey, C.M., Vickery, J.A., Boatman, N.D., Assessing the impact of Entry Level Stewardship on lowland farmland birds in England (2010) Ibis, 152 (3), pp. 459-474;\nFahrig, L., Baudry, J., Brotons, L., Functional landscape heterogeneity and animal biodiversity in agricultural landscapes (2011) Ecol Lett, 14 (2), pp. 101-112. , 21087380;\nBenton, T.G., Vickery, J.A., Wilson, J.D., Farmland biodiversity: Is habitat heterogeneity the key? (2003) Trends in Ecology and Evolution, 18 (4), pp. 182-188;\nPurtauf, T., Roschewitz, I., Dauber, J., Landscape context of organic and conventional farms: Influences on carabid beetle diversity (2005) Agr Ecosyst Environ, 108 (2), pp. 165-174;\nSchmidt, M.H., Roschewitz, I., Thies, C., Differential effects of landscape and management on diversity and density of ground-dwelling farmland spiders (2005) J Appl Ecol, 42 (2), pp. 281-287;\nRundlöf, M., Smith, H.G., The effect of organic farming on butterfly diversity depends on landscape context (2006) J Appl Ecol, 43 (6), pp. 1121-1127;\nLe Roux, X., Barbault, R., Baudry, J., Agriculture et biodiversité. Valoriser les synergies Reference Source, Expertise scientifique collective, synthèse du rapport. (INRA, Paris, 2008); Norton, L., Johnsonb, P., Joys, A., Consequences of organic and non-rganic farming practices for field, farm and landscape complexity (2009) Agr Ecosyst Environ, 129 (1-3), pp. 221-227;\nMendenhall, C.D., Ehrlich, P.R., Daily, G.C., Predictive model for sustaining biodiversity in tropical countryside (2011) Proc Natl Acad Sci U S A, 108 (39), pp. 16313-16316. , 21911396, 3182680;\nKarp, D.S., Rominger, A.J., Zook, J., Intensive agriculture erodes β-iversity at large scales (2012) Ecol Lett, 15 (9), pp. 963-970. , 22727063;\nBelfrage, K., Johanna, B., Salomonsson, L., The Effects of Farm Size and Organic Farming on Diversity of Birds, Pollinators, and Plants in a Swedish Landscape (2005) Ambio, 34 (8), p. 582. , 16521832;\nBaudry, J., Bunce, R.G.H., Land abandonment and its role in conservation: Proceedings of the Zaragoza/Spain seminar 10-2 December 1989,. (CIHEAM, Paris, 1989); Sirami, C., Brotons, L., Martin, J.L.","publisher":"Faculty of 1000 Ltd","publisher-place":"Institute for Agriculture and Trade Policy, Minneapolis, MN  55404, United States","title":"Food sovereignty: An alternative paradigm for poverty reduction and biodiversity conservation in Latin America","type":"article-journal","volume":"2"},"uris":["http://www.mendeley.com/documents/?uuid=0c0b5a25-6d2c-4e48-84f2-b0b52dfd8364"]}],"mendeley":{"formattedCitation":"(Chappell &lt;i&gt;et al.&lt;/i&gt;, 2013)","plainTextFormattedCitation":"(Chappell et al., 2013)","previouslyFormattedCitation":"(Chappell &lt;i&gt;et al.&lt;/i&gt;, 2013)"},"properties":{"noteIndex":0},"schema":"https://github.com/citation-style-language/schema/raw/master/csl-citation.json"}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 xml:space="preserve">(Chappell </w:t>
      </w:r>
      <w:r w:rsidR="0037337F" w:rsidRPr="0037337F">
        <w:rPr>
          <w:rFonts w:ascii="Times New Roman" w:hAnsi="Times New Roman" w:cs="Times New Roman"/>
          <w:i/>
          <w:noProof/>
          <w:sz w:val="24"/>
          <w:szCs w:val="24"/>
        </w:rPr>
        <w:t>et al.</w:t>
      </w:r>
      <w:r w:rsidR="0037337F" w:rsidRPr="0037337F">
        <w:rPr>
          <w:rFonts w:ascii="Times New Roman" w:hAnsi="Times New Roman" w:cs="Times New Roman"/>
          <w:noProof/>
          <w:sz w:val="24"/>
          <w:szCs w:val="24"/>
        </w:rPr>
        <w:t>, 2013)</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On the other hand, the farming community, with the help of non-government organizations (NGOs), is trying to carry out its mission of cultivating agricultural seeds that provides benefit and maintains the ecosystem</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fldChar w:fldCharType="begin" w:fldLock="1"/>
      </w:r>
      <w:r w:rsidR="0037337F" w:rsidRPr="0037337F">
        <w:rPr>
          <w:rFonts w:ascii="Times New Roman" w:hAnsi="Times New Roman" w:cs="Times New Roman"/>
          <w:sz w:val="24"/>
          <w:szCs w:val="24"/>
        </w:rPr>
        <w:instrText>ADDIN CSL_CITATION {"citationItems":[{"id":"ITEM-1","itemData":{"DOI":"10.1080/00220380601055601","ISSN":"00220388 (ISSN)","abstract":"Transgenic seeds in both India (Bt cotton) and Brazil (glyphosate-resistant soybeans) spread widely and rapidly through farming communities outside the reach of biosafety or bioproperty institutions. Stealth transgenics are saved, cross-bred, repackaged, sold, exchanged and planted in an anarchic agrarian capitalism that defies surveillance and control of firms and states. The outcome is more pro-poor than alternative modes of diffusion, but undermines a growing consensus in the international development community on appropriate bio-safety and intellectual property institutions for biotechnology. Second, stealth procurement of biotechnology divides nominally pro-poor political coalitions, driven by a great ideational divide on uncertainties and risks of transgenics. The ability of seeds to move underground through stealth strategies of farmers undermines widely-assumed bio-safety-regime capability. Likewise, property in biotechnology appears less monopolistic and powerful, more relational and contingent. Stealth practices of farmers in pursuit of transgenics contrary to wishes of firms, states and many NGOs suggest a different model of the farmer than that often encountered in both developmentalist and anti-'GMO' discourse: more active, creative and autonomous, less hapless and supine. Resultant incapacity of social institutions to secure interests of firms and states in biotechnology renders more likely eventual development of controls from genetic engineering - the 'terminator technology' of political dramaturgy.","author":[{"dropping-particle":"","family":"Herring","given":"R J","non-dropping-particle":"","parse-names":false,"suffix":""}],"container-title":"Journal of Development Studies","id":"ITEM-1","issue":"1","issued":{"date-parts":[["2007"]]},"language":"English","note":"Cited By :92\n\nExport Date: 3 March 2021\n\nCorrespondence Address: Herring, R.J.; Cornell University, Ithaca, NY, United States\n\nReferences: (2003) Actualización: Un Boletn De Noticias &amp;amp; anlisis Mensuales De La Campanha Por Un Brasil Libre De Transgênicos; \n(2004) Weekly Update, , American Soybean Association;\n(2003) Beyond Bhopal and Bt: Taking on the Biotech Giants. Research Foundation for Science, , Asian Social Forum [Hyderabad] Seminar Technology and Ecology, Delhi;\n(2001) Report on the Commercial Approval of Transgenic Soy in Brazil, , Associação Nacional de Biossegurança;\nBagla, P., Report says India needs stronger, independent regulatory body (2004) Science, 304 (5677), p. 2004;\nBambawale, O.M., Singh, A., Sharma, O.P., Bhosle, B.B., Lavekar, R.C., Dhandhapani, A., Kanwar, V., Pawar, V.M., Performance of Bt cotton (MECH-162) under integrated pest management in farmers' participatory field trial in Nanded district, Central India (2004) Current Science, 86 (12), pp. 1628-1633;\nBenson, T., GM soy planting in Brazil said to be spreading North (2001) Dow Jones;\nBharathan, G., Bt-cotton in India: Anatomy of a controversy (2000) Current Science, 79 (8), pp. 1067-1075;\nBirasal, N.R., Haveri farmers will resist KRRS destruction trial (1998) Times of India;\nBuckly, S., Brazil battles over genetically modified soybeans (2000) Washington Post;\n(1998) Citizens' Report: Gathering Agrarian Crisis-Farmers' Suicides in Warangal District (AP) India, , Centre for Environmental Studies Warangal Kishanpura, Andhra Pradesh, India;\nClendenning, A., Illegal soy seeds enrich Brazil farms (2004) The Washington Times;\nConroy, J., A time to reap (2003) Spiked Online;\n(2001) Biotechnology on the Fast Track, , Confederation of Indian Industry (CII) new Delhi;\n(1998) Report of the Study Group on Distress Caused By Indebtedness of Farmers in Andhra Pradesh, , Department of Agriculture and Cooperation, Ministry of Agriculture, Government of India Ministry of Agriculture, New Delhi;\n(1996) Revised Guidelines for Research in Transgenic Plants and Guidelines for Toxicity and Allergenicity Evaluation of Tansgenic Seeds, , Department of Biotechnology, Ministry of Science and Technology, Government of India Plants and Plant Parts, Ministry of Agriculture, New Delhi;\n(2001) Biotech News, 2 (2). , Department of Biotechnology, Ministry of Science and Technology, Government of India;\n(2001) Biotechnology: A Vision, Ministry of Science and Technology, , Department of Biotechnology, Ministry of Science and Technology, Government of India New Delhi;\n(2002) Annual Report 2001-2002, , Department of Biotechnology, Ministry of Science and Technology, Government of India Ministry of Science and Technology, New Delhi;\nOperation Cremate Monsanto: Raitha Sangha to burn Bollgard cotton in Bellary (1998) Deccan Herald, , Deccan Herald;\nNational Farmers' Protection Committee, , Deshiya Karshaka Samrakshana Samithi (National Agriculturalist Protection Committee) Plan and Budget.Palakkad, India;\n(1998) Agnet, , Dow Jones;\nEdelman, M.J., (1964) The Symbolic Uses of Politics, , University of Illinois Press, Urbana;\nEwing, R., Brazil farmers declare plans for genetically modified soybeans (2003) Reuters;\n(2002), Financial Express; Fontes, E.M.G., Legal and regulatory concerns of transgenic plants in Brazil (2003) Journal of Invertebrate Pathology, 83 (2), pp. 100-103;\n(2005) The Story of Bt Cotton in India, , Gene Campaign Gene Campaign, New Delhi;\nGhosh, P.K., Genetically engineered crops in India with special reference to Bt cotton (2001) IPM Mitr, 1, pp. 8-28;\n(2002) Farmers' Suicides in Karnataka: A Scientific Analysis Report of the Expert Committee for Study on Farmers' Suicides, , Government of Karnataka Government of Karnataka, Bangalore;\nBt cotton saga takes a ludicrous turn (2001) Greenpeace Newsletter, 11. , Greenpeace India;\nGold, A.G., Vanishing: Seeds' cyclicality (2003) Journal of Material Culture, 8 (3), pp. 255-272;\nGupta, A.K., Chandak, V., Agricultural biotechnology in India: Ethics, business and politics (2005) International Journal of Biotechnology, 7 (13), pp. 212-227;\nHathaway, D., Legal controls over GMOs in Brazil (2002) Actualizacin: Un Boletn De Noticias &amp;amp; anlisis Mensuales De La Campanha Por Un Brasil Libre De Transgênicos;\nHerring, R.J., Authority and scale in political ecology: Some cautions on localism (2000) Biological Diversity: Balancing Interests Through Adaptive Collaborative Management, pp. 187-205. , CRC Press, Boca Raton, FL;\nHerring, R.J., State property in nature (2002) Land, Property and the Environment, Institute for Contemporary Studies, , Oakland, CA;\nHerring, R.J., The political impossibility theorem of agrarian reform: Path dependence and terms of inclusion (2003) Changing Paths: The New Politics of Inclusion, , University of Michigan Press, Ann Arbor, MI;\nHerring, R.J., Miracle seeds, suicide seeds and the poor: GMOs, NGOs, farmers and the state (2005) Social Movements in India: Poverty, Power, and Politics, pp. 203-232. , Rowman and Littlefield, Lanham, MD;\nHerring, R.J., The genomics revolution and development studies: Science, politics and poverty (2007) Journal of Development Studies, 43 (1), pp. 1-30;\nHochstetler, K., (2004) Civil Society in Lula's Brazil, , Centre for Brazilian Studies, University of Oxford, UK;\n(1998) The Hindu;\n(2001) Indian Express;\nJain, S., (2002) Indian Express;\nJames, C., (2002) Global Review of Transgenic Crops: 2001 Feature: Bt Cotton, , ISAAA, Ithaca, NY;\nJayaraman, K.S., India produces homegrown GM cotton (2004) Nature Biotechnology, 22 (3), pp. 255-256;\nJayaraman, K.S., Illegal Bt cotton in India haunts regulators (2001) Nature Biotechnology, 19 (12), p. 1090;\nJha, S., (2001) Seeds of Death, GMO Cotton, , India;\nJoshi, S., Unquiet on the western front (2001) The Hindu Business Line;\nKrishnakumar, A., Biotechnology. Bt cotton, again (2004) Frontline, 21 (10), pp. 8-21;\nLewis, S., Brazil's biosafety law stalls in the Senate (2004) Food Chemical News;\nLiptak, A., Saving seeds subjects farmers to suits over patent (2003) New York Times, pp. 1-18;\nMadsen, S.T., The view from Vevey (2001) Economic and Political Weekly, pp. 3733-3742;\nMathew, V., India's GM cotton story gets bigger - 'Uproot and Destroy' begins on Gujarat farms (2001) The Hindu Business Line;\nMehta, N.P., Genesis of cotton hybrid Navbharat-151 and Bt cottons and their prospects (2005) Bt Cotton: A Painful Episode, , Gujarat Kapas Utpadak Hitrakshak Sangh, Vadodara, Gujarat;\n(2005) Bt Cotton: A Painful Episode, , Gujarat Kapas Utpadak Hitrakshak Sangh, Vadodara, Gujarat;\nMistry, S., Terminator gene a figment of imagination: Monsanto chief (1998) Indian Express;\nMorse, S., Bennett, R., Ismael, Y., Comparing the performance of official and unofficial genetically modified cotton in India (2005) AgBioForum: The Journal of Agrobiotechnology Management and Economics, 8 (1), pp. 1-6;\nNaik, G., Qaim, M., Subramanian, A., Zilberman, D., Bt cotton controversy: Some paradoxes explained (2005) Economic and Political Weekly, 40 (15), pp. 1514-1517;\nNanda, M., (2003) Prophets Facing Backward: Postmodern Critiques of Science and Hindu Nationalism in India, , Rutgers University Press, New Brunswick, NJ;\nNanjundaswamy, M.D., Statement of Professor Nanjundaswamy at the Demonstration Against the World Economic Summit (1999) Cologne GreenFiles, , GreenFiles, New Delhi;\nNiiler, E., Monsanto remains a magnet for GM opposition (1999) Nature Biotechnology, 17, p. 848;\nNeto, R., GM confusion in Brazil (2003) Nature Biotechnology, 21 (11), pp. 1257-1258;\n(2004) The Use of Genetically Modified Crops in Developing Countries, , Nuffield Council on Bioethics Nuffield Council on Bioethics, London;\nOsava, M., Transgenic soy rampant, despite ban (2002) Inter Press Services;\nOsava, M., Transgenic soy found guilty by people's court (2004) Inter Press Services;\nOmvedt, G., Farmers' movements and the debate on poverty and economic reforms in India (2005) Social Movements in India: Poverty, Power, and Politics, , Rowan and Littlefield, Lanham, MD;\nPaarlberg, R.L., Institute, I.F.P.R., (2001) The Politics of Precaution: Genetically Modified Crops in Developing Countries, , Johns Hopkins University Press, Baltimore, MD;\nParmar, C., Visvanathan, S., (2003) Hybrid, Hyphen, History, Hysteria: The Making of the Bt Cotton Controversy, , IDS Seminar on Agriculture Biotechnology and the Developing World, Sussex, UK;\nPoddar, U., Controversy Over Genetically Modified Organisms: A Comparative Study of Brazil and India;\nPollack, A., Genes from engineered grass spread for miles, study finds (2004) New York Times;\nPray, C.E., Huang, J., Hu, R., Rozelle, S., Five years of Bt cotton in China - The benefits continue (2002) The Plant Journal, 31 (4), pp. 423-430;\nPray, C., Schimmelpfennig, D., The impact of biotechnology on South African agriculture: First impressions (2001) College of Agriculture Seminar, , University of Pretoria, South Africa;\nPray, C., Naseem, A., Supplying crop biotechnology to the poor: Opportunities and constraints (2007) Journal of Development Studies, 43 (1), pp. 192-217;\nQaim, M., Zilberman, D., Yield effects of genetically modified crops in developing countries (2003) Science, 299 (5608), pp. 900-902;\n(2000) Terminator 2 Years Later: Suicide Seeds on the Fast Track, , RAFI International RAFI International Office, Manitoba, Canada;\nRao, C.K., (2004) Frontline Mischief, Foundation for Biotechnology Awareness and Education, , Bangalore, India;\nRao, C.K., (2004) One Swallow Does Not Make the Summer - Bt Cotton in India, , Foundation for Biotechnology Awareness and Education, Bangalore, India;\nBt cotton will kill farmers, financially and literally, an interview with Devinder Sharma (2001), Rediff.com; Brazilian farmers seize Monsanto facilities in anti-GE protest (2001) Não Me Toque;\nBrazil suspends anti-GM law (2003) Reuters, , Reuters;\nBrazil farmers fight for GMOs (2004) Reuters, , Reuters;\nBrazilian scientists develop new GMO soybean (2004) Reuters, , Reuters;\nRoy, D., Herring, R.J., Geisler, C.C., Naturalizing transgenics: Official seeds, loose seeds and risk in the decision matrix of Gujarati cotton farmers (2007) Journal of Development Studies, 43 (1), pp. 158-176;\nSalazar, S., Falconi, C., Komen, J., Cohen, J.I., (2000) The Use of Proprietary Biotechnology Research Inputs at Selected Latin American NAROs, , ISNAR, The Netherlands;\nSahai, S., Bt cotton: Confusion prevails (2002) Economic and Political Weekly;\nSahai, S., What is Bt and what is terminator? (1999) Economic and Political Weekly, pp. 84-85;\nScoones, I., (2003) Regulatory Manoevres: The Bt Cotton Controversy in India, , Brighton, UK;\nScott, J.C., (1998) Seeing Like a State, , Yale University Press, New Haven;\n(2003) Brazil Introduces Bill to Regulate GM Crops, , SeedQuest Brazil;\nGM is cottage industry; hybrid seeds flood Gujarat fields (2003) Rajkot/Junagadh, NewsRelease, , SeedQuest;\nShaik, S., Farmers decide to defend their Bt gene cotton crops (2001) The Times of India;\nSharma, D., The introduction of transgenic cotton in India (2001) Biotechnology and Development Monitor, (44), pp. 10-13;\nShiva, V., (1997) Biopiracy: The Plunder of Nature and Knowledge, , South End Press, Boston, MA;\nShiva, V., Ecological balance in an era of globalization (1999) Global Ethics and Environment, pp. 47-69. , Routledge, London;\nShiva, V., Emani, A., Jafri, A.H., Globalization and threat to seed security: Case of transgenic cotton trials in India (1999) Economic and Political Weekly, pp. 13-19;\nShiva, V., Jafri, A.H., Emani, A., Pande, M., (2000) Seeds of Suicide: The Ecological and Human Costs of Globalisation of Agriculture, , Research Foundation for Science Technology and Ecology, New Delhi;\nStone, G.D., Biotechnology and suicide in India (2002) Anthropology News, 43 (5), p. 5;\nStone, G.D., Biotechnology and the political ecology of information in India (2004) Human Organization, 63 (2), pp. 127-140;\nThies, J.E., Devare, M., An ecological assessment of transgenic crops (2007) Journal of Development Studies, 43 (1), pp. 97-129;\nVisvanathan, S., Parmar, C., A biotechnology story: Notes from India (2002) Economic and Political Weekly, pp. 2714-2724;\nYamaguchi, T., Discourse Perspective on Agrifood Biotechnology Controversies: Bt Cotton in India","page":"130-157","publisher-place":"Cornell University, Ithaca, NY, United States","title":"Stealth seeds: Bioproperty, biosafety, biopolitics","type":"article-journal","volume":"43"},"uris":["http://www.mendeley.com/documents/?uuid=2921929a-09dd-48c3-a3f2-58263c50e9c7"]},{"id":"ITEM-2","itemData":{"DOI":"10.1177/0032329213493751","ISSN":"00323292 (ISSN)","abstract":"While struggles over land dispossession have recently proliferated across the developing world and become particularly significant in India, this paper argues that existing theories of political agency do not capture the specificity of the politics of dispossession. Based on two years of ethnographic research on anti-dispossession movements across rural India, the paper argues that the dispossession of land creates a specific kind of politics, distinct not just from labor politics, but also from various other forms of peasant politics that have been theorized in the social sciences. It illustrates how the process of land dispossession itself shapes the targets, strategy and tactics, organization, social composition, goals, and ideologies of anti-dispossession struggles. It concludes with reflections on why land conflicts are less easily institutionalized than labor conflicts and may therefore constitute a significantly disruptive force in the emerging centers of global capitalism for the foreseeable future. © 2013 SAGE Publications.","author":[{"dropping-particle":"","family":"Levien","given":"M","non-dropping-particle":"","parse-names":false,"suffix":""}],"container-title":"Politics and Society","id":"ITEM-2","issue":"3","issued":{"date-parts":[["2013"]]},"language":"English","note":"Cited By :87\n\nExport Date: 3 March 2021\n\nCorrespondence Address: Levien, M.; Department of Sociology, 533 Mergenthaler Hall, 3400 N. Charles St., Baltimore, MD 21218, United States; email: levien@jhu.edu\n\nFunding details: Ministry of Environment and Forests, MoEF\n\nFunding text 1: I have tried to show that the process of land dispossession creates a distinct form of politics with certain generic features as well as identifiable axes of variation. The use of extra-economic state force to achieve dispossession creates movements that target first and foremost the state, and specifically the particular administrative level where expropriation is enacted. The transparency of the state’s role means that it must justify its expropriations by aligning them with a concept of development whose persuasiveness will crucially affect the emergence and success of anti-dispossession movements. Because the dispossession of land is both more existentially threatening than the expropriation of surpluses, and one-off in nature, it is impossible to fight it successfully through “everyday” means. Resistance tends to be overt and takes the form of spatial struggles at the point of enclosure in which various means—physical, legal, and political—are brought to bear to defend land against co-optation and violent removal. With dispossession, everyday forms of repossession are ways of mitigating defeat, not achieving success. Because dispossession is orthogonal to, and neglected by, existing forms of political and social organization, these overt struggles tend to be organized through local, ad-hoc, autonomous organizations created specifically for the purpose. Combined with the fact that dispossession is experienced in many different forms, this creates a proliferation of localized “single-issue” movements. In India, these movements have, for years, been forming alliances with each other (NAPM), but some are now being absorbed into the armed Maoist insurgency, and others are eliciting limited support from political parties. Anti-dispossession movements are by nature cross-class; however, their exact composition and degree of internal contradiction vary massively. Locally distinct agrarian social structures, political histories, and different geographies of dispossession combine to create movements with diverse goals and ideologies. Some constitute a non-compromising countermovement against the forcible commodification of land; others are fighting for concessions on the terrain of commodification itself. Among both we find highly diverse political ideologies that do not neatly map onto the major political tendencies that organize electoral politics. Although these features of dispossession politics are not exhaustive, I offer them as basic coordinates to stimulate refinement or reconstruction based on further comparative research. Though drawn from the experience of dispossession politics in India, a few words are in order about their applicability to other contexts. While we can expect great variation in the specifics of dispossession politics across countries, I believe that the features presented above are sufficiently general—and genetically linked to the experience of land dispossession—that they should have fairly wide applicability to movements fighting state-led dispossession of agricultural land in other countries. We can expect to see significant differences in struggles over forest rights (in which poaching, arson, and “everyday forms” of resistance are common) and in the piecemeal “intimate dispossessions” that occur when local actors struggle over insecure or ambiguous property rights in the absence of state involvement. 159 Further, while land acquisition in India is a fairly rationalized state procedure (eminent domain laws have been on the books since the nineteenth century), in other countries and perhaps especially in conflict situations, the state can be relatively less central to land dispossession compared to non-state wielders of coercion, such as paramilitaries, 160 corporate security forces, drug cartels, or rural elites with what Marx calls “their little independent methods.” 161 Such circumstances of rampant non-state violence are hardly conducive to the kinds of politics illustrated above. Nevertheless, the type of state-led land dispossession described here is sufficiently widespread that the framework suggested here should be relevant to a large domain of politics in many countries. Having sketched the contours of a particular kind of politics formed though processes of land dispossession, I would like to conclude with some observations about its likely significance for India and, perhaps, other emerging centers of global capitalism. Given the above, it should already be apparent that states will face several obstacles to institutionalizing conflict around land in a way that is analogous to collective bargaining for labor. Unlike labor, land is essentially a zero-sum asset. Its supply is finite, it is currently in high demand for both agricultural and non-agricultural uses, and these uses are not compatible. While the surplus created by labor can be shared between a capitalist and laborer in a way that might align their interests, land can either stay with a farmer or be given to a capitalist. As we have seen, the loss of land constitutes a large, transparent, and irreversible threat to farmers’ livelihoods and even ways of life. To get farmers to comply with dispossession, states must either mobilize coercion, normative persuasion, or substantial material inducements. Coercion will continue to be used, especially in remote areas inhabited by the most marginalized groups. However, this is likely to further alienate agriculturalists and increase opposition; its use will become more difficult as the issue attracts more media attention and achieves greater political salience. India’s burgeoning Maoist insurgency is good evidence of how such a strategy can backfire. The second option, persuading farmers that it is their patriotic duty to sacrifice their land for national development, is increasingly difficult as the state dispossesses land for private and sometimes foreign companies for increasingly real estate-driven purposes. I have argued here and elsewhere that India’s proliferating land wars are, to a large extent, a consequence of a neoliberal regime of dispossession that lacks the ideological legitimacy of its predecessor. 162 Apart from abandoning this neoliberal regime, the third strategy of securing compliance through material compensation is probably the only option available. This is the strategy that India’s central and state governments are currently pursuing as they devise amendments to the central Land Acquisition Act and institute state resettlement and rehabilitation policies. The intention of these legislative and policy interventions is to dissipate land wars and ensure a predictable supply of land for capital by giving farmers a larger stake in the accumulation generated by dispossession. 163 There are, however, significant obstacles to such a class compromise. One obstacle is the ability of private capitalists to agree on the need for concessions, which has not been the case so far in India. With different industry organizations disagreeing on the need for more liberal compensation, 164 the current draft of India’s amendment to the central Land Acquisition Act has seen its more liberal provisions watered down. 165 If passed in this less liberal form, it will decrease the likelihood that this legislation will be effective at quelling farmer opposition, to the detriment of the long-term interests of capitalists themselves. A second obstacle is the lack of enduring organizational vehicles that can be co-opted as negotiating partners. As we have seen, dispossession is a serial process that usually occurs only once for any particular farmer; for each instance of dispossession, bargaining has to begin afresh with new individuals. The ad-hoc, autonomous, and often transient nature of the organizations farmers create to fight dispossession makes it impossible for states to forge long-term relations (analogous to those with unions) that would facilitate stable compromises. The need to repeatedly negotiate with new individuals and their informal organizations multiplies the likelihood of opposition and greatly decreases the predictability of compliance. Finally, there is a third and more fundamental obstacle. The idea of utilizing the exchange value of land to build a class compromise between capital and farmers assumes what needs to be explained: how farmers come to value their land at its exchange value in the first place. As we have seen, this cannot be taken for granted. Just as class compromise can only be built with workers once they have accepted the principle of exchanging their labor for a wage, a class compromise around land dispossession requires that farmers accept the principle of exchanging their land for a price. Whether all farmers have their price remains to be seen; what is clear is that India’s land wars provide numerous examples of farmers refusing to give their land even when offered significant sums of money. So long as they refuse to treat their land at its exchange value, they cannot be brought into a class compromise on the terrain of commodification. Until and unless such nonmarket orientations to land are significantly unhinged, which at present seems remote, it is unlikely that states will be able to institutionalize material compliance to dispossession in the near term. It is more likely that farmers will continue to effectively use the levers of democracy to impede the state’s ability to transfer land to capital. In hundreds of villages across India, farmers are currently using the strategies and tactics discussed in this paper to make themselves significant obstacles to capitalist development. Almost all of the movements discussed in this paper have succeeded in stopping or significantly stalling the projects that are premised upon their dispossession. Some have no interest in the forms of development proposed for their land; others are fighting to be incorporated into it on better terms. Combined, nevertheless, they are making it increasingly difficult for capitalists to obtain that seemingly mundane but crucial condition of accumulation: a physical place on Earth. Beyond disrupting accumulation by dispossession, the ultimate political direction of these movements is varied and their ability to articulate compelling and viable alternatives remains uncertain. What we can say, for now, is that peasants continue to make significant interventions in history, and that these are increasingly shaped by the process of dispossession. 166 I would like to thank Amita Baviskar, Fred Block, Michael Burawoy, Phillip Campanile, Jia-Ching Chen, Laura Enriquez, Eli Friedman, Gillian Hart, Suchi Pande, Marcel Paret, Raka Ray, Aseem Srivastava, Michael Watts, participants of the Yale Modern South Asia Workshop, and the Politics &amp;amp; Society editors for their helpful comments and criticisms. Declaration of Conflicting Interests The author declared no potential conflicts of interest with respect to the research, authorship, and/or publication of this article. Funding The author received no financial support for the research, authorship, and/or publication of this article. 1. David Harvey, The New Imperialism (Oxford: Oxford University Press, 2003). 2. See the collection of articles in the special issue on “Land: A New Wave of Accumulation by Dispossession in Africa?,” Review of African Political Economy 38, no. 128 (2011). See also Kojo Sebastian Amanor, “Global Resource Grabs, Agribusiness Concentration and the Smallholder: Two West African Case Studies,” Journal of Peasant Studies 39, no. 3-4: 731-750; Philip Woodhouse, “New Investment, Old Challenges: Land Deals and the Water Constraint in African Agriculture,” Journal of Peasant Studies 39, no. 3-4: 777-794; Tom Lavers, “Patterns of Agrarian Transformation in Ethiopia: State-mediated Commercialisation and the ‘Land Grab,’” Journal of Peasant Studies 39, no. 3-4: 795-822; Ruth Hall, “The Next Great Trek? South African Commercial Farmers Move North,” Journal of Peasant Studies 39, no. 3-4: 823-844; and “Large-scale Land Deals from the Inside Out: Findings from Kenya’s Tana Delta,” Journal of Peasant Studies 39, no. 3-4: 1039-1076. 3. See, for example, Derek Hall, Philip Hirsch, and Tanya Li, Powers of Exclusion: Land Dilemmas in Southeast Asia (Singapore: Nus Press, 2011); Derek Hall, “Land Grabs, Land Control, and Southeast Asian Crop Booms,” Journal of Peasant Studies 38, no. 4 (2011): 837-857; Tania Li, The Will to Improve: Governmentality, Development and the Practice of Politics (Durham: Duke University Press, 2007); Miles Kenney-Lazar, “Plantation Rubber, Land Grabbing and Social-Property Transformation in Southern Laos,” Journal of Peasant Studies 39, no. 3-4: 1017-1038. 4. For an overview, see the special issue on “Land Grabbing in Latin America,” Canadian Journal of Development Studies 33, no. 4 (2012); and Saturnino M. Borras Jr., Jennifer C. Franco, Sergio Gomez, Crisobal Kay, and Max Spoor, “Land Grabbing in Latin America and the Caribbean,” Journal of Peasant Studies 39, no. 3-4: 845-872. 5. See “Rural Population,” The World Bank (2012). Available at: http://data.worldbank.org/indicator/SP.RUR.TOTL . Accessed March 15, 2013. The intersection of exceptionally fast growth rates and large peasantries with very small holdings may be partly responsible for the particular significance of land dispossession in India and China. One should also note that whereas “land grabs” in Africa and Latin America appear to be primarily driven by agribusiness, biofuels, and to a lesser extent, mineral extraction, in India and China they are primarily driven by urban-industrial development. 6. See You-Tien Hsing, The Great Urban Transformation: Politics of Land and Property in China (Oxford: Oxford University Press, 2010), 182-183. 7. See Landesa Rural Development Institute, “Summary of 2011 Seventeen-Province Survey’s Findings” (2011). Available at: http://www.landesa.org/news/6th-china-survey/ . Accessed February 25, 2012. 8. In a visit to Guandong in February 2012, Jiabao made farmers’ rights a central theme and acknowledged the problem of land grabs, saying, “The root of the problem is that the land is the property of the farmers, but this right has not been protected in the way it should be.” Quoted in Elizabeth C. Economy, “A Land Grab Epidemic: China’s Wonderful World of Wukans,” Council on Foreign Relations (2012). Available at: http://blogs.cfr.org/asia/2012/02/07/a-land-grab-epidemic-chinas-wonderful-world-of-wukans/ . Accessed August 15, 2012. 9. Hsing shows that the central government has made some efforts to prosecute corrupt officials, cancel development zones, and to take some power away from local governments. However, she also argues that this is motivated not just by political considerations, but by concerns about macroeconomic overheating. See Hsing, Greater Urban Transformation , 213. In 2011, after Hsing’s study, the Chinese government passed a new law on forced evictions, and is now considering a reform to its land “takings” law. 10. The most comprehensive study to date, led by Walter Fernandes, has put the total number of displaced for development projects in India between 1947 and 2004 at 60 million people. According to Fernandes, while adivasis constitute 8.6 percent of India’s population, they make up 40 percent of the displaced, with Dalits comprising another 20 percent. See Walter Fernandes, “Sixty Years of Development-induced Displacement in India,” in H. M. Mathur, ed., India Social Development Report 2008: Development and Displacement (New Delhi: Oxford University Press, 2008), 91-92. 11. For an analysis of this shift, see Devparna Roy, “Gujarat’s Gain and West Bengal’s Loss? ‘Development,’ Land Acquisition in India, and the Tata Nano Project: A Comparison of Singur with Sanand” (paper presented at the Land Deal Politics Initiative Conference on Global Land Grabbing, Institute of Development Studies, Sussex, United Kingdom, April 6-8, 2011). 12. For a more complete analysis of how the changing character of dispossession in post-liberalization India is contributing to the proliferation and success of land wars, see Michael Levien, “Regimes of Dispossession: From Steel Towns to Special Economic Zones,” Development and Change 44, no. 2(2013): 381-407. 13. There is, of course, a large literature in institutional economics, which holds that the protection of private property is the cornerstone of economic growth. See, for example, Douglass North, Institutions, Institutional Change and Economic Performance (Cambridge: Cambridge University Press, 1990). As a more recent statement puts it, “a cluster of institutions ensuring secure property rights for a broad cross section of society, which we refer to as the institutions of private property , are essential for investment incentives and economic performance.” See Daron Acemoglu, Simon Johnson, and James. A. Robinson, “Reversal of Fortune: Geography and Institutions in the Making of the Modern World Income Distribution,” The Quarterly Journal of Economics 107(2002): 1235. However, facilitating large private investments in a country where the majority of available land is in the hands of a small-holding peasantry has proven to be dependent on a growing state willingness to dispossess rather than protect the private property of rural agriculturalists. The accelerating use of eminent domain in India and elsewhere suggests that rapid economic growth appears to be based on the selective protection of private property. 14. One private consultancy has estimated that in 2011-2012, capital investment projects worth Rs. 2.7 trillion ($54 billion) were stalled, mostly due to uncertainties in land availability. See Center for Monitoring Indian Economy Pvt. Ltd., “Sharp increase in projects getting shelved,” (2012). Available at: http://www.cmie.com/kommon/bin/sr.php?kall=wclrdhtm.php&amp;amp;cmienvdt=20120704101759176&amp;amp;pc=099000000000&amp;amp;type=INSIGHTS . Accessed August 15, 2012. 15. While Ashutosh Varshney argues that a democratic system introduced before an industrial revolution empowers the countryside, his main example is the new farmers’ movements demanding subsidies and higher prices. That land rather than agricultural surpluses would be the source of conflict between urban capital and the countryside was anticipated by no one—until the land wars of the last five to seven years. See Ashutosh Varshney, Democracy, Development, and the Countryside (Cambridge: Cambridge University Press, 1995). In an urban context, Liza Weinstein also observes how democratic institutions, combined with the concern of investors to avoid political snags, has forced authorities in Mumbai to at least consult with those being evicted for slum redevelopment. See Liza Weinstein, “Democracy in the Globalizing Indian City: Engagements of Political Society and the State in Globalizing Mumbai,” Politics &amp;amp; Society 37, no. 3 (2009): 397-427. 16. Harvey, The New Imperialism , 169-171. 17. See, for example, Gail Omvedt, Reinventing Revolution: New Social Movements and the Socialist Tradition in India (Armonk: M.E. Sharpe, 1993). 18. Michael Hardt and Antonio Negri, Empire (Cambridge: Harvard University Press, 2000); Michael Hardt and Antonio Negri, Multitude: War and Democracy in the Age of Empire (New York: Penguin, 2004). 19. Partha Chatterjee, The Politics of the Governed: Reflections on Popular Politics in Most of the World (New York: Columbia University Press, 2005). 20. See Michael Levien, “Special Economic Zones and Accumulation by Dispossession in India,” Journal of Agrarian Change 11, no. 4 (2011): 454-483. 21. Harvey, The New Imperialism , 168, 174. 22. Ibid., 169, 179. 23. See Fred Block, “Introduction,” in Karl Polanyi, The Great Transformation: The Political and Economic Origins of Our Time (Boston: Beacon, [1944] 2001): xviii-xxxviii; Michael Burawoy, “For a Sociological Marxism: The Complementary Convergence of Antonio Gramsci and Karl Polanyi,” Politics &amp;amp; Society 31, no. 2 (2003): 193-261; Giovanni Arrighi and Beverly Silver, “Polanyi’s ‘Double Movement’: The Belle Epoques of British and US Hegemony Compared,” Politics &amp;amp; Society 31, no. 2 (2003): 325-355; Beverly Silver, Forces of Labor: Workers’ Movements and Globalization Since 1870 (Cambridge: Cambridge University Press, 2003); Peter Evans, “Is an Alternative Globalization Possible?” Politics &amp;amp; Society 36, no. 2 (2008): 271-305; Ayse Bugra and Kaan Agartan, eds., Reading Karl Polanyi for the 21 st Century (New York: Palgrave, 2007). 24. See Polanyi, The Great Transformation. 25. See Burawoy, “Sociological Marxism,” 213. 26. See Michael Burawoy, “From Polanyi to Pollyanna: The False Optimism of Global Labor Studies,” Global Labour Journal 1, no. 2 (2010): 308. 27. See Andrew G. Walder, “Political Sociology and Social Movements,” Annual Review of Sociology 35 (2009): 393-412. 28. Though in his late writings, Marx himself backed away from this position. See Theodore Shanin, Late Marx and the Russian Road: Marx and the Peripheries of Capitalism (New York: Monthly Review Press, 1983). 29. See Vladimir I. Lenin, The Development of Capitalism in Russia (Moscow: Progress Publishers, 1967); Karl Kautsky, The Agrarian Question (London: Zwan Publications, 1988). 30. See Barrington Moore, Social Origins of Dictatorship and Democracy: Lord and Peasant in the Making of the Modern World (Boston: Beacon Press, 1966); Eric Wolf, Peasant Wars of the Twentieth Century (Norman, OK: University of Oklahoma Press, 1999); Jeffrey Paige,","page":"351-394","publisher-place":"Johns Hopkins University, United States","title":"The Politics of Dispossession: Theorizing India's \"Land Wars\"","type":"article-journal","volume":"41"},"uris":["http://www.mendeley.com/documents/?uuid=2100f31a-6162-4a8f-ad9b-b504ab7ebc43"]}],"mendeley":{"formattedCitation":"(Herring, 2007a; Levien, 2013)","manualFormatting":"(Herring, 2007; Levien, 2013)","plainTextFormattedCitation":"(Herring, 2007a; Levien, 2013)","previouslyFormattedCitation":"(Herring, 2007a; Levien, 2013)"},"properties":{"noteIndex":0},"schema":"https://github.com/citation-style-language/schema/raw/master/csl-citation.json"}</w:instrText>
      </w:r>
      <w:r w:rsidRPr="0037337F">
        <w:rPr>
          <w:rFonts w:ascii="Times New Roman" w:hAnsi="Times New Roman" w:cs="Times New Roman"/>
          <w:sz w:val="24"/>
          <w:szCs w:val="24"/>
        </w:rPr>
        <w:fldChar w:fldCharType="separate"/>
      </w:r>
      <w:r w:rsidRPr="0037337F">
        <w:rPr>
          <w:rFonts w:ascii="Times New Roman" w:hAnsi="Times New Roman" w:cs="Times New Roman"/>
          <w:noProof/>
          <w:sz w:val="24"/>
          <w:szCs w:val="24"/>
        </w:rPr>
        <w:t>(Herring, 2007; Levien, 2013)</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In an ecological context, this group always fails to carry out their activities amicably because the capitalist is a strong actor supported by the power of the state</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fldChar w:fldCharType="begin" w:fldLock="1"/>
      </w:r>
      <w:r w:rsidR="0037337F" w:rsidRPr="0037337F">
        <w:rPr>
          <w:rFonts w:ascii="Times New Roman" w:hAnsi="Times New Roman" w:cs="Times New Roman"/>
          <w:sz w:val="24"/>
          <w:szCs w:val="24"/>
        </w:rPr>
        <w:instrText>ADDIN CSL_CITATION {"citationItems":[{"id":"ITEM-1","itemData":{"DOI":"10.1080/00220380601055601","ISSN":"00220388 (ISSN)","abstract":"Transgenic seeds in both India (Bt cotton) and Brazil (glyphosate-resistant soybeans) spread widely and rapidly through farming communities outside the reach of biosafety or bioproperty institutions. Stealth transgenics are saved, cross-bred, repackaged, sold, exchanged and planted in an anarchic agrarian capitalism that defies surveillance and control of firms and states. The outcome is more pro-poor than alternative modes of diffusion, but undermines a growing consensus in the international development community on appropriate bio-safety and intellectual property institutions for biotechnology. Second, stealth procurement of biotechnology divides nominally pro-poor political coalitions, driven by a great ideational divide on uncertainties and risks of transgenics. The ability of seeds to move underground through stealth strategies of farmers undermines widely-assumed bio-safety-regime capability. Likewise, property in biotechnology appears less monopolistic and powerful, more relational and contingent. Stealth practices of farmers in pursuit of transgenics contrary to wishes of firms, states and many NGOs suggest a different model of the farmer than that often encountered in both developmentalist and anti-'GMO' discourse: more active, creative and autonomous, less hapless and supine. Resultant incapacity of social institutions to secure interests of firms and states in biotechnology renders more likely eventual development of controls from genetic engineering - the 'terminator technology' of political dramaturgy.","author":[{"dropping-particle":"","family":"Herring","given":"R J","non-dropping-particle":"","parse-names":false,"suffix":""}],"container-title":"Journal of Development Studies","id":"ITEM-1","issue":"1","issued":{"date-parts":[["2007"]]},"language":"English","note":"Cited By :92\n\nExport Date: 3 March 2021\n\nCorrespondence Address: Herring, R.J.; Cornell University, Ithaca, NY, United States\n\nReferences: (2003) Actualización: Un Boletn De Noticias &amp;amp; anlisis Mensuales De La Campanha Por Un Brasil Libre De Transgênicos; \n(2004) Weekly Update, , American Soybean Association;\n(2003) Beyond Bhopal and Bt: Taking on the Biotech Giants. Research Foundation for Science, , Asian Social Forum [Hyderabad] Seminar Technology and Ecology, Delhi;\n(2001) Report on the Commercial Approval of Transgenic Soy in Brazil, , Associação Nacional de Biossegurança;\nBagla, P., Report says India needs stronger, independent regulatory body (2004) Science, 304 (5677), p. 2004;\nBambawale, O.M., Singh, A., Sharma, O.P., Bhosle, B.B., Lavekar, R.C., Dhandhapani, A., Kanwar, V., Pawar, V.M., Performance of Bt cotton (MECH-162) under integrated pest management in farmers' participatory field trial in Nanded district, Central India (2004) Current Science, 86 (12), pp. 1628-1633;\nBenson, T., GM soy planting in Brazil said to be spreading North (2001) Dow Jones;\nBharathan, G., Bt-cotton in India: Anatomy of a controversy (2000) Current Science, 79 (8), pp. 1067-1075;\nBirasal, N.R., Haveri farmers will resist KRRS destruction trial (1998) Times of India;\nBuckly, S., Brazil battles over genetically modified soybeans (2000) Washington Post;\n(1998) Citizens' Report: Gathering Agrarian Crisis-Farmers' Suicides in Warangal District (AP) India, , Centre for Environmental Studies Warangal Kishanpura, Andhra Pradesh, India;\nClendenning, A., Illegal soy seeds enrich Brazil farms (2004) The Washington Times;\nConroy, J., A time to reap (2003) Spiked Online;\n(2001) Biotechnology on the Fast Track, , Confederation of Indian Industry (CII) new Delhi;\n(1998) Report of the Study Group on Distress Caused By Indebtedness of Farmers in Andhra Pradesh, , Department of Agriculture and Cooperation, Ministry of Agriculture, Government of India Ministry of Agriculture, New Delhi;\n(1996) Revised Guidelines for Research in Transgenic Plants and Guidelines for Toxicity and Allergenicity Evaluation of Tansgenic Seeds, , Department of Biotechnology, Ministry of Science and Technology, Government of India Plants and Plant Parts, Ministry of Agriculture, New Delhi;\n(2001) Biotech News, 2 (2). , Department of Biotechnology, Ministry of Science and Technology, Government of India;\n(2001) Biotechnology: A Vision, Ministry of Science and Technology, , Department of Biotechnology, Ministry of Science and Technology, Government of India New Delhi;\n(2002) Annual Report 2001-2002, , Department of Biotechnology, Ministry of Science and Technology, Government of India Ministry of Science and Technology, New Delhi;\nOperation Cremate Monsanto: Raitha Sangha to burn Bollgard cotton in Bellary (1998) Deccan Herald, , Deccan Herald;\nNational Farmers' Protection Committee, , Deshiya Karshaka Samrakshana Samithi (National Agriculturalist Protection Committee) Plan and Budget.Palakkad, India;\n(1998) Agnet, , Dow Jones;\nEdelman, M.J., (1964) The Symbolic Uses of Politics, , University of Illinois Press, Urbana;\nEwing, R., Brazil farmers declare plans for genetically modified soybeans (2003) Reuters;\n(2002), Financial Express; Fontes, E.M.G., Legal and regulatory concerns of transgenic plants in Brazil (2003) Journal of Invertebrate Pathology, 83 (2), pp. 100-103;\n(2005) The Story of Bt Cotton in India, , Gene Campaign Gene Campaign, New Delhi;\nGhosh, P.K., Genetically engineered crops in India with special reference to Bt cotton (2001) IPM Mitr, 1, pp. 8-28;\n(2002) Farmers' Suicides in Karnataka: A Scientific Analysis Report of the Expert Committee for Study on Farmers' Suicides, , Government of Karnataka Government of Karnataka, Bangalore;\nBt cotton saga takes a ludicrous turn (2001) Greenpeace Newsletter, 11. , Greenpeace India;\nGold, A.G., Vanishing: Seeds' cyclicality (2003) Journal of Material Culture, 8 (3), pp. 255-272;\nGupta, A.K., Chandak, V., Agricultural biotechnology in India: Ethics, business and politics (2005) International Journal of Biotechnology, 7 (13), pp. 212-227;\nHathaway, D., Legal controls over GMOs in Brazil (2002) Actualizacin: Un Boletn De Noticias &amp;amp; anlisis Mensuales De La Campanha Por Un Brasil Libre De Transgênicos;\nHerring, R.J., Authority and scale in political ecology: Some cautions on localism (2000) Biological Diversity: Balancing Interests Through Adaptive Collaborative Management, pp. 187-205. , CRC Press, Boca Raton, FL;\nHerring, R.J., State property in nature (2002) Land, Property and the Environment, Institute for Contemporary Studies, , Oakland, CA;\nHerring, R.J., The political impossibility theorem of agrarian reform: Path dependence and terms of inclusion (2003) Changing Paths: The New Politics of Inclusion, , University of Michigan Press, Ann Arbor, MI;\nHerring, R.J., Miracle seeds, suicide seeds and the poor: GMOs, NGOs, farmers and the state (2005) Social Movements in India: Poverty, Power, and Politics, pp. 203-232. , Rowman and Littlefield, Lanham, MD;\nHerring, R.J., The genomics revolution and development studies: Science, politics and poverty (2007) Journal of Development Studies, 43 (1), pp. 1-30;\nHochstetler, K., (2004) Civil Society in Lula's Brazil, , Centre for Brazilian Studies, University of Oxford, UK;\n(1998) The Hindu;\n(2001) Indian Express;\nJain, S., (2002) Indian Express;\nJames, C., (2002) Global Review of Transgenic Crops: 2001 Feature: Bt Cotton, , ISAAA, Ithaca, NY;\nJayaraman, K.S., India produces homegrown GM cotton (2004) Nature Biotechnology, 22 (3), pp. 255-256;\nJayaraman, K.S., Illegal Bt cotton in India haunts regulators (2001) Nature Biotechnology, 19 (12), p. 1090;\nJha, S., (2001) Seeds of Death, GMO Cotton, , India;\nJoshi, S., Unquiet on the western front (2001) The Hindu Business Line;\nKrishnakumar, A., Biotechnology. Bt cotton, again (2004) Frontline, 21 (10), pp. 8-21;\nLewis, S., Brazil's biosafety law stalls in the Senate (2004) Food Chemical News;\nLiptak, A., Saving seeds subjects farmers to suits over patent (2003) New York Times, pp. 1-18;\nMadsen, S.T., The view from Vevey (2001) Economic and Political Weekly, pp. 3733-3742;\nMathew, V., India's GM cotton story gets bigger - 'Uproot and Destroy' begins on Gujarat farms (2001) The Hindu Business Line;\nMehta, N.P., Genesis of cotton hybrid Navbharat-151 and Bt cottons and their prospects (2005) Bt Cotton: A Painful Episode, , Gujarat Kapas Utpadak Hitrakshak Sangh, Vadodara, Gujarat;\n(2005) Bt Cotton: A Painful Episode, , Gujarat Kapas Utpadak Hitrakshak Sangh, Vadodara, Gujarat;\nMistry, S., Terminator gene a figment of imagination: Monsanto chief (1998) Indian Express;\nMorse, S., Bennett, R., Ismael, Y., Comparing the performance of official and unofficial genetically modified cotton in India (2005) AgBioForum: The Journal of Agrobiotechnology Management and Economics, 8 (1), pp. 1-6;\nNaik, G., Qaim, M., Subramanian, A., Zilberman, D., Bt cotton controversy: Some paradoxes explained (2005) Economic and Political Weekly, 40 (15), pp. 1514-1517;\nNanda, M., (2003) Prophets Facing Backward: Postmodern Critiques of Science and Hindu Nationalism in India, , Rutgers University Press, New Brunswick, NJ;\nNanjundaswamy, M.D., Statement of Professor Nanjundaswamy at the Demonstration Against the World Economic Summit (1999) Cologne GreenFiles, , GreenFiles, New Delhi;\nNiiler, E., Monsanto remains a magnet for GM opposition (1999) Nature Biotechnology, 17, p. 848;\nNeto, R., GM confusion in Brazil (2003) Nature Biotechnology, 21 (11), pp. 1257-1258;\n(2004) The Use of Genetically Modified Crops in Developing Countries, , Nuffield Council on Bioethics Nuffield Council on Bioethics, London;\nOsava, M., Transgenic soy rampant, despite ban (2002) Inter Press Services;\nOsava, M., Transgenic soy found guilty by people's court (2004) Inter Press Services;\nOmvedt, G., Farmers' movements and the debate on poverty and economic reforms in India (2005) Social Movements in India: Poverty, Power, and Politics, , Rowan and Littlefield, Lanham, MD;\nPaarlberg, R.L., Institute, I.F.P.R., (2001) The Politics of Precaution: Genetically Modified Crops in Developing Countries, , Johns Hopkins University Press, Baltimore, MD;\nParmar, C., Visvanathan, S., (2003) Hybrid, Hyphen, History, Hysteria: The Making of the Bt Cotton Controversy, , IDS Seminar on Agriculture Biotechnology and the Developing World, Sussex, UK;\nPoddar, U., Controversy Over Genetically Modified Organisms: A Comparative Study of Brazil and India;\nPollack, A., Genes from engineered grass spread for miles, study finds (2004) New York Times;\nPray, C.E., Huang, J., Hu, R., Rozelle, S., Five years of Bt cotton in China - The benefits continue (2002) The Plant Journal, 31 (4), pp. 423-430;\nPray, C., Schimmelpfennig, D., The impact of biotechnology on South African agriculture: First impressions (2001) College of Agriculture Seminar, , University of Pretoria, South Africa;\nPray, C., Naseem, A., Supplying crop biotechnology to the poor: Opportunities and constraints (2007) Journal of Development Studies, 43 (1), pp. 192-217;\nQaim, M., Zilberman, D., Yield effects of genetically modified crops in developing countries (2003) Science, 299 (5608), pp. 900-902;\n(2000) Terminator 2 Years Later: Suicide Seeds on the Fast Track, , RAFI International RAFI International Office, Manitoba, Canada;\nRao, C.K., (2004) Frontline Mischief, Foundation for Biotechnology Awareness and Education, , Bangalore, India;\nRao, C.K., (2004) One Swallow Does Not Make the Summer - Bt Cotton in India, , Foundation for Biotechnology Awareness and Education, Bangalore, India;\nBt cotton will kill farmers, financially and literally, an interview with Devinder Sharma (2001), Rediff.com; Brazilian farmers seize Monsanto facilities in anti-GE protest (2001) Não Me Toque;\nBrazil suspends anti-GM law (2003) Reuters, , Reuters;\nBrazil farmers fight for GMOs (2004) Reuters, , Reuters;\nBrazilian scientists develop new GMO soybean (2004) Reuters, , Reuters;\nRoy, D., Herring, R.J., Geisler, C.C., Naturalizing transgenics: Official seeds, loose seeds and risk in the decision matrix of Gujarati cotton farmers (2007) Journal of Development Studies, 43 (1), pp. 158-176;\nSalazar, S., Falconi, C., Komen, J., Cohen, J.I., (2000) The Use of Proprietary Biotechnology Research Inputs at Selected Latin American NAROs, , ISNAR, The Netherlands;\nSahai, S., Bt cotton: Confusion prevails (2002) Economic and Political Weekly;\nSahai, S., What is Bt and what is terminator? (1999) Economic and Political Weekly, pp. 84-85;\nScoones, I., (2003) Regulatory Manoevres: The Bt Cotton Controversy in India, , Brighton, UK;\nScott, J.C., (1998) Seeing Like a State, , Yale University Press, New Haven;\n(2003) Brazil Introduces Bill to Regulate GM Crops, , SeedQuest Brazil;\nGM is cottage industry; hybrid seeds flood Gujarat fields (2003) Rajkot/Junagadh, NewsRelease, , SeedQuest;\nShaik, S., Farmers decide to defend their Bt gene cotton crops (2001) The Times of India;\nSharma, D., The introduction of transgenic cotton in India (2001) Biotechnology and Development Monitor, (44), pp. 10-13;\nShiva, V., (1997) Biopiracy: The Plunder of Nature and Knowledge, , South End Press, Boston, MA;\nShiva, V., Ecological balance in an era of globalization (1999) Global Ethics and Environment, pp. 47-69. , Routledge, London;\nShiva, V., Emani, A., Jafri, A.H., Globalization and threat to seed security: Case of transgenic cotton trials in India (1999) Economic and Political Weekly, pp. 13-19;\nShiva, V., Jafri, A.H., Emani, A., Pande, M., (2000) Seeds of Suicide: The Ecological and Human Costs of Globalisation of Agriculture, , Research Foundation for Science Technology and Ecology, New Delhi;\nStone, G.D., Biotechnology and suicide in India (2002) Anthropology News, 43 (5), p. 5;\nStone, G.D., Biotechnology and the political ecology of information in India (2004) Human Organization, 63 (2), pp. 127-140;\nThies, J.E., Devare, M., An ecological assessment of transgenic crops (2007) Journal of Development Studies, 43 (1), pp. 97-129;\nVisvanathan, S., Parmar, C., A biotechnology story: Notes from India (2002) Economic and Political Weekly, pp. 2714-2724;\nYamaguchi, T., Discourse Perspective on Agrifood Biotechnology Controversies: Bt Cotton in India","page":"130-157","publisher-place":"Cornell University, Ithaca, NY, United States","title":"Stealth seeds: Bioproperty, biosafety, biopolitics","type":"article-journal","volume":"43"},"uris":["http://www.mendeley.com/documents/?uuid=eca93e4b-3ec6-48a0-accb-7e75ae10aa1d"]}],"mendeley":{"formattedCitation":"(Herring, 2007a)","manualFormatting":"(Herring, 2007)","plainTextFormattedCitation":"(Herring, 2007a)","previouslyFormattedCitation":"(Herring, 2007a)"},"properties":{"noteIndex":0},"schema":"https://github.com/citation-style-language/schema/raw/master/csl-citation.json"}</w:instrText>
      </w:r>
      <w:r w:rsidRPr="0037337F">
        <w:rPr>
          <w:rFonts w:ascii="Times New Roman" w:hAnsi="Times New Roman" w:cs="Times New Roman"/>
          <w:sz w:val="24"/>
          <w:szCs w:val="24"/>
        </w:rPr>
        <w:fldChar w:fldCharType="separate"/>
      </w:r>
      <w:r w:rsidRPr="0037337F">
        <w:rPr>
          <w:rFonts w:ascii="Times New Roman" w:hAnsi="Times New Roman" w:cs="Times New Roman"/>
          <w:noProof/>
          <w:sz w:val="24"/>
          <w:szCs w:val="24"/>
        </w:rPr>
        <w:t>(Herring, 2007)</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xml:space="preserve">. </w:t>
      </w:r>
    </w:p>
    <w:p w14:paraId="67B3499D" w14:textId="1A5CA9FF" w:rsidR="00197B65" w:rsidRPr="0037337F" w:rsidRDefault="008218B0" w:rsidP="000663AA">
      <w:pPr>
        <w:spacing w:line="240" w:lineRule="auto"/>
        <w:ind w:firstLine="425"/>
        <w:jc w:val="both"/>
        <w:rPr>
          <w:rFonts w:ascii="Times New Roman" w:hAnsi="Times New Roman" w:cs="Times New Roman"/>
          <w:sz w:val="24"/>
          <w:szCs w:val="24"/>
          <w:lang w:val="id-ID"/>
        </w:rPr>
      </w:pPr>
      <w:r w:rsidRPr="0037337F">
        <w:rPr>
          <w:rFonts w:ascii="Times New Roman" w:hAnsi="Times New Roman" w:cs="Times New Roman"/>
          <w:sz w:val="24"/>
          <w:szCs w:val="24"/>
        </w:rPr>
        <w:t xml:space="preserve">Farmers 'social movements on conservation issues are related to their efforts to maintain balance and environmental sustainability while using the environment as a productive area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{"citationItems":[{"id":"ITEM-1","itemData":{"DOI":"10.12688/f1000research.2-235.v1","ISSN":"20461402 (ISSN)","abstract":"Strong feedback between global biodiversity loss and persistent, extreme rural poverty are major challenges in the face of concurrent food, energy, and environmental crises. This paper examines the role of industrial agricultural intensification and market integration as exogenous socio-ecological drivers of biodiversity loss and poverty traps in Latin America. We then analyze the potential of a food sovereignty framework, based on protecting the viability of a diverse agroecological matrix while supporting rural livelihoods and global food production. We review several successful examples of this approach, including ecological land reform in Brazil, agroforestry, milpa, and the uses of wild varieties in smallholder systems in Mexico and Central America. We highlight emergent research directions that will be necessary to assess the potential of the food sovereignty model to promote both biodiversity conservation and poverty reduction. © 2013 Chappell MJ et al.","author":[{"dropping-particle":"","family":"Chappell","given":"M J","non-dropping-particle":"","parse-names":false,"suffix":""},{"dropping-particle":"","family":"Wittman","given":"H","non-dropping-particle":"","parse-names":false,"suffix":""},{"dropping-particle":"","family":"Bacon","given":"C M","non-dropping-particle":"","parse-names":false,"suffix":""},{"dropping-particle":"","family":"Ferguson","given":"B G","non-dropping-particle":"","parse-names":false,"suffix":""},{"dropping-particle":"","family":"Barrios","given":"L G","non-dropping-particle":"","parse-names":false,"suffix":""},{"dropping-particle":"","family":"Barrios","given":"R G","non-dropping-particle":"","parse-names":false,"suffix":""},{"dropping-particle":"","family":"Jaffee","given":"D","non-dropping-particle":"","parse-names":false,"suffix":""},{"dropping-particle":"","family":"Lima","given":"J","non-dropping-particle":"","parse-names":false,"suffix":""},{"dropping-particle":"","family":"Méndez","given":"V E","non-dropping-particle":"","parse-names":false,"suffix":""},{"dropping-particle":"","family":"Morales","given":"H","non-dropping-particle":"","parse-names":false,"suffix":""},{"dropping-particle":"","family":"Soto-Pinto","given":"L","non-dropping-particle":"","parse-names":false,"suffix":""},{"dropping-particle":"","family":"Vandermeer","given":"J","non-dropping-particle":"","parse-names":false,"suffix":""},{"dropping-particle":"","family":"Perfecto","given":"I","non-dropping-particle":"","parse-names":false,"suffix":""}],"container-title":"F1000Research","id":"ITEM-1","issued":{"date-parts":[["2013"]]},"language":"English","note":"Cited By :64\n\nExport Date: 3 March 2021\n\nCorrespondence Address: Chappell, M.J.; Institute for Agriculture and Trade Policy, MinneapolisUnited States\n\nReferences: Azariadis, C., Stachurski, J., Handbook of economic growth , 1, pp. 295-384. , P. Aghion, S. N. Durlauf, Eds. (Elsevier, Amsterdam, 2005); Maru, Y.T., Fletcher, C.S., Chewings, V.H., A Synthesis of Current Approaches to Traps Is Useful But Needs Rethinking for Indigenous Disadvantage and Poverty Research (2012) Ecology and Society, 17 (2), p. 7; \nBarrett, C.B., Travis, A.J., Dasgupta, P., On biodiversity conservation and poverty traps (2011) Proc Natl Acad Sci U S A, 108 (34), pp. 13907-13912. , 21873176, 3161563;\nMészáros, I., The challenge of sustainable development and the culture of substantive equality (2001) Mon Rev, 53 (7), p. 10. , Reference Source;\nPerfecto, I., Vandermeer, J.H., Wright, A.L., Nature's matrix: Linking agriculture, conservation and food sovereignty Reference Source, (Earthscan, London, 2009); Holland, T.G., Peterson, G.D., Gonzalez, A., A cross-national analysis of how economic inequality predicts biodiversity loss (2009) Conserv Biol, 23 (5), pp. 1304-1313. , 19765041;\nFreebairn, D.K., Did the Green Revolution Concentrate Incomes? A Quantitative Study of Research Reports (1995) World Dev, 23 (2), pp. 265-279;\nPanorama Social de América Latina Reference Source; Tilman, D., Cassman, K.G., Matson, P.A., Agricultural sustainability and intensive production practices (2002) Nature, 418 (6898), pp. 671-677. , 12167873;\nTilman, D., Global environmental impacts of agricultural expansion: the need for sustainable and efficient practices (1999) Proc Natl Acad Sci U S A, 96 (11), pp. 5995-6000. , 10339530, 34218;\nMcMichael, P., Development and Social Change: A global perspective Reference Source, (Pine Forge Press, Thousand Oaks, ed. 3rd Edition, 2004); Phalan, B., Onial, M., Balmford, A., Reconciling Food Production and Biodiversity Conservation: Land Sharing and Land Sparing Compared (2011) Science, 333 (6047), pp. 1289-1291. , 21885781;\nTscharntke, T., Clough, Y., Wanger, T.C., Global food security, biodiversity conservation and the future of agricultural intensification (2012) Biol Cons, 151 (1), pp. 53-59;\nBarrett, C.B., Economics of poverty, the environment and natural resource use (2008), 4, p. 212. , Reference Source, R. B. Dellink, A. Ruijs, Eds. (Springer, Dordrecht),::; Nadkarni, M.V., Poverty, Environment, Development: A Many-Patterned Nexus (2000) Econ Polit Weekly, 35 (14), pp. 1184-1190. , Reference Source;\nTaylor, P.J., García Barrios, R., Global environmental economics: Equity and the limits to markets Reference Source, T. Mount, H. Shue, M. Dore, Eds. (Blackwell, Oxford, UK, 1999); Gray, L.C., Moseley, W.G., A geographical perspective on poverty-environment interactions (2005) Geogr J, 171 (1), pp. 9-23;\nBorras, S.M., Pro-poor land reform: a critique (2007), (University of Ottawa Press, Ottawa, Ontario,); Nivia, E., Agriculture at a Crossroads: The International Assessment of Agricultural Knowledge, Science and Technology for Development (IAASTD) Reference Source, R. T. Watson, H. R. Herren, J. Wakhungu, Eds. (Island Press, Washington, D.C., 2009); Pérez, M., Schlesinger, S., Wise, T.A., La Promesa y los Peligros de la Liberalización del Comercio Agrícola: Lecciones de América Latina Reference Source, (Asociación de Instituciones de Promoción y Educación (AIPE), and the Global Development and Environment Institute (GDAE) of Tufts University, La Paz Bolivia, 2009); Barrett, C.B., Swallow, B.M., Fractal poverty traps (2006) World Dev, 34 (1), pp. 1-15;\nWeis, A.J., The global food economy: The battle for the future of farming Reference Source, (Zed Books, distributed by Palgrave Macmillan, London and New York, 2007); Dasgupta, P., An inquiry into well-being and destitution Reference Source, (Clarendon, Oxford, 1993); Berkes, F., Folke, C., Linking social and ecological systems Reference Source, (Cambridge University Press, Cambridge, 1998); Van Kooten, G.C., Bulte, E.H., The economics of nature: Managing biological assets Reference Source, (Malden, Blackwell, 2000); World resources 2005: The wealth of the poor-Managing ecosystems to fight poverty (World Resources Institute, Washington, D.C., 2005). Reference Source; Where is the Wealth of Nations? Measuring Capital for the 21st Century (The World Bank, Washington, 2006). Reference Source; Marenya, P.P., Barrett, C.B., State-conditional Fertilizer Yield Response on Western Kenyan Farms (2009) Am J Agr Econ, 91 (4), pp. 991-1006;\nGarcía Barrios, R., García Barrios, L.E., Environmental and technological degradation in peasant agriculture: A consequence of development in Mexico (1990) World Dev, 18 (11), pp. 1569-1585;\nOstrom, E., Paper presented at the Ford Foundation 50th Anniversary Forum, Axotla (2012), Mexico City, Mexico,; Robbins, P., Political ecology: A critical introduction Reference Source, Critical introductions to geography (Blackwell Publishing, Malden, MA, 2004); Escobar, A., Encountering Development: The Making and Unmaking of the Third World , p. ix 290. , Reference Source, Princeton studies in culture/power/history (Princeton University Press, Princeton, N.J., 1995);; Linking poverty reduction and environmental management: Policy challenges and opportunities Working Paper., (The World Bank, Washington, D.C., 2002). Reference Source; McMichael, P., A food regime genealogy (2009) J Peasant Stud, 36 (1), pp. 139-169;\nConroy, M.E., Murray, D.L., Rosset, P.M., A cautionary tale: failed US development policy in Central America Reference Source, (Lynne Rienner Publishers, Boulder, CO and London, 1996); Berdegué, J.A., Fuentealba, R., paper presented at the New Directions for Smallholder Agriculture (2011), Reference Source, Rome, Italy,; Krueger, A.O., Schiff, M., Valdés, A., Agricultural incentives in developing countries: Measuring the effect of sectoral and economywide policies (1988) World Bank Econ Rev, 2 (3), pp. 255-271;\nRural development: Sector Policy Paper Reference Source (The World Bank, Washington, DC, 1975); Araghi, F., Peasants and globalisation: political economy, rural transformation and the agrarian question , p. 336. , Reference Source, A. Haroon Akram-Lodhi, C. Kay Eds. (Routledge, London, 2008),; Otero, G., Neoliberal Globalization, NAFTA and Migration: Mexico's Loss of Food and Labor Sovereignty (2011) J Poverty, 15 (4), pp. 384-402;\nSchejtman, A., Berdegué, J.A., Florez, V., Trade and poverty in Latin America , pp. 249-322. , Reference Source, P. Giordano, Ed. (Inter-American Development Bank, Washington, D.C., 2009),; Justino, P., Litchfield, J., Whitehead, L., The impact of inequality in Latin America Working Paper 21, Reference Source; Berdegué, J.A., Schejtman, A., Chiriboga, M., Towards national and global agendas: Latin America and the Caribbean Reference Source, Background paper for the World Development Report 2008&amp;quot; (The World Bank and Rimisp-Latin American Center for Rural Development, Santiago, Chile, 2006); Modrego, F., Charnay, R., Jara, E., Small farmers in Developing Countries: Some results of household surveys data analysis Reference Source, Background paper for the World Development Report 2008&amp;quot; (The World Bank and Rimisp-Latin American Center for Rural Development, Santiago, Chile, 2006); Vandermeer, J.H., Perfecto, I., Breakfast of biodiversity: The political ecology of rain forest destruction Reference Source, (FoodFirst Books, Oakland, CA ed. 2nd, 2005); Agriculture at a crossroads: International assessment of agricultural knowledge, , science and technology for development, Reference Source;\nDeFries, R., Rudel, T.K., Uriarte, M., Deforestation driven by urban population growth and agricultural trade in the twenty-first century (2010) Nature Geosci, 3, pp. 178-181;\nThrupp, L.A., Bergeron, G., Waters, W.F., Bittersweet harvests for global supermarkets: Challenges in Latin America's agricultural export boom Reference Source, (World Resources Institute, Washington, D.C., 1995); Wright, A.L., Rethinking the Circle of Poison: The Politics of Pesticide Poisoning among Mexican Farm Workers (1986) Lat Am Perspect, 13 (4), pp. 26-59. , 11617577;\nAltieri, M.A., Rojas, A., Ecological Impacts of Chile's Neoliberal Policies, with Special Emphasis on Agroecosystems (1999) Env Dev Sustain, 1 (1), pp. 55-72;\nDonald, P.F., Biodiversity impacts of some agricultural commodity production systems (2004) Conserv Biol, 18 (1), pp. 17-38;\nLiverman, D.M., Vilas, S., Neoliberalism and the environment in Latin America (2006) Annu Rev Environ Resour, 31, pp. 327-363;\nFoley, J.A., Ramankutty, N., Brauman, K.A., Solutions for a cultivated planet (2011) Nature, 478 (7369), pp. 337-342. , 21993620;\nPerfecto, I., Vandermeer, J.H., The agroecological matrix as alternative to the land-sparing/agriculture intensification model (2010) Proc Natl Acad Sci U S A, 107 (13), pp. 5786-5791. , 20339080, 2851926;\nGibbs, K.E., Mackey, R.L., Currie, D.J., Human land use agriculture, pesticides and losses of imperiled species (2009) Diversity Distrib, 15 (2), pp. 242-253;\nPatnaik, U., Food availability and famine: a longer view (1991) J Peasant Stud, 19 (1), pp. 1-25;\nDavis, M., Late Victorian Holocausts: El Niñeo famines and the making of the Third World Reference Source, (Verso, London and New York, 2002); Waldman, A., Poor in India starve as surplus wheat rots (2002), p. A3. , The New York Times, Reference Source; Rudel, T.K., Schneider, L., Uriarte, M., Agricultural intensification and changes in cultivated areas, 1970-2005 (2009) Proc Natl Acad Sci U S A, 106 (49), pp. 20675-20680. , 19955435, 2791618;\nEwers, R.M., Scharlemann, J.P.W., Balmford, A., Do increases in agricultural yield spare land for nature? (2009) Glob Change Biol, 15 (7), pp. 1716-1726;\nSen, A., Poverty and famines: an essay on entitlement and deprivation 1981, , (Oxford University Press, Oxford, UK,);\nSmith, L.C., El Obeid, A.E., Jensen, H.H., The geography and causes of food insecurity in developing countries (2000) Agr Econ, 22 (2), pp. 199-215;\nDas, R.J., The Green Revolution and poverty: A theoretical and empirical examination of the relation between technology and society (2002) Geoforum, 33 (1), pp. 55-72;\nBorras, S.M., Franco, J.C., Global Land Grabbing and Trajectories of Agrarian Change: A Preliminary Analysis (2012) Journal of Agrarian Change, 12 (1), pp. 34-59;\nOstrom, E., Nagendra, H., Insights on linking forests, trees, and people from the air on the ground, and in the laboratory (2006) Proc Natl Acad Sci U S A, 103 (51), pp. 19224-19231. , 17088538, 1838564;\nChiriboga, M., El desarrollo sostenible en el Medio Rural Reference Source, L. Martínez, Ed. (FLASCO, Quito, Ecuador, 1999); World development report 2008: Agriculture for development ; Holt-Giménez, E., Out of AGRA: The Green Revolution returns to Africa (2008) Development, 51, pp. 464-471;\nMoseley, W.G., Carney, J., Becker, L., Neoliberal policy, rural livelihoods, and urban food security in West Africa: A comparative study of The Gambia, Côte d'Ivoire, and Mali (2010) Proc Natl Acad Sci U S A, 107 (13), pp. 5774-5779. , 20339079, 2851933;\nBuckland, J., International Obstacles to Rural Development: How Neoliberal Policies Constrain Competitive Markets and Sustainable Agriculture (2006) Rev Can Etud Dev, 27 (1), pp. 9-24;\nDe Young, R., Princen, T., The localization reader: Adapting to the coming downshift , pp. 17-26. , Reference Source, R. De Young, T. Princen, Eds. (MIT Press, Cambridge, MA, 2012),; Prugh, T., Costanza, R., Daly, H.E., The local politics of global sustainability , pp. 16-173. , Reference Source, (Island Press, Washington, D.C., 2000),; Marsden, T., Third natures? Reconstituting Space through Place-making strategies for sustainability (2012) Int J Sociol Agr Food, 19 (2), pp. 257-274. , Reference Source;\nLyson, T.A., Torres, R.J., Welsh, R., Scale of agricultural production, civic engagement, and community welfare (2001) Soc Forces, 80 (1), pp. 311-327;\nLeite, S., Heredia, B., Medeiros, L., Impactos dos Assentamentos: Um estudo sobre o meio rural brasileiro Reference Source, (Editora UNESP, São Paulo, 2004); Goldschmidt, W., As you sow: three studies in the social consequences of agribusiness Reference Source, (Allenheld, Osmun, New York, 1978); Bodley, J.H., The power of scale: A global history approach Reference Source, (M.E. Sharpe, Armonk, N.Y., 2003); Patel, R.C., The value of nothing: How to reshape market society and redefine democracy Reference Source, (Picador, New York, 2009); Swift, M.J., Izac, A.M.N., van Noordwijk, M., Biodiversity and ecosystem services in agricultural landscapes - are we asking the right questions? (2004) Agr Ecosyst Environ, 104 (1), pp. 113-134;\nEcosystems and Human Well-Being: Current State and Trends: Findings of the Condition and Trends Working Group Reference Source. (Island Press, Washington, D.C., 2005); Thrupp, L.A., Linking agricultural biodiversity and food security: the valuable role of agrobiodiversity for sustainable agriculture (2000) Int Aff, 76 (2), pp. 265-281. , 18383639;\nRemans, R., Flynn, D.F.B., DeClerck, F., Sustainable diets and biodiversity: Directions and solutions for policy, research and action , pp. 134-149. , Reference Source, B. Burlingame, S. Dernini, Eds. (Food and Agriculture Organization of the United Nations, Rome, Italy, 2010),; Gold, K., McBurney, R.P.H., Sustainable diets and biodiversity: Directions and solutions for policy, research and action , pp. 108-114. , Reference Source, B. Burlingame, S. Dernini, Eds. (Food and Agriculture Organization of the United Nations, Rome, Italy, 2010),; Hooper, D.U., Chapin, F.S., Ewel, J.J., Effects of biodiversity on ecosystem functioning: a consensus of current knowledge (2005) Ecol Monogr, 75 (1), pp. 3-35;\nJarvis, D., Brown, A.H., Cuong, P.H., A global perspective of the richness and evenness of traditional crop-variety diversity maintained by farming communities (2008) Proc Natl Acad Sci U S A, 105 (14), pp. 5326-5331. , 18362337, 2291090;\nEasterling, W., Apps, M., Assessing the Consequences of Climate Change for Food and forest Resources: A View from the IPCC (2005) Climatic Change, 70 (1-2), pp. 165-189;\nBeg, N., Morlota, J.C., Davidson, O., Linkages between climate change and sustainable development (2002) Climate Pol, 2 (2-3), pp. 129-144;\nKassam, K., Pluralism, Resilience, and the Ecology of Survival: Case Studies from the Pamir Mountains of Afghanistan (2010) Ecol Soc, 15 (2). , Reference Source;\nMcLaughlin, P., Dietz, T., Structure, agency and environment: Toward an integrated perspective on vulnerability (2008) Global Environ Chang, 18 (1), pp. 99-111;\nTomich, T.P., Brodt, S., Ferris, H., Agroecology: A Review from a Global-Change Perspective (2011) Annu Rev Environ Resour, 36, pp. 193-222;\nMcDowell, J.Z., Hess, J.J., Accessing adaptation: Multiple stressors on livelihoods in the Bolivian highlands under a changing climate (2012) Global Environ Chang, 22 (2), pp. 342-352;\nLin, B.B., Resilience in Agriculture through Crop Diversification: Adaptive Management for Environmental Change (2011) Bioscience, 61 (3), pp. 183-193;\nDorsey, B., Agricultural Intensification, Diversification, and Commercial Production among Smallholder Coffee Growers in Central Kenya (1999) Econ Geogr, 75 (2), pp. 178-195;\nKasem, S., Thapa, G.B., Crop diversification in Thailand: Status, determinants, and effects on income and use of inputs (2011) Land Use Policy, 28 (3), pp. 618-628;\nGomiero, T., Pimentel, D., Paoletti, M.G., Environmental Impact of Different Agricultural Management Practices: Conventional vs. Organic Agriculture (2011) Crit Rev Plant Sci, 30 (1-2), pp. 95-124;\nPaoletti, M.G., Pimentel, D., Stinner, B.R., Agroecosystem biodiversity: Matching production and conservation biology (1992) Agr Ecosyst Environ, 40 (1-4), pp. 3-23;\nSchönning, M., Richardsdotter-Dirke, M., &amp;quot;Ekologiskt och konventionellt jordbruk: skillnader i biologisk mångfald och livsmedelskvalitet. En litteraturöversikt (Organic and conventional agriculture: differences in biodiversity and food quality: A literature review)&amp;quot; Rapport 9304, Reference Source; Bengtsson, J., Ahnström, J., Weibull, A.C., The effects of organic agriculture on biodiversity and abundance: a meta-analysis (2005) J Appl Ecol, 42 (2), pp. 261-269;\nScherr, S.J., McNeely, J.A., Biodiversity conservation and agricultural sustainability: Towards a new paradigm of 'ecoagriculture' landscapes (2008) Philos Trans R Soc Lond B Biol Sci, 363 (1491), pp. 477-494. , 17652072, 2610165;\nPywell, R.F., Heard, M.S., Bradbury, R.B., Wildlife-friendly farming benefits rare birds, bees and plants (2012) Biol Lett, 8 (5), pp. 772-775. , 22675140, 3440986;\nKremen, C., Miles, A.F., Comparing biologically diversified with conventional farming systems: What is known about environmental benefits, externalities and tradeoffs among crop productivity and ecosystem services? (2012) Ecol Soc, 17, p. 40;\nAltieri, M.A., The ecological role of biodiversity in agroecosystems (1999) Agr Ecosyst Environ, 74 (1-3), pp. 19-31. , Reference Source;\nTscharntke, T., Klein, A.M., Kruess, A., Landscape perspectives on agricultural intensification and biodiversity-ecosystem service management (2005) Ecol Lett, 8 (8), pp. 857-874;\nVandermeer, J.H., Lawrence, D., Symstad, A., Biodiversity and ecosystem functioning: Synthesis and perspectives , pp. 221-236. , M. Loreau, S. Naeem, P. Inchausti, Eds. (Oxford University Press, Oxford, 2002),; Gabriel, D., Sait, S.M., Hodgson, J.A., Scale matters: the impact of organic farming on biodiversity at different spatial scales (2010) Ecol Lett, 13 (7), pp. 858-869. , 20482572;\nBalmford, A., Green, R.E., Scharlemann, J.P.W., Sparing land for nature: Exploring the potential impact of changes in agricultural yield on the area needed for crop production (2005) Glob Change Biol, 11 (10), pp. 1594-1605;\nPfiffner, L., Häring, A., Dabbert, S., Organic Food and Farming: Towards Partnership and Action in Europe , pp. 115-123. , (Dänish Ministry for Food, Agriculture and Fisheries, Copenhagen, Denmark, 2001),; Fuller, R.J., Norton, L.R., Feber, R.E., Benefits of organic farming to biodiversity vary among taxa (2005) Biol Lett, 1 (4), pp. 431-434. , 17148225, 1626368;\nHole, D.G., Perkins, A.J., Wilson, J.D., Does organic farming benefit biodiversity? (2005) Biol Cons, 122 (1), pp. 113-130;\nGibson, R.H., Pearce, S., Morris, R.J., Plant diversity and land use under organic and conventional agriculture: a whole-farm approach (2007) J Appl Ecol, 44 (4), pp. 792-803;\nLynch, D.H., Halberg, N., Bhatta, G.D., Environmental impacts of organic agriculture in temperate regions (2012) CAB Reviews: Perspectives in Agriculture, Veterinary Science, Nutrition, and Natural Resources, 7 (10), pp. 1-17;\nMondelaers, K., Aertsens, J., van Huylenbroeck, G., A meta-analysis of the differences in environmental impacts between organic and conventional farming (2009) British Food J, 111 (10), pp. 1098-1119;\nWinqvist, C., Ahnström, J., Bengtsson, J., Effects of organic farming on biodiversity and ecosystem services: taking landscape complexity into account (2012) Ann NY Acad Sci, 1249, pp. 191-203. , 22335471;\nKleijn, D., Baquero, R.A., Clough, Y., Mixed biodiversity benefits of agri-environment schemes in five European countries (2006) Ecol Lett, 9 (3), pp. 243-254. , 16958888;\nDavey, C.M., Vickery, J.A., Boatman, N.D., Assessing the impact of Entry Level Stewardship on lowland farmland birds in England (2010) Ibis, 152 (3), pp. 459-474;\nFahrig, L., Baudry, J., Brotons, L., Functional landscape heterogeneity and animal biodiversity in agricultural landscapes (2011) Ecol Lett, 14 (2), pp. 101-112. , 21087380;\nBenton, T.G., Vickery, J.A., Wilson, J.D., Farmland biodiversity: Is habitat heterogeneity the key? (2003) Trends in Ecology and Evolution, 18 (4), pp. 182-188;\nPurtauf, T., Roschewitz, I., Dauber, J., Landscape context of organic and conventional farms: Influences on carabid beetle diversity (2005) Agr Ecosyst Environ, 108 (2), pp. 165-174;\nSchmidt, M.H., Roschewitz, I., Thies, C., Differential effects of landscape and management on diversity and density of ground-dwelling farmland spiders (2005) J Appl Ecol, 42 (2), pp. 281-287;\nRundlöf, M., Smith, H.G., The effect of organic farming on butterfly diversity depends on landscape context (2006) J Appl Ecol, 43 (6), pp. 1121-1127;\nLe Roux, X., Barbault, R., Baudry, J., Agriculture et biodiversité. Valoriser les synergies Reference Source, Expertise scientifique collective, synthèse du rapport. (INRA, Paris, 2008); Norton, L., Johnsonb, P., Joys, A., Consequences of organic and non-rganic farming practices for field, farm and landscape complexity (2009) Agr Ecosyst Environ, 129 (1-3), pp. 221-227;\nMendenhall, C.D., Ehrlich, P.R., Daily, G.C., Predictive model for sustaining biodiversity in tropical countryside (2011) Proc Natl Acad Sci U S A, 108 (39), pp. 16313-16316. , 21911396, 3182680;\nKarp, D.S., Rominger, A.J., Zook, J., Intensive agriculture erodes β-iversity at large scales (2012) Ecol Lett, 15 (9), pp. 963-970. , 22727063;\nBelfrage, K., Johanna, B., Salomonsson, L., The Effects of Farm Size and Organic Farming on Diversity of Birds, Pollinators, and Plants in a Swedish Landscape (2005) Ambio, 34 (8), p. 582. , 16521832;\nBaudry, J., Bunce, R.G.H., Land abandonment and its role in conservation: Proceedings of the Zaragoza/Spain seminar 10-2 December 1989,. (CIHEAM, Paris, 1989); Sirami, C., Brotons, L., Martin, J.L.","publisher":"Faculty of 1000 Ltd","publisher-place":"Institute for Agriculture and Trade Policy, Minneapolis, MN  55404, United States","title":"Food sovereignty: An alternative paradigm for poverty reduction and biodiversity conservation in Latin America","type":"article-journal","volume":"2"},"uris":["http://www.mendeley.com/documents/?uuid=0c0b5a25-6d2c-4e48-84f2-b0b52dfd8364"]},{"id":"ITEM-2","itemData":{"DOI":"10.1007/s10806-016-9604-0","ISSN":"11877863 (ISSN)","abstract":"Although most studies on the Fair Trade initiative are, to some extent, cognizant of its contribution to environmental sustainability, what the environmental aspect means to Fair Trade has not yet been explored fully. A review of environmental issues in the Fair Trade literature suggests that Fair Trade might influence participant producers’ farming practices even if it does not directly impact natural resources. This paper attempts to interpret Fair Trade certification as an intermediary institution that links two significant objectives of rural development in the global South—environmental conservation and poverty reduction. This theoretical concept is examined in different real settings by observing four cases of Southern small farmer groups involved in the Fair Trade initiative. Findings from these case studies imply that if Fair Trade certification ensures tangible benefits for small farmers, it can not only help such disadvantaged farmers but also work as an approach for natural resource management. © 2016, Springer Science+Business Media Dordrecht.","author":[{"dropping-particle":"","family":"Makita","given":"R","non-dropping-particle":"","parse-names":false,"suffix":""}],"container-title":"Journal of Agricultural and Environmental Ethics","id":"ITEM-2","issue":"2","issued":{"date-parts":[["2016"]]},"language":"English","note":"Cited By :6\n\nExport Date: 3 March 2021\n\nCorrespondence Address: Makita, R.; Graduate School of Social Design Studies, Japan; email: makita.rie@gmail.com\n\nFunding details: Japan Society for the Promotion of Science, JSPS, 15K07636, 26301020\n\nReferences: Adams, W.A., Aveling, R., Brockington, D., Dickson, B., Biodiversity conservation and the eradication of poverty (2010) The Earthscan reader in poverty and biodiversity conservation, pp. 18-26. , Roe D, Elliott J, (eds), Routledge, London; \nAsian Development Bank (ADB), (2009) Poverty in the Philippines: Causes, constraints and opportunities, , ADB, Manila;\nBachmann, F., Potential and limitations of organic and fair trade cotton for improving livelihoods of small holders: Evidence from Central Asia (2011) Renewable Agriculture and Food Systems, 27 (2), pp. 138-147;\nBalineau, G., Disentangling the effects of fair trade on the quality of Malian cotton (2013) World Development, 44, pp. 241-255;\nBassett, T.J., Slim pickings: Fairtrade cotton in West Africa (2010) Geoforum, 41 (1), pp. 44-55;\nBilling, M.S., Syrup in the wheels of progress”: The inefficient organisation of the Philippine sugar industry (1993) Journal of Southeast Asian Studies, 24 (1), pp. 122-147;\nBlackman, A., Rivera, J., Producer-level benefits of sustainability certification (2011) Conservation Biology, 25 (6), pp. 1176-1185;\nElder, S.D., Zerriffi, H., Le Billon, P., Is Fairtrade certification greening agricultural practices? An analysis of Fairtrade environmental standards in Rwanda (2013) Journal of Rural Studies, 32, pp. 264-274;\nEyhorn, F., (2007) Organic farming for sustainable livelihoods in developing countries?: The case of cotton in India, , Vdf Hochschulverlag AG an der ETH, Zurich;\nFrundt, H.J., (2009) Fair bananas!: Farmers, workers, and consumers strive to change an industry, , The University of Arizona Press, Tucson;\nGomez Tovar, L., Martin, L., Gomez Cruz, M.A., Mutersbaugh, T., Certified organic agriculture in Mexico: Market connections and certification practices in large and small producers (2005) Journal of Rural Studies, 21 (4), pp. 461-474;\nHerring, R.J., Miracle seeds, suicide seeds, and the poor: GMOs, NGOs, farmers and the state (2005) Social movements in India, pp. 203-232. , Ray R, Katzenstein MF, (eds), Rowman &amp;amp; Littlefield Publishers, New York;\nHudson, I., Hudson, M., Removing the veil? Commodity fetishism, Fair Trade, and the environment (2003) Organization &amp;amp; Environment, 16 (4), pp. 413-430;\nHudson, M., Hudson, I., Justice, sustainability, and the Fair Trade movement: A case study of coffee production in Chiapas (2004) Social Justice, 31 (3), pp. 130-146;\nInternational Federation of Organic Agriculture Movements (IFOAM), (2007) The IFOAM basic standards for organic production and processing (version 2005), , IFOAM, Bonn;\nJaffee, D., (2007) Brewing justice: Fair trade coffee, sustainability and survival, , University of California Press, Berkeley;\nJaffee, D., ‘Better, but not great’: The social and environmental benefits and limitations of Fair Trade for indigenous coffee producers in Oaxaca, Mexico (2008) The impact of Fair Trade, pp. 195-222. , Ruben R, (ed), Wageningen Academic Publishers, Wageningen;\nLeach, M., Mearns, R., Scoones, I., Environmental entitlements: Dynamics and institutions in community-based natural resource management (1999) World Development, 27 (2), pp. 225-247;\nLewin, B., Giovannucci, D., Varangis, P., (2004) Coffee markets: New paradigms in global supply and demand (Agriculture and Rural Development Discussion Paper 3), , Washington, DC: World Bank;\nMakita, R., A confluence of Fair Trade and organic agriculture in southern India (2011) Development in Practice, 21 (2), pp. 205-217;\nMakita, R., Fair Trade and organic initiatives confronted with Bt cotton in Andhra Pradesh, India: A paradox (2012) Geoforum, 43 (6), pp. 1232-1241;\nMakita, R. (forthcoming). Livelihood diversification with certification-supported farming: The case of land reform beneficiaries in the Philippines. Asia Pacific Viewpoint; Melo, C.J., Wolf, S.A., Ecocertification of Ecuadorian bananas: Prospects for progressive North–South linkages (2007) Studies in Comparative International Development, 42 (3-4), pp. 256-278;\nMendez, V.M., Bacon, C.M., Olson, M., Petchers, S., Herrador, D., Carranza, C., Effects of Fair Trade and organic certifications on small-scale coffee farmer households in Central America and Mexico (2010) Renewable Agriculture and Food Systems, 25 (3), pp. 236-251;\nNarayanamoorthy, A., Kalamkar, S.S., Is Bt cotton cultivation economically viable for Indian farmers?: An empirical analysis (2006) Economic and Political Weekly, 41 (26), pp. 2716-2724;\nPatil, R.R., An investigative report on circumstances leading to death among Indian cotton farmers (2002) International Journal of Occupational Medicine and Environmental Health, 15 (4), pp. 405-407;\nPaul, E., Evaluating fair trade as a development project: Methodological considerations (2005) Development in Practice, 15 (2), pp. 134-150;\nPhilpott, S.M., Bichier, P., Rice, R., Greenberg, R., Field-testing ecological and economic benefits of coffee certification programs (2007) Conservation Biology, 21 (4), pp. 975-985;\nQaim, M., Benefits of genetically modified crops for the poor: Household income, nutrition, and health (2010) New Technology, 27 (5), pp. 552-557;\nRaynolds, L.T., Fair Trade flowers: Global certification environmental sustainability, and labor standards (2012) Rural Sociology, 77 (4), pp. 493-519;\nRonchi, L., The impact of fair trade on producers and their organizations: A case study with Coocafe in Costa Rica (PRUS Working Paper No. 11) (2002) Brighton, , Poverty Research Unit: University of Sussex;\nSanderson, S., Poverty and conservation: The new century’s ‘Peasant Question’? (2005) World Development, 33 (2), pp. 323-332;\nSubramanian, A., Qaim, M., The impact of Bt cotton on poor households in rural India (2010) Journal of Development Studies, 46 (2), pp. 295-311;\nTaylor, P.L., (2002) Poverty alleviation through participation in Fair Trade coffee networks: Synthesis of case study research question findings (Report prepared for Project funded by the Community and Resource Development Program), , New York, NY: The Ford Foundation;\nUtting, K., Assessing the impact of Fair Trade coffee: Towards an integrative framework (2009) Journal of Business Ethics, 86 (1), pp. 127-149;\nValkila, J., Fair Trade organic coffee production in Nicaragua—Sustainable development or a poverty trap? (2009) Ecological Economics, 68 (12), pp. 3018-3025;\nWorld Bank, (2009) Land reform, rural development and poverty in the Philippines: Revising the agenda, , World Bank, Pasig City;\nWorld Commission on Environment and Development (WCED), (1987) Our common future, , Oxford University Press, Oxford;\nA charter of fair trade principles. Retrieved December 30, 2015 (2009) from, , http://wfto.com/fair-trade/charter-fair-trade-principles","page":"185-201","publisher":"Springer Netherlands","publisher-place":"Graduate School of Social Design Studies, Rikkyo University, Toshima-ku, Tokyo, Japan","title":"A Role of Fair Trade Certification for Environmental Sustainability","type":"article-journal","volume":"29"},"uris":["http://www.mendeley.com/documents/?uuid=10e4fe52-05c9-4195-8873-ddb1ab75330a"]},{"id":"ITEM-3","itemData":{"DOI":"10.1111/jwip.12102","ISSN":"14222213 (ISSN)","abstract":"The difficulties that stakeholders face in accessing plant genetic resources have been a concern of many scholars since the introduction of intellectual property rights. One of these issues is that of access, which is mostly approached from a rights perspective. Here it is argued that such a rights perspective limits a critical reflection on the possibilities for enhancing accessibility to the Plant Genetic Resources (PGRs) on three grounds and to go beyond this limitation, we introduce an ability perspective. The ability perspective brings into focus how farmers organise their access to PGRs and is researched in four PGRs conservation banks in India; one ex situ and three in situ. An informal system of conservation (in situ) and sharing through informal networks is found to provide better access mechanisms for the small and marginal farmers in India, while access to conserved resources stored at the three in situ banks created biosocial relations and biosocial commons. However, each case studied had certain disadvantages in respect of granting access to the farmers, so additional mechanisms to facilitate better access to the conserved resources are suggested. © 2018 The Authors. The Journal of World Intellectual Property Published by John Wiley &amp; Sons Ltd","author":[{"dropping-particle":"","family":"Patnaik","given":"A","non-dropping-particle":"","parse-names":false,"suffix":""},{"dropping-particle":"","family":"Jongerden","given":"J","non-dropping-particle":"","parse-names":false,"suffix":""},{"dropping-particle":"","family":"Ruivenkamp","given":"G","non-dropping-particle":"","parse-names":false,"suffix":""}],"container-title":"Journal of World Intellectual Property","id":"ITEM-3","issue":"3-4","issued":{"date-parts":[["2018"]]},"language":"English","note":"Cited By :1\n\nExport Date: 3 March 2021\n\nCorrespondence Address: Patnaik, A.; Sociology and Anthropology of Development, Netherlands; email: patnaik.sai@gmail.com\n\nFunding details: Nederlandse Organisatie voor Wetenschappelijk Onderzoek, NWO\n\nFunding details: Nederlandse Organisatie voor Wetenschappelijk Onderzoek, NWO\n\nFunding details: Nederlandse Organisatie voor Wetenschappelijk Onderzoek, NWO\n\nFunding details: European Commission, EC\n\nFunding details: Nederlandse Organisatie voor Wetenschappelijk Onderzoek, NWO\n\nFunding text 1: The first author would like to thank CRRI, DDS, LSP and Sambhav for accommodating the needs of this research. The fieldwork and research was conducted as part of The Netherlands Organisation for Scientific Research (NWO) WOTRO funded project.\n\nFunding text 2: Archana Patnaik, completed her PhD at Sociology and Anthropology of Development, Wageningen University in the Netherlands. She was awarded The Netherlands Organisation for Scientific Research (NWO)-WOTRO (Science for Global Development) PhD fellowship in 2010. During February 2009–2010 she worked as research assistant under the research scheme entitled ‘Science, Ethics and Technological Responsibility in Developing and Emerging Countries’ supported by the European Commission (EC), Department of Sociology, University of Hyderabad. Her research interest include areas of Sociology of Science and Technology, Sociology of Gender and Sociology of Development. She is currently working as an Assistant Professor (Sociology) in the KIIT School of Law, Bhubaneswar. Recent publication: Patnaik A, Jongerden J and Ruivenkamp G. (2016) Repossession through sharing of and access to seeds: different cases and practices. International Review of Sociology, 27(1): 179–201.\n\nReferences: Assadi, M., Globalisation and the state: Interrogating the farmers’ movement in India (2002) Journal of Social and Economic Development, 4 (1), pp. 42-54; \nBains, S., Singh, S., Dhillon, B., Enhanced utilization of plant genetic resources in crop improvement programmes (2012) Indian Journal of Plant Genetic Resources, 25 (1), pp. 52-62;\nBlaikie, P., (1985) The political economy of soil erosion in developing countries, , London, Longman;\n(2011), Central Rice Research Institute (, CRRI Annual Report 2010–11, Cuttack, India Central Rice Research Institute, Indian Council of Agricultural Research; (2012), Central Rice Research Institute (, CRRI Annual Report 2011–12, Cuttack, India Central Rice Research Institute; (2013), Central Rice Research Institute (, CRRI Annual Report 2012–13, Cuttack, India Central Rice Research Institute; (2014), Central Rice Research Institute (, CRRI Annual Report 2013–14, Cuttack, India Central Rice Research Institute; (2014), http://cintdis.org/wpcontent/uploads/2014/04/SeedFestReport.pdf, Centre for Interdisciplinary Studies (,). Pro Seed Now. Biodiversity and Organic Food Festival. Retrieved from; Chatterjee, D., Human rights violations in India: Exploring the societal roots of marginality (2012) Human rights and the third world: Issues and discourses, pp. 165-178. , S. S. Bagchi,, &amp;amp;, A. Das, (Eds.),, United Kingdom, Lexington Books;\nDeibel, E., Open variety rights: Rethinking the commodification of plants (2013) Journal of Agrarian Change, 13 (2), pp. 282-309;\nDeibel, E., Open Genetic Code: On open source in the life sciences (2014) Life Sciences, Society and Policy, 10 (1), pp. 1-23;\nEsquinas-Alcázar, J., Protecting crop genetic diversity for food security: Political, ethical and technical challenges (2005) Nature Reviews Genetics, 6 (12), pp. 946-953;\nEyzaguirre, P.B., Dennis, E.M., The impacts of collective action and property rights on plant genetic resources (2007) World Development, 35 (9), pp. 1489-1498;\nGale, T., Critical policy sociology: Historiography, archaeology and genealogy as methods of policy analysis (2001) Journal of Education Policy, 16 (5), pp. 379-393;\nGarde, T.V., India (2009) Intellectual property in Asia: Law, economics, history and politics, pp. 55-86. , P. Goldstein,, &amp;amp;, J. Straus,, (Eds.),, Berlin, Springer;\nGhani, A., (1995), . Production and Reproduction of Property as a Bundle of Powers Afghanistan 1774–1901. Draft discussion paper in, Agrarian Studies Program, New Haven Yale University; (2011), http://www.greengrants.org/2011/11/02/a-retired-teacher-seeds-organic-farming-in-india/, Global Green Grants Fund (, November 2). A Retired Teacher Seeds Organic Farming in India. Retrieved from; Guha, R., Radical american environmentalism and wilderness preservation (1989) Environmental Ethics, 11 (1), pp. 71-83;\nKloppenburg, J., Impeding dispossession, enabling repossession: Biological open source and the recovery of seed sovereignty (2010) Journal of Agrarian Change, 10 (3), pp. 367-388;\nKloppenburg, J., Re-purposing the master's tools: The open source seed initiative and the struggle for seed sovereignty (2014) The Journal of Peasant Studies, 41 (6), pp. 1225-1246. , https://doi.org/10.1080/03066150.2013.875897;\nKumbamu, A., The Agri-food Sector's Response to the Triple Crisis: Sustaining local social initiatives in Andhra Pradesh, India (2012) Development, 55 (1), pp. 104-111. , https://doi.org/10.1057/dev.2011.101;\nMcCay, B.J., Acheson, J.M., Human ecology of the commons (1987) The question of the commons: The culture and ecology of communal resources, pp. 1-36. , B. J. McCay,, (Ed.),, Tuscon, The University of Arizona Press;\nNightingale, A.J., Beyond design principles: Subjectivity, emotion, and the (Ir) rational commons (2011) Society and Natural Resources, 24 (2), pp. 119-132. , https://doi.org/10.1080/08941920903278160;\nPatnaik, A., (2016) Seeds as biosocial commons: An analysis of various practices in India. (PhD Thesis), pp. 126-145. , Wageningen, Wageningen University;\nPatnaik, A., Jongerden, J., Ruivenkamp, G., Repossession through sharing of and access to seeds: Different cases and practices (2016) International Review of Sociology, 27 (1), pp. 179-201. , https://doi.org/10.1080/03906701.2016.1235213;\nPeluso, N.L., (1992) Rich forests, poor people: Resource control and resistance in Java, , Berkeley, University of California Press;\nRagavan, S., Of the Inequals of the Uruguay Round (2006) Marquette Intellectual Property Law Review, 10 (2), pp. 273-304;\nRamanna, A., Smale, M., Rights and Access to Plant Genetic Resources under India's New Law (2004) Development Policy Review, 22 (4), pp. 423-442;\nRibot, J.C., Peluso, N.L., A theory of access (2003) Rural Sociology, 68 (2), pp. 153-181;\nRoa-Rodríguez, C., van Dooren, T., Shifting common spaces of plant genetic resources in the International Regulation of Property (2008) The Journal of World Intellectual Property, 11 (3), pp. 176-202. , https://doi.org/10.1111/j.1747-1796.2008.00342.x;\nSahu, D., (2012), http://www.newindianexpress.com/education/edex/2012/jul/02/life-changing-odyssey-382534.html, . Life-changing Odyssey., The New Indian Express, Retrieved from; Satheesh, P.V., Linking to community development: Using participatory approaches to in situ conservation (2000) Participatory approaches to the con-servation and use of plant genetic resources, pp. 181-187. , B. Sthapit, (Ed.),, Rome, Italy, International Plant Genetic Resources Institute;\nShiva, V., North-South Conflicts in Intellectual Property Rights (2000) Peace Review, 12 (4), pp. 501-508;\nShiva, V., (2001) Protect or plunder?: Understanding intellectual property rights, , Zed Books, London;\nShiva, V., (2005) Earth democracy: Justice, sustainability and peace, , Zed Books, London;\nShrestha, P., Subedi, A., Rijal, D., Singh, D., Sthapit, B.R., Upadhyay, M.P., Enhancing local seed security and on-farm conservation through community seed bank in Bara district of Nepal (2005) On-farm conservation of agricultural biodiversity in Nepal, Vol. 2 Managing diversity and promoting its benefits, pp. 70-76. , B. R. Sthapit, M. P. Upadhyay, P. K. Shrestha, D. I. Jarvis, (Eds.),,). Proceedings of the second national workshop, Nagarkot, Kathmandu, 25-27th August 2004, IPGRI;\nSikor, T., Lund, C., Access and property: A question of power and authority (2009) Development and Change, 40 (1), pp. 1-22;\nSrinivas, K.R., Intellectual property rights and bio commons: Open source and beyond (2006) International Social Science Journal, 58 (188), pp. 319-334;\nvan Dooren, T., Banking seed: Use and value in the conservation of agricultural diversity (2009) Science as Culture, 18 (4), pp. 373-395. , https://doi.org/10.1080/09505430902873975;\nWood, C.H., Schmink, M., The ‘political ecology’ of Amazonia (1987) Lands at risk in the Third World: Local-level perspectives, pp. 38-57. , P. D. Little, M. M. Horowitz,, &amp;amp;, A. E. Nyerges, (Eds.),, CO, Westview Press","page":"157-175","publisher":"Blackwell Publishing Ltd","publisher-place":"Sociology and Anthropology of Development, Wageningen University, Wageningen, Netherlands","title":"Rights or ability: Access to plant genetic resources in India","type":"article-journal","volume":"21"},"uris":["http://www.mendeley.com/documents/?uuid=e1886d4f-04ff-43a0-a7d6-fbe17da95903"]}],"mendeley":{"formattedCitation":"(Chappell &lt;i&gt;et al.&lt;/i&gt;, 2013; Makita, 2016; Patnaik, Jongerden and Ruivenkamp, 2018)","plainTextFormattedCitation":"(Chappell et al., 2013; Makita, 2016; Patnaik, Jongerden and Ruivenkamp, 2018)","previouslyFormattedCitation":"(Chappell &lt;i&gt;et al.&lt;/i&gt;, 2013; Makita, 2016; Patnaik, Jongerden and Ruivenkamp, 2018)"},"properties":{"noteIndex":0},"schema":"https://github.com/citation-style-language/schema/raw/master/csl-citation.json"}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 xml:space="preserve">(Chappell </w:t>
      </w:r>
      <w:r w:rsidR="0037337F" w:rsidRPr="0037337F">
        <w:rPr>
          <w:rFonts w:ascii="Times New Roman" w:hAnsi="Times New Roman" w:cs="Times New Roman"/>
          <w:i/>
          <w:noProof/>
          <w:sz w:val="24"/>
          <w:szCs w:val="24"/>
        </w:rPr>
        <w:t>et al.</w:t>
      </w:r>
      <w:r w:rsidR="0037337F" w:rsidRPr="0037337F">
        <w:rPr>
          <w:rFonts w:ascii="Times New Roman" w:hAnsi="Times New Roman" w:cs="Times New Roman"/>
          <w:noProof/>
          <w:sz w:val="24"/>
          <w:szCs w:val="24"/>
        </w:rPr>
        <w:t>, 2013; Makita, 2016; Patnaik, Jongerden and Ruivenkamp, 2018)</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In general, conservation issues are initiated by a group of environmental activists, academics, and local farmers</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{"citationItems":[{"id":"ITEM-1","itemData":{"ISSN":"00416436 (ISSN)","abstract":"A discussion with regards on how the governance mechanisms can ensure that small farmers and communities in rural areas do not lose out from the implementation of biofuel schemes has been presented. Sustainable development will be playing a key role as it will be the one to manage things in time and space that will result in changes from interactions among ecological, economic and socio-political factors. Achieving biofuel development requires some approaches and instruments that will be based on their mandatory or voluntary character as well as the scale of their application. As for the government's role on supporting such sustainable biofuel development, they need to: provide an overall strategic vision for biofuel development; develop a series of policies related to biofuel development; and to provide the needed guidance to such needing areas.","author":[{"dropping-particle":"","family":"Dubois","given":"O","non-dropping-particle":"","parse-names":false,"suffix":""}],"container-title":"Unasylva","id":"ITEM-1","issue":"230","issued":{"date-parts":[["2008"]]},"language":"English","note":"Cited By :4\n\nExport Date: 3 March 2021\n\nCorrespondence Address: Dubois, O.; Climate Change and Bioenergy Division, , Rome, Italy\n\nReferences: Abramovay, R., Magalhães, R., (2007) The access of family farmers to biodiesel markets: Partnerships between big companies and social movements, , Www.regoverningmarkets.org/en/global/innovative</w:instrText>
      </w:r>
      <w:r w:rsidR="008A7101">
        <w:rPr>
          <w:rFonts w:ascii="Cambria Math" w:hAnsi="Cambria Math" w:cs="Cambria Math"/>
          <w:sz w:val="24"/>
          <w:szCs w:val="24"/>
        </w:rPr>
        <w:instrText>∥</w:instrText>
      </w:r>
      <w:r w:rsidR="008A7101">
        <w:rPr>
          <w:rFonts w:ascii="Times New Roman" w:hAnsi="Times New Roman" w:cs="Times New Roman"/>
          <w:sz w:val="24"/>
          <w:szCs w:val="24"/>
        </w:rPr>
        <w:instrText>actice.html, São Paulo, Brazil, University of São Paolo. Available at; \nAshby, C., Carney, D., (1999) Sustainable livelihoods: Lessons from early experience, , London, UK, Department for International Development DFID;\nBass, S., Hawthorne, W., Hughes, C., (1998) Forests, biodiversity and livelihoods: Linking policy and practice. Issues paper for DFID, , London, UK;\nBass, S., Thornber, K., Markopoulos, M., Roberts, S., Grieg-Gran, M., (2001) Certification's impacts on forests, stakeholders and supply chains: Instruments for sustainable private sector forestry series, , Www.iied.org/pubs/pdf/full/9013IIED.pdf, London, UK, International Institute for Environment and Development IIED, Available at;\nChomitz, K.M., (2006) At loggerheads? Agriculture expansion, poverty reduction and environment in the tropical forests, , Washington, DC, USA, World Bank;\nDubois, O., (2003) Trade-offs between conservation and development in forestry - Setting the stage and some guiding principles, , Voluntary Paper for the XII World Forestry Congress, Quebec City, Canada, 21-28 September;\nDubois, O., Lowore, J., (2000) The journey towards collaborative forest management in Africa: Lessons learned and some navigational aids: An overview, , London, UK, IIED;\nEnergy Sector Management Assistance Program (ESMAP). 2005. Advancing biofuel for sustainable development - guidelines for policy makers and investors. 3 Vols. Washington, DC, USA, World Bank; Forsyth, T., (2005) Partnerships for technology transfer - how can investors and communities build renewable energy in Asia, , Sustainable Development Programme Briefing Paper SDPBP05/01. London, UK, Chatham House;\nFuels from Agriculture in Communal Technology (FACT) (2007) Rural electrification in Mali - Project description, , Www.factfuels.org/en/FACTΡojects/Mali, Internet document. Available at;\nMayers, J., (2005) Power Tools Series, The four Rs, , Www.policy-powertools.org/Tools/Understanding/docs/four_Rs</w:instrText>
      </w:r>
      <w:r w:rsidR="008A7101">
        <w:rPr>
          <w:rFonts w:ascii="Cambria Math" w:hAnsi="Cambria Math" w:cs="Cambria Math"/>
          <w:sz w:val="24"/>
          <w:szCs w:val="24"/>
        </w:rPr>
        <w:instrText>⊤</w:instrText>
      </w:r>
      <w:r w:rsidR="008A7101">
        <w:rPr>
          <w:rFonts w:ascii="Times New Roman" w:hAnsi="Times New Roman" w:cs="Times New Roman"/>
          <w:sz w:val="24"/>
          <w:szCs w:val="24"/>
        </w:rPr>
        <w:instrText>ol_english.pdf, London, UK, IIED. Available at;\nMayers, J., Bass, S., Macqueen, D., (2005) Power Tools Series, The pyramid: A diagnostic and planning tool for good forest governance, , Www.policy-powertools.org/Tools/Engaging/docs/pyramid</w:instrText>
      </w:r>
      <w:r w:rsidR="008A7101">
        <w:rPr>
          <w:rFonts w:ascii="Cambria Math" w:hAnsi="Cambria Math" w:cs="Cambria Math"/>
          <w:sz w:val="24"/>
          <w:szCs w:val="24"/>
        </w:rPr>
        <w:instrText>⊤</w:instrText>
      </w:r>
      <w:r w:rsidR="008A7101">
        <w:rPr>
          <w:rFonts w:ascii="Times New Roman" w:hAnsi="Times New Roman" w:cs="Times New Roman"/>
          <w:sz w:val="24"/>
          <w:szCs w:val="24"/>
        </w:rPr>
        <w:instrText>ol_english.pdf, London, UK, IIED. Available at;\n(2005) Slash-and-burn agriculture: The search for alternatives, , Palm, C.A, Vosti, S.A, Sanchez, P.A. &amp;amp; Ericksen, P.J, eds, New York, NY, USA, Columbia University Press;\nRajagopal, D., Zilberman, D., (2007) Review of environmental, economic and policy aspects of biofuels, , Policy Research Working Paper 4331. Washington, DC, USA, World Bank;\nRoundtable on Sustainable Palm Oil (RSPO), Task Force on Smallholders. 2007. RSPO principles and criteria for sustainable palm oil production. Consolidated 2nd draft: Guidance on smallholders; (2000) Biofuel primer - modernised biomass energy for sustainable development, , United Nations Development Programme UNDP, New York, NY, USA;\nUNDP. 2007. Human Development Report 2007/2008. Fighting climate change: Human solidarity in a divided world. New York, NY, USA; (2007) Sustainable biofuel: A framework for decision makers, , UN-Energy, New York, NY, USA, United Nations;\nVan Dam, J., Junginger, M., Faaij, A., Jürgens, I., Best, G., Fritsche, U., Overview of recent developments in sustainable biomass certification (2006) Paper written in the frame of International Energy Agency (IEA) Biofuel Task, 40;\nVermeulen, S., Goad, N., Towards better practice in smallholder palm oil production (2006) Natural Resource Issues Series, 5. , Www.iied.org/pubs/pdf/full/13533IIED.pdf, London, UK, IIED. Available at","page":"25-32","publisher-place":"Climate Change and Bioenergy Division, Natural Resources Management and Environment Department, FAO, Rome, Italy","title":"Making sure that biofuel development benefits small farmers and communities","type":"article-journal","volume":"59"},"uris":["http://www.mendeley.com/documents/?uuid=172e92c6-ca33-4c56-a69e-245701811e5f"]},{"id":"ITEM-2","itemData":{"DOI":"10.1016/j.biombioe.2010.07.020","ISSN":"09619534 (ISSN)","abstract":"Using a frame analytic approach, we identify and analyze the media's portrayal of the recent movement to increase U.S. biofuels' investment and development. Using a dataset comprised of New York Times articles, we examine the contested terrain of biofuels discourse as some media coverage frames biofuels as beneficial, while other reporting constructs and packages counter-claims intended to resist development and portray biofuels as problematic. We focus on both the content of frames and strategies used by media claims-makers to assemble frames. We find that the media constructed three distinct frames in their efforts to shape public discourse: economic development, environment, and national security. These frames were constructed primarily by situating them within a larger political and economic context to gain public legitimacy. In this paper we will show how, in their efforts to construct meaning around biofuels, the media draw on frames that are coded with symbolic meanings that widely resonate with dominant cultural values. © 2010.","author":[{"dropping-particle":"","family":"Wright","given":"W","non-dropping-particle":"","parse-names":false,"suffix":""},{"dropping-particle":"","family":"Reid","given":"T","non-dropping-particle":"","parse-names":false,"suffix":""}],"container-title":"Biomass and Bioenergy","id":"ITEM-2","issue":"4","issued":{"date-parts":[["2011"]]},"language":"English","note":"Cited By :49\n\nExport Date: 3 March 2021\n\nCODEN: BMSBE\n\nCorrespondence Address: Reid, T.; Department of Community, Agriculture, Recreation, and Resource Studies, 330B Natural Resources Building, East Lansing, MI 48824-1222, United States; email: wrightwy@anr.msu.edu\n\nFunding details: Michigan Agriculture Experiment Station\n\nFunding text 1: The authors grately acknowledge the thoughtful contributions of Elizabeth Ransom, Jim Bingen, Carmen Bain, Craig Harris, the editors of this special edition, and three anonymous reviewers on previous drafts of this manuscript. We would also like to acknowledge the financial support provided by the Michigan Agricultural Experiment Station . An earlier version of this paper was presented at the Agriculture, Food and Human Values annual meeting in Victoria, British Columbia, June 2007. Direct all correspondance to the first author.\n\nReferences: Brannionveu, A., For good or ill, boon in ethanol reshapes economy of heartland (2006) New York Times, 25, p. 1. , http://www.agobservatory.org/headlines.cfm%3FrefID%3D88290, Retrieved July 8, 2007; \nMooney, P.H., Democratizing rural economy: institutional friction, sustainable struggle and the cooperative movement (2004) Rural Sociol, 69, pp. 76-99;\nAltheide, D.L., (2002) Creating fear: news and the construction of crisis, , Aldine de Gruyter, New York;\nTen Eyck, T., Williment, M., The more things change...: milk pasteurization, food irradiation, and biotechnology in the New York Times (2004) Soc Sci J, 41, pp. 29-41;\nMiller, M.M., Riechert, B.P., Interest group strategies and journalistic norms (2000) Environmental risks and the media, pp. 45-54. , Taylor and Francis, Oxford, S. Allen, B. Adam, C. Carter (Eds.);\nBenford, R.D., Snow, D.A., Framing processes and social movements: an overview and assessment (2000) Annu Rev Sociol, 26, pp. 611-639;\nLin, Y., Tanaka, S., Ethanol fermentation from biomass resources: current state and prospects (2006) Appl Microbiol Biotechnol, 69 (6), pp. 627-642;\nBarnwal, B.K., Sharma, M.P., Prospects of biodiesel production from vegetable oils in India (2005) Renew Sustainable Energy Rev, 9 (4), pp. 363-378;\nGamson, W., (1992) Talking politics, , Cambridge Uni. Press, New York;\nMcCarthy, J.D., Activists, authorities, and media framing of drunk driving (1994) New social movements: from ideology to identity, pp. 133-167. , Temple Uni. Press, Philadelphia, E. Larana, H. Johnston, J. Gusfield (Eds.);\nKlandermans, B., Johnston, H., Social movements and culture (1995) Social movements, protest, and contention, 4. , Uni. MN Press, Minneapolis;\nTaylor, V., Whittier, N., Analytical approaches to social movement culture: the culture of the women's movement (1995) Social movements, protest, and contention, 4, pp. 163-187. , Uni MN Press, Minneapolis, B. Klandermans, H. Johnston (Eds.) Social movements and culture;\nColes, R.L., Peaceniks and warmongers' framing fracas on the home front: dominant and opposition discourse interaction during the Persian Gulf crisis (1998) Sociol Q, 39 (3), pp. 369-391;\nNoakes, J.A., Official frames in social movement theory: the FBI, HUAC, and the communist threat in Hollywood (2000) Sociol Q, 42 (4), pp. 657-680;\nZuo, J., Benford, S.D., Micromobilization processes and the 1989 Chinese democracy movement (1995) Sociol Q, 36, pp. 131-156;\nMooney, P.H., Hunt, S.A., Food security: the elaboration of contested claims to a consensus frame (2009) Rural Soc, 74, pp. 469-497;\nThe Michigan renaissance; the new bio-economy: ethanol plants. June 19, 2007, , http://www.michigan.gov/documents/mda/EthanolMap_186352_7.pdf, Retrieved July 21, 2007, Michigan Department of Agriculture (MDA);\nStrassel, K.A., Ethanol's bitter taste: congress is choking on corn-based fuel New York Times, 18, p. 2007. , http://www.opinionjournal.com/columnists/kstrasselpw/%3Fid%3D110010094, Retrieved September 15, 2007;\nMcClure, R., Biodiesel fuels enthusiasts vowing a 'revolution.' seattle post-Intelligencer, , http://seattlepi.nwsource.com/local/314625_biodiesel07.html, Retrieved July 14, 2007;\nMottola, D., Texas biofuels movement building momentum (2006) Austin Chron, 24. , http://www.austinchronicle.com/gyrobase/Issue/story%3Foid%3Doid%3A342021, Retrieved July 27, 2007;\nGusfield, J.R., (1981) The culture of public problems, , Uni. Chicago Press, Chicago;\nMooney, P.H., Hunt, S.A., A repertoire of interpretations: master frames and ideological continuity in U.S. agrarian mobilization (1996) Sociol Q, 37, pp. 177-197;\nCarolan, M.S., A sociological look at biofuels: ethanol in the early decades of the twentieth century and lessons for today (2009) Rural Soc, 74 (1), pp. 86-112;\nOliver, P., Johnston, H., What a good idea!: ideologies and frame alignment in social movement research (2005) Frames of protest social movements and the framing perspective, pp. 185-203. , Rowman and Littlefield, Lanham, H. Johnston, J.A. Noakes (Eds.);\nGoffman, E., (1994) Frame analysis: an essay on the organization of the experience, , Harper Colophon, New York;\nSnow, D.A., Benford, R.D., Master frames and cycles of protest (1992) Frontiers in social movement theory, pp. 133-152. , Yale Uni. Press, New Haven, A. Morris, C. McClurg Mueller (Eds.);\nMooney, P.H., (1990) The ideological constitution of agrarian social movements in the United States, , Paper presented at the annual meeting of the European Society of Rur Soc, Giessen, Germany;\nBenford, R.D., Frame disputes within the nuclear disarmament movement (1993) Soc Forces, 71, pp. 677-701;\nJohnston, H., Social movements and culture (1995) Social movements, protest, and contention, 4. , Uni. MN Press, Minneapolis;\nSwidler, A., Cultural power and social movements (1995) Social movements, protest, and contention, 4, pp. 25-40. , Uni. MN Press, Minneapolis, B. Klandermans, H. Johnston (Eds.) Social movements and culture;\nZald, M.N., Culture, ideology, and strategic framing (1996) Comparative perspectives on social movements, pp. 261-274. , Cambridge Uni. Press, New York, D. McAdam, J. McCarthy (Eds.);\nDeWulf, A., Craps, M., Dercon, G., How issues get framed and reframed when different communities meet: a multi-level analysis of a collaborative soil conservation initiative in the Ecuadorian Andes (2004) J Community Appl Soc Psychol, 14, pp. 177-192;\nNoakes, J.A., Johnston, H., Frames of protest: a road map to a perspective (2005) Frames of protest: social movements and the framing perspective, pp. 1-29. , Rowman and Littlefield, Lanham, H. Johnston, J.A. Noakes (Eds.);\nSnow, D.A., Benford, R.D., Ideology, frame resonances, and participant mobilization (1998) Int Soc Move Res, 1, pp. 197-218;\nSnow, D.A., Rochford, E.B., Worden, S.K., Benford, R.D., Frame alignment processes, micromobilization, and movement participation (1986) Am Sociol Rev, 51, pp. 464-481;\nMooney, P.H., Majka, T., (1995) Farmers' and farm workers movements: social protest in American agriculture, , Twayne, New York;\nTaylor, C.C., (1953) The farmers' movement 1620-1920, , Am Book Co, New York;\nMcCarthy, J.D., Zald, M.N., Resource mobilization and social movements: a partial theory (1976) Am J Soc, 82, pp. 1212-1241;\nLoseke, D.R., (1999) Thinking about social problems: an introduction to constructionist perspectives, , Aldine DeGruyter, New York;\nTen Eyck, T.A., Food irradiation in the news: the cultural clash of a postharvest technology (2002) Agric Human Values, 19, pp. 53-61;\nFrank, T., When bad things happen in good places: pastoralism in big-city newspaper coverage of small-town violence (2003) Rural Sociol, 68, pp. 207-230;\nHinrichs, C.C., The practice and politics of food system localization (2003) J Rural Stud, 19, pp. 33-45;\nThe world of corn, , http://www.ncga.com/WorldOfCorn/2004/WorldofCorn2004.pdf, Retrieved May 14, 2007, National Corn Growers Association (NCGA)","page":"1390-1399","publisher-place":"Department of Community, Agriculture, Recreation, and Resource Studies, Michigan State University, 330B Natural Resources Building, East Lansing, MI 48824-1222, United States","title":"Green dreams or pipe dreams?: Media framing of the U.S. biofuels movement","type":"article-journal","volume":"35"},"uris":["http://www.mendeley.com/documents/?uuid=5976e714-7620-4852-a309-29edc598cce9"]}],"mendeley":{"formattedCitation":"(Dubois, 2008; Wright and Reid, 2011)","plainTextFormattedCitation":"(Dubois, 2008; Wright and Reid, 2011)","previouslyFormattedCitation":"(Dubois, 2008; Wright and Reid, 2011)"},"properties":{"noteIndex":0},"schema":"https://github.com/citation-style-language/schema/raw/master/csl-citation.json"}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(Dubois, 2008; Wright and Reid, 2011)</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The group seeks to provide understanding to the government and farmers on environmentally-oriented agricultural land management</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 xml:space="preserve">ADDIN CSL_CITATION {"citationItems":[{"id":"ITEM-1","itemData":{"DOI":"10.1016/j.jretconser.2017.10.020","ISSN":"09696989 (ISSN)","abstract":"The study adapts the theory of planned behaviour and proposes organic food-related attributes that constitute perceived behavioural control and individual attributes influence quality assessment and purchase intention. The study analyses these relationships separately for individuals who have purchased organic food and those who have not. Data were collected in two stages and conducted in both online and face-to-face formats. The findings show that surface food attributes in general have no significant influences on either quality assessment or purchase intention for both groups of consumers; whereas the attributes that are reflective of food safety and environment issues do. The latter explain additional variance in both quality assessment and purchase intention. Consumers’ purchase styles have significant moderation effects on product quality assessment and purchase intention in both groups. Implications are provided for researchers and practitioners to conclude the paper. © 2017 Elsevier Ltd","author":[{"dropping-particle":"","family":"Prentice","given":"C","non-dropping-particle":"","parse-names":false,"suffix":""},{"dropping-particle":"","family":"Chen","given":"J","non-dropping-particle":"","parse-names":false,"suffix":""},{"dropping-particle":"","family":"Wang","given":"X","non-dropping-particle":"","parse-names":false,"suffix":""}],"container-title":"Journal of Retailing and Consumer Services","id":"ITEM-1","issued":{"date-parts":[["2019"]]},"language":"English","note":"Cited By :26\n\nExport Date: 3 March 2021\n\nCorrespondence Address: Wang, X.; School of Engineering and Information Technology, Australia; email: xuequnwang1600@gmail.com\n\nReferences: Aertsens, J., Mondelaers, K., Verbeke, W., Buysse, J., Van Huylenbroeck, G., The influence of subjective and objective knowledge on attitude, motivations and consumption of organic food (2011) Br. Food J., 113 (11), pp. 1353-1378; \nAertsens, J., Verbeke, W., Mondelaers, K., Van Huylenbroeck, G., Personal determinants of organic food consumption: a review (2009) Br. Food J., 111 (10), pp. 1140-1167;\nAiken, L.S., West, S.G., Multiple Regression: Testing and Interpreting Interactions (1991), Sage New York; Ajzen, I., The theory of planned behaviour (1991) Organ. Behav. Human. Decis. Process., 50, pp. 179-211;\nArvola, A., Vassallo, M., Dean, M., Lampila, P., Saba, A., Lähteenmäki, L., Shepherd, R., Predicting intentions to purchase organic food: the role of affective and moral attitudes in the Theory of Planned Behaviour (2008) Appetite, 50, pp. 443-454;\nBamberg, S., Möser, G., Twenty years after Hines, Hungerford, and Tomera: a new meta-analysis of psycho-social determinants of pro-environmental behaviour (2007) J. Environ. Psychol., 27, pp. 14-25;\nBavec, F., Bavec, M., Organic Production and Use of Alternative Crops (2006), Taylor &amp;amp; Francis Croup Boca Raton, FL; Botonaki, A., Polymeros, K., Tsakiridou, E., Mattas, K., The role of food quality certification on consumers' food choices (2006) Br. Food J., 108 (2), pp. 77-90;\nBower, A.B., Highly attractive models in advertising and the women who loathe them: the implications of negative affect for spokesperson effectiveness (2001) J. Advert., 30 (3), pp. 51-63;\nChen, M.-F., Consumer attitudes and purchase intentions in relation to organic foods in Taiwan: moderating effects of food-related personality traits (2007) Food Qual. Prefer., 18, pp. 1008-1021;\nChen, M.-F., Attitude toward organic foods among Taiwanese as related to health consciousness, environmental attitudes, and the mediating effects of a healthy lifestyle (2009) Br. Food J., 111 (2), pp. 165-178;\nChen, J., Lobo, A., Organic food products in China: determinants of consumers’ purchase intentions, The International Review of Retail (2012) Distrib Consum Rese, 22 (3), pp. 293-314;\nChryssochoidis, G., Repercussions of consumer confusion for late introduced differentiated products (2000) Eur. J. Mark., 34 (5-6), pp. 705-722;\nCronin, J.J., Jr., Brady, M.K., Hult, G.T.M., Assessing the effects of quality, value, and customer satisfaction on consumer behavioral intentions in service environments (2000) J. Retail., 76, pp. 193-218;\nDean, M., Raats, M.M., Shepherd, R., Moral concerns and consumer choice of fresh and processed organic foods (2008) J. Appl. Social Psychol., 38, pp. 2088-2107;\nDrichoutis, A.C., Lazaridis, P., Nayga, R.M., Jr, An assessment of product class involvement in food‐purchasing behavior (2007) Eur. J. Mark., 41 (7-8), pp. 888-914;\nEisinger-Watzl, M., Wittig, F., Heuer, T., Hoffmann, I., Customers purchasing organic food-Do they live healthier? Results of the German National Nutrition survey II (2015) Eur. J. Nutr. Food Saf., 5, pp. 59-71;\nEuromonitor International, (2015), http://www.portal.euromonitor.com/Portal/Pages/Search/SearchResultsList.aspx, Organic Packaged Food in China. Available at </w:instrText>
      </w:r>
      <w:r w:rsidR="008A7101">
        <w:rPr>
          <w:rFonts w:ascii="MS Gothic" w:eastAsia="MS Gothic" w:hAnsi="MS Gothic" w:cs="MS Gothic" w:hint="eastAsia"/>
          <w:sz w:val="24"/>
          <w:szCs w:val="24"/>
        </w:rPr>
        <w:instrText>〈〉</w:instrText>
      </w:r>
      <w:r w:rsidR="008A7101">
        <w:rPr>
          <w:rFonts w:ascii="Times New Roman" w:hAnsi="Times New Roman" w:cs="Times New Roman"/>
          <w:sz w:val="24"/>
          <w:szCs w:val="24"/>
        </w:rPr>
        <w:instrText xml:space="preserve"> (accessed 20 August 2017); Falguera, V., Aliguer, N., Falguera, M., An integrated approach to current trends in food consumption: moving toward functional and organic products? (2012) Food Control, 26, pp. 274-281;\nFornell, C., Larcker, D.F., Structural Equation Models with Unobservable Variables and Measurement Error: algebra and Statistics (1981) J. Mark. Res., 18, pp. 382-388;\nFotopoulos, C., Krystallis, A., Purchasing motives and profile of the Greek organic consumer: a countrywide survey (2002) Br. Food J., 104 (8-9), pp. 730-765;\nGotschi, E., Vogel, S., Lindenthal, T., High School Students' Attitudes and Behaviour Towards Organic Products: Survey Results from Vienna (2007), Institute for Sustainable Economic Develop, DoE aSS, University of Natural Resources and Applied Life Sciences Vienna; Gundersen, H.J.G., Jensen, E.B., The efficiency of systematic sampling in stereology and its prediction (1987) J. Microsc., 147, pp. 229-263;\nHo, P., Vermeer, E.B., Zhao, J.H., Biotechnology and Food Safety in China: consumers' Acceptance or Resistance? (2006) Dev. Change, 37, pp. 227-254;\nHonkanen, P., Verplanken, B., Olsen, S.O., Ethical values and motives driving organic food choice (2006) J. Consum. Behav., 5, pp. 420-430;\nHoward, P.H., Allen, P., Beyond organic: consumer interest in new labelling schemes in the Central Coast of California (2006) Int. J. Consum. Stud., 30, pp. 439-451;\nHu, L., Bentler, P.M., Cutoff criteria for fit indexes in covariance structure analysis: conventional criteria versus new alternatives (1999) Struct. Equ. Model.: A Multidiscip. J., 6 (1), pp. 1-55;\nHughner, R.S., McDonagh, P., Prothero, A., Shultz, C.J., II, Stanton, J., Who are organic food consumers? A compilation and review of why people purchase organic food (2007) J. Consum. Behav., 6, pp. 94-110;\nKaiser, F.G., A moral extension of the theory of planned behavior: norms and anticipated feelings of regret in conservationism (2006) Personal. Individ. Differ., 41, pp. 71-81;\nKrystallis, A., Chryssohoidis, G., Consumers' willingness to pay for organic food: factors that affect it and variation per organic product type (2005) Br. Food J., 107 (5), pp. 320-343;\nKrystallis, A., Fotopoulos, C., Zotos, Y., Organic consumers' profile and their willingness to pay (WTP) for selected organic food products in Greece (2006) J. Int. Consum. Mark., 19 (1), pp. 81-106;\nKulmala, M., Mesiranta, N., Tuominen, P., Organic and amplified eWOM in consumer fashion blogs (2013) J. Fash. Mark. Manag.: Int. J., 17 (1), pp. 20-37;\nKuhar, A., Juvancic, L., Determinants of purchasing behaviour for organic and integrated fruits and vegetables in Slovenia (2010) Agric. Econ. Rev., 11 (2), pp. 70-83;\nLea, E., Worsley, T., Australians' organic food beliefs, demographics and values (2005) Br. Food J., 107 (11), pp. 855-869;\nLee, H.-J., Yun, Z.S., Consumers' perceptions of organic food attributes and cognitive and affective attitudes as determinants of their purchase intentions toward organic food (2015) Food Qual. Prefer., 39, pp. 259-267;\nLi, Y., Cheng, L.Z., Ren, G.Y., Products difference and consumption decision of hazard free agricultural products - a survey in Jiaxing city (2005) Stat. Sci. Pract., 2, pp. 22-24;\nLobo, A., Chen, J., Marketing of organic food in urban China: an analysis of consumers’ lifestyle segments (2012) J. Int. Mark. Export., 17 (1), pp. 14-26;\nLockie, S., Lyons, K., Lawrence, G., Mummery, K., Eating 'green': motivations behind organic food consumption in Australia (2002) Sociol. Rural., 42, pp. 23-40;\nMagnusson, M.K., Arvola, A., Hursti, U.K., Åberg, L., Sjödén, P., Choice of organic foods is related to perceived consequences for human health and to environmentally friendly behaviour (2003) Appetite, 40, pp. 109-117;\nMcEachern, M.G., Willock, J., Producers and consumers of organic meat: a focus on attitudes and motivations (2004) Br. Food J., 106 (7), pp. 534-552;\nMichaelidou, N., Hassan, L.M., The role of health consciousness, food safety concern and ethical identity on attitudes and intentions towards organic food (2008) Int. J. Consum. Stud., 32, pp. 163-170;\nMillock, K., Wier, M., Andersen, L.M., (2004), pp. 25-28. , Consumer demand for organic foods – attitudes, values and purchasing behaviour, paper presented at Proceedings of the Thirteenth Annual Conference of European Association of Environmental and Resource Economics, Budapest, Hungary, June; Moore, O., Understanding postorganic fresh fruit and vegetable consumers at participatory farmers' markets in Ireland: reflexivity, trust and social movements (2006) Int. J. Consum. Stud., 30, pp. 416-426;\nO' Donovan, P., McCarthy, M., Irish consumer preference for organic meat (2002) Br. Food J., 104 (3-5), pp. 353-370;\nPadel, S., Foster, C., Exploring the gap between attitudes and behaviour: understanding why consumers buy or do not buy organic food (2005) Br. Food J., 107 (8), pp. 606-625;\nPhillips, B.J., McQuarrie, E.F., Griffin, W.G., How visual brand identity shapes Consumer response (2014) Psychol. Mark., 31, pp. 225-236;\nRimal, A.P., Moon, W., Balasubramanian, S., Agro-biotechnology and organic food purchase in the United Kingdom (2005) Br. Food J., 107 (2), pp. 84-97;\nRoddy, G., Cowan, C.A., Hutchinson, G., Consumer attitudes and behaviour to organic foods in Ireland (1996) J. Int. Consum. Mark., 9 (2), pp. 41-63;\nShepherd, R., Magnusson, M., Sjödén, P., Determinants of consumer behavior related to organic foods (2005) AMBIO: A J. Human. Environ., 34 (4), pp. 352-359;\nRöhr, A., Lüddecke, K., Drusch, S., Müller, M.J., Alvensleben, R.V., Food quality and safety––consumer perception and public health concern (2005) Food Control, 16, pp. 649-655;\nSiamagka, N., Balabanis, G., Revisiting consumer ethnocentrism: review, reconceptualization, and empirical testing (2015) J. Int. Mark., 23, pp. 66-86;\nStern, P.C., New environmental theories: toward a coherent theory of environmentally significant behavior (2000) J. Social. Issues, 56, pp. 407-424;\nTarkiainen, A., Sundqvist, S., Subjective norms, attitudes and intentions of Finnish consumers in buying organic food (2005) Br. Food J., 107 (11), pp. 808-822;\nThøgersen, J., Consumer decision making with regard to organic food products (2007) Traditional Food Production Facing Sustainability: A European Challenge, pp. 173-192. , M.T.D.N. Vaz P. Vaz P. Nijkamp J.L. Rastoin Ashgate Farnham;\nThøgersen, J., (2007), The motivational roots of norms for environmentally responsible behaviour, paper presented at Nordic Consumer Policy Research Conference, Helsinki; Torjusen, H., Lieblein, G., Wandel, M., Francis, C.A., Food system orientation and quality perception among consumers and producers of organic food in Hedmark County, Norway (2001) Food Qual. Prefer., 12, pp. 207-216;\nTregear, A., Dent, J.B., McGregor, M.J., The demand for organically grown produce (1994) Br. Food J., 96 (4), pp. 21-25;\nTsakiridou, E., Boutsouki, C., Zotos, Y., Mattas, K., Attitudes and behaviour towards organic products: an exploratory study (2008) Int. J. Retail Distrib. Manag., 36 (2), pp. 158-175;\nTsakiridou, E., Mattas, K., Tzimitra-Kalogianni, I., The influence of consumer characteristics and attitudes on the demand for organic olive oil (2006) J. Int. Food Agribus. Mark., 18 (3-4), pp. 23-31;\nWilliams, P.R.D., Hammitt, J.K., A comparison of organic and conventional fresh produce buyers in the Boston area (2000) Risk Anal., 20, pp. 735-746;\nWulf, K.D., Odekerken-Schröder, G., Lacobucci, D., Investments in consumer relationships: a cross-country and cross-industry exploration (2001) J. Mark., 65 (4), pp. 33-50;\nZhao, X., Chambers, E., IV, Matta, Z., Loughin, T.M., Edward, E., Carey, E.E., Consumer sensory analysis of organically and conventionally grown vegetables (2007) J. Food Sci., 72, pp. 87-91","page":"70-78","publisher":"Elsevier Ltd","publisher-place":"Griffith Business School, Griffith University, Brisbane, Australia","title":"The influence of product and personal attributes on organic food marketing","type":"article-journal","volume":"46"},"uris":["http://www.mendeley.com/documents/?uuid=263365e2-6211-4a93-9b9e-c7c7a3bd9bc4"]}],"mendeley":{"formattedCitation":"(Prentice, Chen and Wang, 2019)","plainTextFormattedCitation":"(Prentice, Chen and Wang, 2019)","previouslyFormattedCitation":"(Prentice, Chen and Wang, 2019)"},"properties":{"noteIndex":0},"schema":"https://github.com/citation-style-language/schema/raw/master/csl-citation.json"}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(Prentice, Chen and Wang, 2019)</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t xml:space="preserve">Several studies revealed that  environmental conservation issues are oriented towards maintaining the sustainability of the natural environment, which supports the </w:t>
      </w:r>
      <w:r w:rsidRPr="0037337F">
        <w:rPr>
          <w:rFonts w:ascii="Times New Roman" w:hAnsi="Times New Roman" w:cs="Times New Roman"/>
          <w:sz w:val="24"/>
          <w:szCs w:val="24"/>
        </w:rPr>
        <w:lastRenderedPageBreak/>
        <w:t xml:space="preserve">survival of agricultural products </w:t>
      </w:r>
      <w:r w:rsidRPr="0037337F">
        <w:rPr>
          <w:rFonts w:ascii="Times New Roman" w:hAnsi="Times New Roman" w:cs="Times New Roman"/>
          <w:sz w:val="24"/>
          <w:szCs w:val="24"/>
        </w:rPr>
        <w:fldChar w:fldCharType="begin" w:fldLock="1"/>
      </w:r>
      <w:r w:rsidRPr="0037337F">
        <w:rPr>
          <w:rFonts w:ascii="Times New Roman" w:hAnsi="Times New Roman" w:cs="Times New Roman"/>
          <w:sz w:val="24"/>
          <w:szCs w:val="24"/>
        </w:rPr>
        <w:instrText>ADDIN CSL_CITATION {"citationItems":[{"id":"ITEM-1","itemData":{"ISSN":"00416436 (ISSN)","abstract":"A discussion with regards on how the governance mechanisms can ensure that small farmers and communities in rural areas do not lose out from the implementation of biofuel schemes has been presented. Sustainable development will be playing a key role as it will be the one to manage things in time and space that will result in changes from interactions among ecological, economic and socio-political factors. Achieving biofuel development requires some approaches and instruments that will be based on their mandatory or voluntary character as well as the scale of their application. As for the government's role on supporting such sustainable biofuel development, they need to: provide an overall strategic vision for biofuel development; develop a series of policies related to biofuel development; and to provide the needed guidance to such needing areas.","author":[{"dropping-particle":"","family":"Dubois","given":"O","non-dropping-particle":"","parse-names":false,"suffix":""}],"container-title":"Unasylva","id":"ITEM-1","issue":"230","issued":{"date-parts":[["2008"]]},"language":"English","note":"Cited By :4\n\nExport Date: 3 March 2021\n\nCorrespondence Address: Dubois, O.; Climate Change and Bioenergy Division, , Rome, Italy\n\nReferences: Abramovay, R., Magalhães, R., (2007) The access of family farmers to biodiesel markets: Partnerships between big companies and social movements, , Www.regoverningmarkets.org/en/global/innovative</w:instrText>
      </w:r>
      <w:r w:rsidRPr="0037337F">
        <w:rPr>
          <w:rFonts w:ascii="Cambria Math" w:hAnsi="Cambria Math" w:cs="Cambria Math"/>
          <w:sz w:val="24"/>
          <w:szCs w:val="24"/>
        </w:rPr>
        <w:instrText>∥</w:instrText>
      </w:r>
      <w:r w:rsidRPr="0037337F">
        <w:rPr>
          <w:rFonts w:ascii="Times New Roman" w:hAnsi="Times New Roman" w:cs="Times New Roman"/>
          <w:sz w:val="24"/>
          <w:szCs w:val="24"/>
        </w:rPr>
        <w:instrText>actice.html, São Paulo, Brazil, University of São Paolo. Available at; \nAshby, C., Carney, D., (1999) Sustainable livelihoods: Lessons from early experience, , London, UK, Department for International Development DFID;\nBass, S., Hawthorne, W., Hughes, C., (1998) Forests, biodiversity and livelihoods: Linking policy and practice. Issues paper for DFID, , London, UK;\nBass, S., Thornber, K., Markopoulos, M., Roberts, S., Grieg-Gran, M., (2001) Certification's impacts on forests, stakeholders and supply chains: Instruments for sustainable private sector forestry series, , Www.iied.org/pubs/pdf/full/9013IIED.pdf, London, UK, International Institute for Environment and Development IIED, Available at;\nChomitz, K.M., (2006) At loggerheads? Agriculture expansion, poverty reduction and environment in the tropical forests, , Washington, DC, USA, World Bank;\nDubois, O., (2003) Trade-offs between conservation and development in forestry - Setting the stage and some guiding principles, , Voluntary Paper for the XII World Forestry Congress, Quebec City, Canada, 21-28 September;\nDubois, O., Lowore, J., (2000) The journey towards collaborative forest management in Africa: Lessons learned and some navigational aids: An overview, , London, UK, IIED;\nEnergy Sector Management Assistance Program (ESMAP). 2005. Advancing biofuel for sustainable development - guidelines for policy makers and investors. 3 Vols. Washington, DC, USA, World Bank; Forsyth, T., (2005) Partnerships for technology transfer - how can investors and communities build renewable energy in Asia, , Sustainable Development Programme Briefing Paper SDPBP05/01. London, UK, Chatham House;\nFuels from Agriculture in Communal Technology (FACT) (2007) Rural electrification in Mali - Project description, , Www.factfuels.org/en/FACTΡojects/Mali, Internet document. Available at;\nMayers, J., (2005) Power Tools Series, The four Rs, , Www.policy-powertools.org/Tools/Understanding/docs/four_Rs</w:instrText>
      </w:r>
      <w:r w:rsidRPr="0037337F">
        <w:rPr>
          <w:rFonts w:ascii="Cambria Math" w:hAnsi="Cambria Math" w:cs="Cambria Math"/>
          <w:sz w:val="24"/>
          <w:szCs w:val="24"/>
        </w:rPr>
        <w:instrText>⊤</w:instrText>
      </w:r>
      <w:r w:rsidRPr="0037337F">
        <w:rPr>
          <w:rFonts w:ascii="Times New Roman" w:hAnsi="Times New Roman" w:cs="Times New Roman"/>
          <w:sz w:val="24"/>
          <w:szCs w:val="24"/>
        </w:rPr>
        <w:instrText>ol_english.pdf, London, UK, IIED. Available at;\nMayers, J., Bass, S., Macqueen, D., (2005) Power Tools Series, The pyramid: A diagnostic and planning tool for good forest governance, , Www.policy-powertools.org/Tools/Engaging/docs/pyramid</w:instrText>
      </w:r>
      <w:r w:rsidRPr="0037337F">
        <w:rPr>
          <w:rFonts w:ascii="Cambria Math" w:hAnsi="Cambria Math" w:cs="Cambria Math"/>
          <w:sz w:val="24"/>
          <w:szCs w:val="24"/>
        </w:rPr>
        <w:instrText>⊤</w:instrText>
      </w:r>
      <w:r w:rsidRPr="0037337F">
        <w:rPr>
          <w:rFonts w:ascii="Times New Roman" w:hAnsi="Times New Roman" w:cs="Times New Roman"/>
          <w:sz w:val="24"/>
          <w:szCs w:val="24"/>
        </w:rPr>
        <w:instrText>ol_english.pdf, London, UK, IIED. Available at;\n(2005) Slash-and-burn agriculture: The search for alternatives, , Palm, C.A, Vosti, S.A, Sanchez, P.A. &amp;amp; Ericksen, P.J, eds, New York, NY, USA, Columbia University Press;\nRajagopal, D., Zilberman, D., (2007) Review of environmental, economic and policy aspects of biofuels, , Policy Research Working Paper 4331. Washington, DC, USA, World Bank;\nRoundtable on Sustainable Palm Oil (RSPO), Task Force on Smallholders. 2007. RSPO principles and criteria for sustainable palm oil production. Consolidated 2nd draft: Guidance on smallholders; (2000) Biofuel primer - modernised biomass energy for sustainable development, , United Nations Development Programme UNDP, New York, NY, USA;\nUNDP. 2007. Human Development Report 2007/2008. Fighting climate change: Human solidarity in a divided world. New York, NY, USA; (2007) Sustainable biofuel: A framework for decision makers, , UN-Energy, New York, NY, USA, United Nations;\nVan Dam, J., Junginger, M., Faaij, A., Jürgens, I., Best, G., Fritsche, U., Overview of recent developments in sustainable biomass certification (2006) Paper written in the frame of International Energy Agency (IEA) Biofuel Task, 40;\nVermeulen, S., Goad, N., Towards better practice in smallholder palm oil production (2006) Natural Resource Issues Series, 5. , Www.iied.org/pubs/pdf/full/13533IIED.pdf, London, UK, IIED. Available at","page":"25-32","publisher-place":"Climate Change and Bioenergy Division, Natural Resources Management and Environment Department, FAO, Rome, Italy","title":"Making sure that biofuel development benefits small farmers and communities","type":"article-journal","volume":"59"},"uris":["http://www.mendeley.com/documents/?uuid=172e92c6-ca33-4c56-a69e-245701811e5f"]}],"mendeley":{"formattedCitation":"(Dubois, 2008)","plainTextFormattedCitation":"(Dubois, 2008)","previouslyFormattedCitation":"(Dubois, 2008)"},"properties":{"noteIndex":0},"schema":"https://github.com/citation-style-language/schema/raw/master/csl-citation.json"}</w:instrText>
      </w:r>
      <w:r w:rsidRPr="0037337F">
        <w:rPr>
          <w:rFonts w:ascii="Times New Roman" w:hAnsi="Times New Roman" w:cs="Times New Roman"/>
          <w:sz w:val="24"/>
          <w:szCs w:val="24"/>
        </w:rPr>
        <w:fldChar w:fldCharType="separate"/>
      </w:r>
      <w:r w:rsidRPr="0037337F">
        <w:rPr>
          <w:rFonts w:ascii="Times New Roman" w:hAnsi="Times New Roman" w:cs="Times New Roman"/>
          <w:noProof/>
          <w:sz w:val="24"/>
          <w:szCs w:val="24"/>
        </w:rPr>
        <w:t>(Dubois, 2008)</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xml:space="preserve">. The movement includes maintaining agricultural ecosystems, springs, consistency of rainfall, soil fertility, and avoiding environmental pollution from plantation activities that use chemicals. The success of this group in conservation issues significantly is dependent on the strength of the network and cooperation of stakeholders, especially the involvement of environmental activists and university academicians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{"citationItems":[{"id":"ITEM-1","itemData":{"DOI":"10.2458/v22i1.21076","ISSN":"10730451 (ISSN)","abstract":"'Food justice' and 'food sovereignty' have become key words in food movement scholarship and activism. In the case of 'food justice', it seems the word is often substituted for work associated with projects typical of the alternative or local food movement. We argue that it is important for scholars and practitioners to be clear on how food justice differs from other efforts to seek an equitable food system. In the interests of ensuring accountability to socially just research and action, as well as mounting a tenable response to the 'feed the world' paradigm that often sweeps aside concerns with justice as distractions from the 'real' issues, scholars and practitioners need to be more clear on what it means to do food justice. In exploring that question, we identify four nodes around which food justice organizing appears to occur: trauma/inequity, exchange, land, and labor. This article sets the stage for a second one that follows, Notes on the practice of food justice in the U.S., where we discuss attempts to practice food justice.","author":[{"dropping-particle":"V","family":"Cadieux","given":"K","non-dropping-particle":"","parse-names":false,"suffix":""},{"dropping-particle":"","family":"Slocum","given":"R","non-dropping-particle":"","parse-names":false,"suffix":""}],"container-title":"Journal of Political Ecology","id":"ITEM-1","issue":"1","issued":{"date-parts":[["2015"]]},"language":"English","note":"Cited By :67\n\nExport Date: 3 March 2021\n\nReferences: Akram-Lodhi, A.H., (2013) Hungry for change: farmers, food justice and the agrarian question, , Halifax and Winnipeg: Fernwood Publishing; \nAlkon, A.H., Agyeman, J., Introduction (2011) Cultivating food justice: race, class and sustainability, pp. 1-20. , Alkon, A.H. and J. Agyeman (eds.), Cambridge: MIT Press;\nAlkon, A.H., Agyeman, J., (2011) Cultivating food justice: race, class and sustainability, , Cambridge: MIT Press;\nAlkon, A.H., Growing resistance: food, culture and the Mo' Better Foods farmers' market (2007) Gastronomica, 7 (3), pp. 93-99;\nAlkon, A.H., Mares, T.M., Food sovereignty in US food movements: radical visions and neoliberal constraints (2012) Agriculture and Human Values, 29 (3), pp. 347-359;\nAlkon, A.H., Norgaard, K.M., Breaking the food chains: an investigation of food justice activism (2009) Sociological Inquiry, 79 (3), pp. 289-305;\nAllen, P., (2004) Together at the table, , University Park: Pennsylvania State University Press;\nAllen, P., Mining for justice in the food system: perceptions, practices, and possibilities (2008) Agriculture and Human Values, 25 (2), pp. 157-161;\nAllen, P., Realizing justice in local food systems (2010) Cambridge Journal of Regions, Economy and Society, 3 (2), pp. 295-308;\nAllen, P., Van Dusen, D., Lundy, J., Gliessman, S., Integrating social, environmental, and economics issues in sustainable agriculture (1991) American Journal of Alternative Agriculture, 6 (1), pp. 34-39;\nAllen, P., Guthman, J., From &amp;quot;old school&amp;quot; to &amp;quot;farm-to-school:&amp;quot; neoliberalization from the ground up (2006) Agriculture and Human Values, 23, pp. 401-415;\nAllen, P., Kovach, M., The capitalist composition of organic: the potential of markets in fulfilling the promise of organic agriculture (2000) Agriculture and Human Values, 17, pp. 221-232;\nAllen, P., Fitzsimmons, M., Goodman, M., Warner, K., Shifting plates in the agrifood landscape: the tectonics of alternative agrifood initiatives in California (2003) Journal of Rural Studies, 19, pp. 61-75;\nAllen, P., Sachs, C., The poverty of sustainability: an analysis of current positions (1992) Agriculture and Human Values, 9 (4), pp. 29-35;\nAllen, P., Wilson, A.B., Agrifood inequalities: globalization and localization (2008) Development, 51 (4), pp. 534-540;\nAnderson, K., Introduction (1999) Cultural geographies, pp. 1-21. , K. Anderson and F. Gale (eds.), Melbourne: Addison Wesley Longman;\nAnderson, M., Bellows, A., Introduction to symposium on food sovereignty: expanding the analysis and application (2012) Agriculture and Human Values, 29 (2), pp. 177-184;\nAnderson, M.D., Rights-based food systems and the goals of food systems reform (2008) Agriculture and Human Values, 25 (4), pp. 593-608;\n(2011) Food policy councils, , (Brief.);\nAubrun, A., Brown, A., Grady, J., (2005) All trees and no forest: how advocacy paradigms obscure public understanding of the food system, , Frameworks Institute Report;\nBailey, R., (2011) Growing a better future: food justice in a resource constrained world, , Oxford: Oxfam International;\nBarraclough, L.R., South Central farmers and Shadow Hills homeowners: land use policy and relational racialization in Los Angeles (2009) The Professional Geographer, 61 (2), pp. 164-168;\nBarron, J., (2013) Federal definition of local, , http://cafslistserv.wordpress.com/2013/05/, Canadian Association of Food Studies listserv;\nUSA: world without farmers-one hungry planet (2010), http://www.youtube.com/watch?v=joUggaD6Mr0; The Mother Grain https://www.kickstarter.com/projects/bearwitnesspictures/the-mother-grainhttp://www.bearwitnesspicturesblog.com/2013/11/a-work-in-progress.html, Bear Witness Pictures., forthcoming; Beingessner, N.E., (2013) Alternative land tenure: a path towards food sovereignty in Saskatchewan? Masters thesis, , Regina, Canada: University of Regina;\nBell, M., Stull, V., In your face: why food is politics and why we're finally starting to admit it. Paper presented at the Joint meeting of the Association for the Study of Food and Society and the Agriculture, Food and Human Values Society (2014), Burlington, VT, USA; Bellows, A.C., Hamm, M.W., International effects on and inspiration for community food security policies and practices in the USA (2003) Critical Public Health, 13 (2), pp. 107-123;\nBenhabib, S., Introduction (2000) Democracy and difference: contesting the boundaries of the political, pp. 3-18. , Benhabib S. (ed.), Princeton: Princeton University Press;\nBenhabib, S., Butler, J., Cornell, D., Fraser, N., (1995) Feminist contentions: a philosophical exchange, , New York: Routledge;\nBeus, C.E., Dunlap, R.E., Conventional versus alternative agriculture: the paradigmatic roots of the debate (1990) Rural Sociology, 55 (4), pp. 590-616;\nBidgood, J., Maine court fight pits farmers against state and one another (2014) New York Times, , June 18;\nBittman, M., Rethinking the word &amp;quot;foodie&amp;quot; (2014) New York Times, , June 24;\nBland, A., Quinoa craze inspires North America to start growing its own (2012) National Public Radio, , USA. November 29;\nBorn, B., Purcell, M., Avoiding the local trap: scale and food systems in planning research (2006) Journal of Planning Education and Research, 26 (12), pp. 195-207;\nBoyer, J., Food security, food sovereignty, and local challenges for agrarian movements: the Honduras case (2010) The Journal of Peasant Studies, 37 (2), pp. 319-351;\nBrown, W., Suffering rights as paradox (2000) Constellations, 7 (2), pp. 230-241;\nCadieux, K.V., Engagement with the land: redemption of the rural residence fantasy? (2005) Contrasting ruralities: changing landscapes, pp. 215-229. , S. Essex and A. Gilg (eds.), Cambridge: CABI;\nCadieux, K.V., Political ecology of exurban 'lifestyle' landscape at Christchurch's contested urban fence (2008) Urban Forestry and Urban Greening, 7 (3), pp. 183-194;\nCadieux, K.V., Talking about feeding the world: can applying discourse analysis help engaging multiple paradigms in contentious food conversations? (2011) Agriculture, Food, and Human Values Society Meeting, , Missoula, MT, USA;\nCadieux, K.V., Competing discourses of nature in exurbia (2011) GeoJournal, 76 (4), pp. 341-363;\nCadieux, K.V., Bringing contrasting food system models into dialogue in local and global food governance (2012) The neoliberal regime in agri-food: crisis, resilience and/or restructuring., , Mini-conference of the Sociology of Agri-Food Research interest group, Rural Sociological Society, Chicago, USA;\nCadieux, K.V., The mortality of trees: conservation as deferment in pastoral modernity (2012) Landscape and the ideology of nature in exurbia: green sprawl, pp. 252-294. , Cadieux, K.V. and Taylor, L.E. (eds.), New York: Routledge;\nCadieux, K.V., Other women's gardens: radical homemakers and public performance of the politics of feeding (2013) Doing nutrition differently: critical approaches to diet/dietary intervention, pp. 61-83. , Hayes-Conroy, A. and J. Hayes-Conroy (eds.), Farnham: Ashgate;\nCadieux, K.V., A field guide to making food good: an interactive tool for participatory research supporting difficult conversations (2013) Public 1, , http://public.imaginingamerica.org/blog/article/a-field-guide-to-making-food-good-an-interactive-tool-for-participatory-research-supporting-difficult-conversations/;\nCadieux, K.V., Blumberg, R., Food security (2014) Encyclopedia of food and agricultural ethics, , Thompson P. and D. Kaplan (eds.), New York: Springer;\nCadieux, K.V., Gold, A., Pesch, R., New models and methodologies for planning our food future (2010) Workshop, , University of Minnesota, Minneapolis;\nCalhoun, C., (1995) Critical social theory, , Oxford: Blackwell;\nCampbell, H., Dixon, J., Introduction to the special symposium: reflecting on twenty years of the food regimes approach in agri-food studies (2009) Agriculture and Human Values, 26 (4), pp. 261-265;\nCarpenter, S., A new higher calling in agricultural law (2013) Drake Journal of Agricultural Law, 18 (1), pp. 13-37;\nCash, D.W., Clark, W.C., Alcock, F., Dickson, N.M., Eckley, N., Guston, D.H., Jager, J., Mitchell, R.B., Knowledge systems for sustainable development (2003) Proceedings of the National Academy of Sciences, 100 (14), pp. 8086-8091;\nClancy, K., Commentary social justice and sustainable agriculture: moving beyond theory (1994) Agriculture and Human Values, 11 (4), pp. 77-83;\nClancy, K., Reconnecting farmers and citizens in the food system (1997) Visions of American agriculture, pp. 47-58. , Lockeretz, W. (ed.), Ames: Iowa State University Press;\nClapp, J., Martin, S., The G20 Agricultural Action Plan: changing the course of capitalism? (2011) CIGI Online, , Waterloo: The Centre for International Governance Innovation;\n(2014) Climate in the classroom, , http://www.climate-one.org/transcripts/climate-classroom, host G. Dalton., San Francisco: Climate One;\nClough, P.T., Reflections on sessions early in an analysis: trauma, affect and &amp;quot;active witnessing (2009) Women and Performance: a Journal of Feminist Theory, 19 (2), pp. 149-159;\nCollins, P.H., (1998) Fighting words: African American women, critical social theory, and the search for justice, , Minneapolis, MN: University of Minnesota Press;\nCrouch, C., (2011) The strange non-death of neo-liberalism., , Bristol: Polity;\nCummins, S., Flint, E., Matthews, S.A., New neighborhood grocery store increased awareness of food access but did not alter dietary habits or obesity (2014) Health Affairs, 33 (2), pp. 283-291;\nDe Schutter, O., How not to think of land-grabbing: three critiques of large-scale investments in farmland (2011) Journal of Peasant Studies, 38 (2), pp. 249-279;\nDe Schutter, O., Agroecology and the right to food (2011), Report presented at the 16th Session of the United Nations Human Rights Council; De Schutter, O., The right of everyone to enjoy the benefits of scientific progress and the right to food: from conflict to complementarity (2011) Human Rights Quarterly, 33 (2), pp. 304-350;\nDe Schutter, O., Vanloqueren, G., The new green revolution: how twenty-first-century science can feed the world (2011) The Solutions Journal, 2 (4), pp. 33-44;\nDeRuiter, D., (2014) personal communication, , March 24;\n(2013), http://www.detroitfoodjustice.org/, nd. [accessed July 6; Dudgeon, R.C., Berkes, F., Local understandings of the land: traditional ecological knowledge and indigenous knowledge (2003) Nature across cultures., pp. 75-96. , Selin H. (ed.), Dordrecht: Springer;\nDupuis, E.M., Goodman, D., Should we go &amp;quot;home&amp;quot; to eat? toward a reflexive politics of localism (2005) Journal of Rural Studies, 21 (3), pp. 359-371;\nDuPuis, E.M., Goodman, D., Harrison, J., Just values or just value? remaking the local in agro-food studies (2006) Between the local and the global: confronting complexity in the contemporary agri-food sector, pp. 241-268. , Marsden T. and J. Murdoch (eds.), Oxford: Elsevier;\nDuPuis, E.M., Harrison, J.L., Goodman, D., Just food? (2011) Cultivating food justice, pp. 283-307. , Alkon, A.H. and J. Ageyman (eds.), Cambridge: MIT Press;\nEdelman, M., Food sovereignty: an appreciation and critique (2013) Food sovereignty: a critical dialogue, , Paper presented at, September 13-14, Yale University, New Haven, CT;\nEdwards, F., Mercer, D., Food waste in Australia: the freegan response (2012) Sociological Review, 60, pp. 174-191;\nQue peut le droit pour la justice alimentaire et agricole? (2012), http://www.equiterre.org/evenement/que-peut-le-droit-pour-la-justice-alimentaire-et-agricole-montreal, Equiterre. Montréal: Equiterre [accessed July 4, 2012; Escobar, A., Culture sits in places: reflections on globalism and subaltern strategies of localization (2001) Political Geography, 20, pp. 139-174;\nFairbairn, M., Framing transformation: the counter-hegemonic potential of food sovereignty in the U.S. context (2012) Agriculture and Human Values, 29 (2), pp. 217-230;\nFinn, J.L., Jacobson, M., Just practice: steps toward a new social work paradigm (2003) Journal of Social Work Education, 39 (1), pp. 57-78;\nFinn, J.L., Jacobson, M., (2008) Just practice: a social justice approach to social work, , Peosta, IA: Eddie Bowers;\nFoley, J.A., Can we feed the world and sustain the planet? (2011) Scientific American, pp. 60-65. , November;\nFoley, J.A., Ramankutty, N., Brauman, K.A., Cassidy, E.S., Gerber, J.S., Johnston, M., Mueller, N.D., Zaks, D.P.M., Solutions for a cultivated planet (2011) Nature, 478 (7369), pp. 337-342;\n(2010) Food security, food justice, or food sovereignty?, , http://foodfirst.org/wp-content/uploads/2013/12/BK16_4-2010-Winter_Food_Movements_bckgrndr-pdf, Food First. accessed August 12, 2012 Available from;\nFood for thought and action: youth-led food systems and food justice workshops (2013), http://thefoodproject.org/food-for-thought, Food Project. nd., accessed May 18; Fraser, N., (1989) Unruly practices: power, discourse and gender in contemporary social theory, , Minneapolis: University of Minnesota;\nFraser, N., (1997) Justice interruptus: critical reflections on the &amp;quot;post-socialist&amp;quot; condition, , New York: Routledge;\nFraser, N., Recognition without ethics? (2001) Theory, Culture and Society, 18 (2-3), pp. 21-42;\nFreidburg, S., Cleaning up down south: supermarkets, ethical trade and African horticulture (2003) Social and Cultural Geography, 4 (1), pp. 27-43;\nFreudenberg, N., McDonough, J., Tsui, E., Can a food justice movement improve nutrition and health? A case study of the emerging food movement in New York City (2011) Journal of Urban Health, 88 (4), pp. 623-636;\nFriedmann, H., Discussion: moving food regimes forward: reflections on symposium essays (2009) Agriculture and Human Values, 26 (4), pp. 335-344;\nWhat is food security? (2014), http://www.foodsecuritynews.com/What-is-food-security.htm, FSNNL [accessed February 8, 2014; (2012) Vision of the growing food and justice alliance, , http://www.growingpower.org/growing_food_and_justice:for_all.htm, Growing Food and Justice for All Initiative. Growingpower.org [cited July 6, 2012]. Available from;\nGibson-Graham, J.K., Diverse economies: performative practices for 'other worlds (2008) Progress in Human Geography, 32 (5), pp. 613-632;\nGilmore, R.W., Race and globalization (2002) Geographies of global change: remapping the world, pp. 261-274. , Johnston R.J., P.J. Taylor and M.J. Watts (eds.), Oxford: Blackwell;\nGliessman, S., Democracy in our food systems (2010) Journal of Sustainable Agriculture, 34 (1), p. 1;\nGold, S.J., From Jim Crow to racial hegemony: evolving explanations of racial hierarchy (2004) Ethnic and Racial Studies, 27 (6), pp. 951-968;\nGoldberg, D.T., (1993) Racist culture: philosophy and the politics of meaning, , Oxford: Blackwell;\nGoldberg, D.T., (2002) The racial state, , London: Wiley-Blackwell;\nGoodman, D., The quality 'turn' and alternative food practices: reflections and agenda (2003) Journal of Rural Studies, 19 (1), pp. 1-7;\nGoodman, D., Goodman, M., Localism, livelihoods, and the 'post-organic:' changing perspectives on alternative food networks in the United States (2007) Alternative food geographies: representation and practice, pp. 23-38. , Maye D., L. Holloway and M. Keafsey (eds.), London: Elsevier;\nGoodman, M., Maye, D., Holloway, L., Ethical foodscapes? Premises, promises, and possibilities (2010) Environment and Planning A, 42 (8), pp. 1782-1796. , draft;\nGottlieb, R., Joshi, A., (2010) Food justice, , Cambridge: MIT Press;\nGowan, T., Slocum, R., Artisanal production, communal provisioning and anti-capitalist critique in the Aude, France (2014) Sustainable lifestyles and the quest for plenitude: case studies of the new economy, pp. 27-62. , Schor J. and C.J. Thompson (eds.), New Haven: Yale University Press;\nGrasseni, C., (2013) Beyond alternative food networks: Italy's solidarity purchase groups, , London: Bloomsbury;\nGreen, J.J., Green, E.M., Kleiner, A.M., From the past to the present: agricultural development and black farmers in the American South (2011) Cultivating food justice: race, class and sustainabilty, pp. 47-64. , Alkon, A.H. and J. Ageyman (eds.), Cambridge: MIT Press;\nGumpert, D., Maine towns reject one-size-fits-all regulation, declare 'food sovereignty (2011) Grist, , http://grist.org/sustainable-farming/2011-03-15-maine-towns-reject-one-size-fits-all-regulation-declare-food/, March 16;\nGuthman, J., Fast food/organic food: reflexive tastes and the making of 'yuppie chow (2003) Social and Cultural Geography, 4 (1), pp. 45-58;\nGuthman, J., (2004) Agrarian dreams: the paradox of organic farming in California, , Berkeley, CA: University of California Press;\nGuthman, J., Thinking inside the neoliberal box: the micro-politics of agro-food philanthropy (2008) Geoforum, 39 (3), pp. 1241-1253;\nGuthman, J., 'If they only knew': colorblindness and universalism in California alternative food institutions (2008) The Professional Geographer, 60 (3), pp. 387-397;\nGuthman, J., Bringing good food to others: investigating the subjects of alternative food practice (2008) Cultural Geographies, 15 (4), pp. 431-447;\nGuthman, J., (2011) Weighing in, , Berekely, CA: University of California Press;\nGuthman, J., Morris, A.W., Allen, P., Squaring farm security and food security in two types of alternative food institutions (2006) Rural Sociology, 71 (4), pp. 662-684;\nHaraway, D., Situated knowledges: the science question in feminism as a site of discourse on the privilege of partial perspective (1988) Feminist Studies, 14 (3), pp. 575-599;\nHarrison, J., 'Accidents' and invisibilities: scaled discourse and the naturalization of regulatory neglect in California's pesticide drift conflict (2006) Political Geography, 25 (5), pp. 506-529;\nHarrison, J., Abandoned bodies and spaces of sacrifice: pesticide drift activism and the contestation of neoliberal environmental politics in California (2008) Geoforum, 39 (3), pp. 1197-1214;\nHarrison, J., Lessons learned from pesticide drift: a call to bring production agriculture, farm labor, and social justice back into agrifood research and activism (2008) Agriculture and Human Values, 25 (2), pp. 163-167;\nHarrison, J., (2011) Pesticide drift and the pursuit of environmental justice, , Cambridge: MIT Press;\nHébert, K., Mincyte, D., Self-reliance beyond neoliberalism: rethinking autonomy at the edges of empire (2014) Environment and Planning D: Society and Space, 32 (2), pp. 206-222;\nHenderson, G.L., Free food, the local production of worth, and the circuit of decommodification: a value theory of the surplus (2004) Environment and Planning D: Society and Space, 22, pp. 485-512;\nHenson, Z.F., (2013) Separate tables: segregation, gentrification, and the commons in Birmingham, Alabama's alternative food and agriculture movement, , PhD dissertation. Berkeley, USA: University of California;\nHetherington, K., (2011) Guerrilla auditors: the politics of transparency in neoliberal Paraguay, , Durham NC: Duke University Press;\nHeynen, N., Bending the bars of empire from every ghetto for survival: the Black Panther Party's radical antihunger politics of social reproduction and scale (2009) Annals of the Association of American Geographers, 99 (2), pp. 406-422;\nHinrichs, C.C., Embeddedness and local food systems: notes on two types of direct agricultural markets (2000) Journal of Rural Studies, 16, pp. 295-303;\nHinrichs, C.C., Sustainable food systems: challenges of social justice and a call to sociologists (2010) Sociological Viewpoints, 26 (2), pp. 8-18;\nHinrichs, C.C., Kremer, X., Social inclusion in a Midwest local food system project (2002) Journal of Poverty, 6 (1), pp. 65-90;\nHoelscher, S., Making place, making race: performances of whiteness in the Jim Crow South (2003) Annals of the Association of American Geographers, 93 (3), pp. 657-687;\nHolt Giménez, E., From food crisis to food sovereignty: the challenge of social movements (2009) Monthly Review, 61 (3), pp. 142-156;\nHolt Giménez, E., (2013) Review of H. Akram-Lodhi's Hungry for change: farmers, food justice and the agrarian question, , http://www.foodfirst.org/en/Review-Hungry+for+Change%3A+Farmers%2C+Food+Justice+and+the+Agrician+Question, Food First, April 5 (accessed from;\nHolt Giménez, E., Feeding nine billion: five steps to the wrong solution (2014), http://www.huffingtonpost.com/eric-holt-gimenez/feeding-nine-billion-five_b_5208388.html, April 25. [accessed on April 30, 2014; Holt-Giménez, E., Shattuck, A., Food crises, food regimes and food movements: rumblings of reform or tides of transformation? (2011) Journal of Peasant Studies, 38 (1), pp. 109-144;\nHolt-Giménez, E., Wang, Y., Reform or transformation? the pivotal role of food justice in the U.S. food movement (2011) Race/Ethnicity: Multidisciplinary Global Contexts, 5 (1), pp. 83-102;\nhooks, B., (1992) Black looks: race and representation, , Boston: South End Press;\nHoward, P.H., Jaffee, D., Tensions between firm size and sustainability goals: fair trade coffee in the United States (2013) Sustainability, 5 (1), pp. 72-89;\nInternational assessment of agricultural knowledge, science and technology for development: global report (2009), Washington, DC: International Assessment of Agricultural Knowledge, Science and Technology for Development; (2009) Business as usual is not an option: the role of intitutions, , Washington, DC: International Assessment of Agric","page":"1-26","publisher":"University of Arizona Libraries","publisher-place":"Department of Sociology, University of Minnesota, Minneapolis, MN  55455, United States","title":"What does it mean to do food justice?","type":"article-journal","volume":"22"},"uris":["http://www.mendeley.com/documents/?uuid=0821164a-b37d-4902-9fa8-e2097c0bd1ce"]},{"id":"ITEM-2","itemData":{"DOI":"10.2307/3641869","ISSN":"00308684 (ISSN)","abstract":"Historically, the relationship between workers and environmentalists has been complex. Between the late 1960s and early 1980s unions concerned about working conditions and pollution, particularly the United Farm Workers (UFW), consistently sought to forge coalitions with national environmental leaders to enact tough clean air and clean water legislation. Both groups became increasingly concerned about the proliferation of chemical pesticides and occasionally cooperated to push for more effective safeguards for workers, consumers, and the environment. While these efforts yielded improvements, political, ideological, stylistic, and class differences prevented the UFW-environmental alliance from becoming permanent and effective. In particular, the Sierra Club, which had advocated restrictions on chemical pesticides since the 1960s, endorsed a 1973 strike by the more established and influential Oil, Chemical, and Atomic Workers Union (OCAW), yet at the same time it refused to endorse similar efforts by the UFW. Despite common objectives, the UFW and the environmental movement failed to establish a lasting relationship. In the long run, differences that prevented closer ties between the Sierra Club and the UFW emerged at the national level and undermined alliances between the labor and environmental movements.","author":[{"dropping-particle":"","family":"Gordon","given":"R","non-dropping-particle":"","parse-names":false,"suffix":""}],"container-title":"Pacific Historical Review","id":"ITEM-2","issue":"1","issued":{"date-parts":[["1999"]]},"language":"English","note":"Cited By :17\n\nExport Date: 3 March 2021\n\nReferences: Taylor, R.B., (1975) Chavez and the Farm Workers, p. 242. , Boston; \nMajka, L.C., Majka, T.J., (1982) Farm Workers, Agribusiness, and the State, pp. 201-203. , Philadelphia;\nChavez against the wall (1974) The New Republic, 171, pp. 13-16. , Dec. 7;\nMajka, Majka, Farm Workers, Agribusiness, and the State;\nJenkins, J.C., (1985) The Politics of Insurgency: The Farm Worker Movement in the 1960s, , New York;\nTaylor, Chavez and the Farm Workers;\nBrown, J.B., (1972) The United Farm Workers Grape Strike and Boycott, 1965-1970: An Evaluation of the Culture of Poverty Theory, , New York;\nSierra Club Records, 1. , Sierra Club Collection, Bancroft Library, University of California, Berkeley;\nFoster, J.B., The limits of environmentalism without class: Lessons from the ancient forest struggles of the Pacific Northwest (1993) Capitalism, Nature, Socialism, 4, pp. 11-41;\nSchwab, J., (1994) Deeper Shades of Green: The Rise of Blue-collar and Minority Environmentalism in America, pp. xvii-xxii. , San Francisco;\nGottlieb, R., (1993) Forcing the Spring: The Transformation of the American Environmental Movement, , Washington, D.C., For an example of the environmental mainstream's reluctance to become involved in the UFW's boycott, see folder &amp;quot;Environmental Action,&amp;quot; box 2 [accession date, July 10, 1975], UFW Collection;\nGordon, R., Shell no!: OCAW and the labor-environmental alliance, 1968-1984 (1998) Environmental History, 3, pp. 459-486;\nSchwab, Deeper Shades of Green;\nKazis, R., Grossman, R., (1982) Fear at Work: Job Blackmail, Labor and the Environment, , New York;\nGottlieb, R., A question of class: The workplace experience (1992) Socialist Review, 22, pp. 131-163;\nGottlieb, Forcing the Spring;\nWhite, R., 'Are you an environmentalist or do you work for a living?': Work and nature (1995) Uncommon Ground: Toward Reinventing Nature, , William Cronon, ed., New York;\nFoster, The Limits of Environmentalism Without Class;\nKeil, R., The green work alliance (1995) Capitalism, Nature, Socialism, 6, pp. 63-76;\nFoster, J.B., (1994) The Vulnerable Planet: A Short Economic History of the Environment, pp. 137-138. , New York;\nDowie, M., (1995) Losing Ground: American Environmentalism at the Close of the Twentieth Century, pp. 158-159. , Cambridge, Mass;\nNoble, C., (1986) Liberalism at Work: The Rise and Fall of OSHA, pp. 142-144. , Philadelphia, In an otherwise excellent history of OSHA, Noble argues that organized labor was and continues to be primarily responsible for the failure of OSHA and strained relations with the environmental mainstream;\nMajka, Majka, Farm Workers, Agribusiness, and the State;\nMooney, P.H., Majka, T.J., (1995) Farmers' and Farmworkers' Movements: Social Protest in American Agriculture, , New York;\nWeber, D., (1994) Dark Sweat, White Gold: California Farm Workers, Cotton, and the New Deal, , Berkeley;\nWeber, D., (1994) Dark Sweat, White Gold: California Farm Workers, Cotton, and the New Deal, , Folder 7, box 18, Office of the President, UFW Collection; folder 15, box 35;\nDille, J.R., Smith, P.W., Central nervous system effects of chronic exposure to organophosphate insecticides (1964) Aerospace Medicine, 35, pp. 475-478;\nNamba, T., Poisoning due to organophosphate insecticides: Acute and chronic manifestations (1971) American Journal of Medicine, 50, pp. 475-492;\n(1968) Occupational Disease in California Related to Pesticides and Other Agricultural Chemicals, 1967, , Sacramento;\nFolder 7, box 18, Office of the President, UFW Collection; Folder 4, box 7, ibid; (1969) El Malcriado, p. 3. , Jan. 15;\nBrown, The United Farm Workers Grape Strike and Boycott, p. 164;\nFlimmer, J., (1977) Pesticide Chemistry in the 20th Century, pp. 98-99. , Washington, D.C;\nMcEwen, F.L., Stephenson, G.R., (1979) The Use and Significance of Pesticides in the Environment, p. 166. , New York;\nMoses, M., Farm workers and pesticides (1993) Confronting Environmental Racism: Voices from the Grassroots, pp. 161-178. , Robert Bullard, ed., Boston;\nWasserstrom, R.F., Wiles, R., (1985) Field Duty: U.S. Farmworkers and Pesticide Safety, p. 1. , New York;\nFolder &amp;quot;Info/Research-Pesticides 1974,&amp;quot; box 11, UFW Collection; Taylor, R.B., Nerve gas in the orchards (1970) The Nation, 210, pp. 751-753. , June 22;\n(1969) El Malcriado, p. 7. , Sept. 15;\nSchwartz, J., Poisoning farm workers (1975) Environment, 17, pp. 26-33. , June;\nWasserstrom, Wiles, Field Duty, p. 3;\nHarmer, R., Poisons, profits, and politics (1969) The Nation, 209, p. 134. , Aug. 25;\nMoses, Farm Workers and Pesticides, p. 14;\n(1969) U.S. Congressional Record, p. 21892. , Aug. 1;\nBrown, L.R., (1988) The State of the World, p. 21. , New York;\n(1988) Pesticide Industry Sales and Usage, 1987 Market Estimates, , Washington, D.C;\nFolder &amp;quot;Info/Research-Pesticides 1974,&amp;quot; box 11, UFW Collection; (1969) El Malcriado, p. 7. , Sept. 15;\nPoisoning Farm Workers, pp. 26-33;\nFolder &amp;quot;Info/Research-Pesticides 1974,&amp;quot; box 11, UFW Collecuon; (1969) El Malcriado, p. 7. , Sept. 15;\nSchwanz, Poisoning Farm Workers, pp. 26-33;\nTaylor, Nerve Gas in the Orchards, pp. 751-753;\nMartin, P., A profile of California farmworkers (1985) California Agriculture, pp. 16-18;\nFolder 7, box 61, Office of the President, UFW Collection; Ibid; Dowie, Losing Ground, pp. 1-8;\nGottlieb, Forcing the Spring, pp. 117-161;\nNorman, C., Regulating pesticides: The delaney paradox (1987) Science, 236, p. 1054;\nHoberg, G., (1992) Pluralism by Design: Environmental Policy and the American Regulatory State, pp. 120-121. , New York;\nGreen, M.D., The politics of pesticides (1969) The Nation, 209, pp. 569-571. , Nov. 24;\nDe Bell, G., (1970) The Environmental Handbook, p. 88. , New York;\nGreen, Politics of Pesticides, pp. 569-571;\nHarmer, Poisons, Profits, and Politics, p. 43;\nDille, Smith, Central Nervous System Effects of Chronic Exposure to Organophosphate Insecticides, pp. 475-478;\nNamba, Poisoning Due to Organophosphate Insecticides, pp. 475-492;\nHoberg, Pluralism by Design, pp. 119-120;\nMoses, M., Pesticide-related health problems and farmworkers (1989) AAOHN [American Association of Occupational Health Nurses] Journal, p. 1. , March;\nLast, J.M., Wallace, R.B., (1992) Public Health and Preventive Medicine, p. 488. , New York;\nSale, K., (1993) The Green Revolution: The American Environmental Movement, 1962-1992, pp. 21-27. , New York;\nShabecoff, P., (1993) A Fierce Green Fire: The American Environmental Movement, pp. 111-120. , New York;\nPage, J.A., O'Brien, M.-W., (1973) Bitter Wages: Ralph Nader's Study Group Report on Disease and Injury on the Job, pp. 41-44. , New York, For evidence of UFW disappointment, see folder 15, box 26, Office of the President, UFW Collection;\nGottlieb, Forcing the Spring, p. 244;\nFolder 15, box 26, Office of the President, UFW Collection; note; Folder 9, box 19, ibid; Jenkins, Politics of Insurgency, p. 142;\nFolder 15, box 26, Office of the President, UFW Collection; Jenkins, Politics of Insurgency, p. 176;\nTaylor, R.B., A romance rekindled (1973) The Nation, 216, pp. 366-370. , March 19;\nMajka, Majka, Farm Workers, Agribusiness, and the State, p. 201;\nFarm Workers, Agribusiness, and the State, p. 201;\nFolder &amp;quot;Info/Research-Pesticides 1974,&amp;quot; box 11, UFW Collection; Chavez Against the Wall, pp. 13-16;\nJenkins, Politics of Insurgency, p. 178;\nMajka, Majka, Farm Workers, Agribusiness, and the State, p. 202;\nCesar Chavez's decisive battle (1973) Business Week, p. 81. , Aug. 4;\nFolder &amp;quot;Info/Research-Pesticides 1974,&amp;quot; box 11, UFW Collection; Hoberg, Pluralism by Design, p. 124;\nPluralism by Design, pp. 124-127;\nThe dilemma of pesticides (1975) U.S. News and World Report, 79, p. 74. , Nov. 3;\nMajka, Majka, Farm Workers, Agribusiness, and the State, p. 213;\nFolder &amp;quot;Conditions/Pesticides,&amp;quot; box 2 [accession date, June 1, 1978], Administration Files, UFW Collection; Ibid; (1973) El Malcriado, pp. 8-9. , March 9;\n(1972) New York Times, , March 26;\n(1974) Time, 104, pp. 13-16. , Sept. 18;\nTaylor, A Romance Rekindled, pp. 366-370;\nTaylor, R.B., Something in the wind (1975) The Nation, 220, pp. 206-209. , Feb. 22;\nIBT's grim warning (1974) Business Week, p. 102. , May 4;\nFolder &amp;quot;Environmental Action,&amp;quot; box 2 [accession date, July 10, 1975], Works Department, UFW Collection; A broader look at the environment (1973) Sierra Club Bulletin, p. 18. , March;\nGottlieb, Forcing the Spring, p. 289;\nKazis, Grossman, Fear at Work, p. 247;\nWallick, F., Labor: Paying a price (1974) Equilibrium, pp. 22-25. , July;\n(1974) Equilibrium, pp. 22-25;\nSale, The Green Revolution, , introduction;\n(1971) Union News, 27, p. 2. , June;\nnote; Labor attacks the 'conservation caper,' (1972) San Francisco Chronicle, , Jan. 18;\nPorter E., Jr., The Sierra club-'ecclesiastical self-confidence,' (1973) The Sierra Club's Loma Prietan, p. 5. , March;\nLabor Chief Henning scores environmentalists (1972) Sacramento Bee, , Feb. 2;\nCline, A., Labor, ecology headed for showdown (1972) San Francisco Chronicle, , March 3;\nPeterson, J., Union chiefs, ecologists clash over job losses (1972) National Observer, 12. , Dec. 9;\n(1972) National Observer, 12;\n(1972) National Observer, 12;\n(1972) National Observer, 12;\n(1972) National Observer, 12;\n(1973) Shell Oil &amp;amp; Shell Chemical Strike, 1973;\nLerza, C., Giving shell some gas: Environmental issues reach the bargaining table (1973) Environmental Action, pp. 3-6. , March 3;\nA broader look at the environment (1973) Sierra Club Bulletin, 58, p. 18;\nShapley, D., Shell strike: Ecologists refine relations with labor (1973) Science, 180, p. 166. , April 13;\nGottlieb, Forcing the Spring, pp. 290-292;\nSierra Club Records, 1. , Sierra Club Collection;\nJenkins, The Politics of Insurgency, pp. 194-195;\nDeVall, The Governing of a Voluntary Organization, pp. 184-187;\nFolder &amp;quot;Mitchell/Goldwin Study of Environmental Action Membership, 6/14/83,&amp;quot; box 7, Environmental Action Collection, University of Pittsburgh; Jenkins, The Politics of Insurgency, pp. 194-195;\nEconomy and industrial relations Sierra Club Records, 1. , box 101, Sierra Club Collection;\nSierra Club Records, 1;\nnote; Ibid; ibid; Majka, Majka, Farm Workers, Agribusiness, and the State, pp. 226-233;\nJenkins, The Politics of Insurgency, pp. 192-194;\nFolder 17 &amp;quot;AFL-CIO Negotiations, 1974,&amp;quot; box 2, Marshall Ganz Files, and folder 7 &amp;quot;AFL-CIO, 1974,&amp;quot; box 31, Administration Department Files, UFW Collection; Chavez, C., Farm workers at risk (1993) Toxic Struggles: The Theory and Practice of Environmental Justice, pp. 163-170. , Richard Hofrichter, ed., Philadelphia;\nBarr, E.T., Sour grapes: Cesar Chavez 20 years later (1985) The New Republic, 193, p. 20. , Nov. 25;\nBurnstein, A., Chavez and the UFW (1983) Business Week, pp. 86-88. , Sept. 26;\nMooney, Majka, Farmers and Farm Workers Movements, p. 191;\nSale, The Green Revolution, p. 23;\nZakin, S., (1993) Coyotes and Town Dogs: EARTH FIRST! and the Environmental Movement, p. 168. , New York;\nCohen, M.P., (1988) The History of the Sierra Club, 1892-1970, pp. 395-434. , San Francisco;\nChavez, Farm Workers at Risk, pp. 167-168;\nGordon, R., Environmental Blues: Working-class Environmentalism and the Labor-environmental Alliance, 1968-1985, , Ph.D. dissertation, Wayne State University, forthcoming;\nGottlieb, Forcing the Spring, p. 291;\nLabor attacks the 'conservation caper,' (1972) San Francisco Chronicle, , Jan. 18;\n(1973) Shell Oil Company-OCAW Strike-1973, , Evans to McCloskey, Feb. 14, box 61, National Legislative Office Records, Sierra Club Collection;\nMcCloskey, Economy and industrial relations Shell Oil Company-OCAW Strike-1973, , to OCAW Environmental and Education Representative Richard Engler, Feb. 15, 1973, in which McCloskey stated that it was likely that the Sierra Club would provide striking workers with support; folder 53 box 101","page":"51-77","publisher":"University of California Press","title":"Poisons in the fields: The United Farm Workers, pesticides, and environmental politics","type":"article-journal","volume":"68"},"uris":["http://www.mendeley.com/documents/?uuid=71048432-b126-42f2-9a0f-5b1dd893b24c"]}],"mendeley":{"formattedCitation":"(Gordon, 1999; Cadieux and Slocum, 2015)","plainTextFormattedCitation":"(Gordon, 1999; Cadieux and Slocum, 2015)","previouslyFormattedCitation":"(Gordon, 1999; Cadieux and Slocum, 2015)"},"properties":{"noteIndex":0},"schema":"https://github.com/citation-style-language/schema/raw/master/csl-citation.json"}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(Gordon, 1999; Cadieux and Slocum, 2015)</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xml:space="preserve">. </w:t>
      </w:r>
    </w:p>
    <w:p w14:paraId="641C0BF0" w14:textId="74F0522A" w:rsidR="00197B65" w:rsidRPr="0037337F" w:rsidRDefault="008218B0" w:rsidP="000663AA">
      <w:pPr>
        <w:spacing w:line="240" w:lineRule="auto"/>
        <w:ind w:firstLine="425"/>
        <w:jc w:val="both"/>
        <w:rPr>
          <w:rFonts w:ascii="Times New Roman" w:hAnsi="Times New Roman" w:cs="Times New Roman"/>
          <w:sz w:val="24"/>
          <w:szCs w:val="24"/>
          <w:lang w:val="id-ID"/>
        </w:rPr>
      </w:pPr>
      <w:r w:rsidRPr="0037337F">
        <w:rPr>
          <w:rFonts w:ascii="Times New Roman" w:hAnsi="Times New Roman" w:cs="Times New Roman"/>
          <w:sz w:val="24"/>
          <w:szCs w:val="24"/>
        </w:rPr>
        <w:t xml:space="preserve">This study has a special character that distinguishes it from others despite being focused sociological, political, and environmental conservation issues  </w:t>
      </w:r>
      <w:r w:rsidRPr="0037337F">
        <w:rPr>
          <w:rFonts w:ascii="Times New Roman" w:hAnsi="Times New Roman" w:cs="Times New Roman"/>
          <w:sz w:val="24"/>
          <w:szCs w:val="24"/>
        </w:rPr>
        <w:fldChar w:fldCharType="begin" w:fldLock="1"/>
      </w:r>
      <w:r w:rsidRPr="0037337F">
        <w:rPr>
          <w:rFonts w:ascii="Times New Roman" w:hAnsi="Times New Roman" w:cs="Times New Roman"/>
          <w:sz w:val="24"/>
          <w:szCs w:val="24"/>
        </w:rPr>
        <w:instrText>ADDIN CSL_CITATION {"citationItems":[{"id":"ITEM-1","itemData":{"DOI":"10.1177/2230807514524046","ISSN":"22308075 (ISSN)","abstract":"The farmers’ movement in Maharashtra was understood as, and identified essentially with, economism—raising demands related to prices of farm produce, inputs and agricultural credit, etc. However, the Shetkari Sanghatana did attempt to go far beyond simple economic demands. It involved women in its numerous agitations—like rasta roko, rail roko, blockade of the Collector’s office at the district and also at local levels between 1980 and 1994. However, the movement sought women’s liberation and gender equity without any cogent critique of patriarchy; instead the agenda document prepared by Joshi reaffirmed its position regarding marriage and family institution as indispensable. Women’s mass mobilisation was thus only an entry point for the Sanghatana into electoral politics that it had eschewed initially. The Sanghatana thus used the agenda of women’ s liberation and empowerment as a sheer token symbolism and women’s mass mobilisation as an instrument of its pragmatic populist politics. While it raised women’s hopes, this strategy left many women activists in total despair. © 2014, © 2014 Jamia Millia Islamia.","author":[{"dropping-particle":"","family":"Dhanagare","given":"D N","non-dropping-particle":"","parse-names":false,"suffix":""}],"container-title":"History and Sociology of South Asia","id":"ITEM-1","issue":"2","issued":{"date-parts":[["2014"]]},"language":"English","note":"Cited By :1\n\nExport Date: 3 March 2021\n\nCorrespondence Address: Dhanagare, D.N.; Indian Institute of Advanced StudiesIndia; email: dhanagare.dn@gmail.com\n\nReferences: Sen, S., Nasik to Nipani (1981) Frontier, 13 (34), pp. 1-2; \nParulekar, V., Yoddha Shetkari (Farmer Warrior) (1981) Marathi, , Pune: Rajhans Prakashan;\nKhairnar, M.M., Shetkari Mahila Aghadichi Watchal—Prawas Atmasakshtakaacha (1989) (WFSS—A Journey Towards Self-Revelation) a Compilation of Events, 6 (15), pp. 9-21. , in Marathi, Shetkari Sanghatak (Special Issue—Amravati Adhiveshan/rally of Women Farmers);\nKhairnar, Shetkari Mahila Aghadichi Watchal, pp. 9-13;\nKhairnar, Shetkari Mahila Aghadichi Watchal, p. 13;\nKhairnar, Shetkari Mahila Aghadichi Watchal, pp. 14-17;\nOmvedt, G., Revolution, R., (1993) New Social Movements and the Socialist Tradition in India, , New York: M.E. Sharpe Inc;\nJoshi, S., (1986), Streeyancha Prashna—Chandwadchi Shidori (The Women’s Problems—Tiffin from Chandwad, that is, the Chandwad Declaration), in Marathi, Publication No. 120 (Alibagh: Shetkari Prakashan, The name of the author of the Chandwad Declaration, as it appears on the booklet Chandwadchi Shidori is Sharad Joshi; Sanghatak, S., (1989) A Marathi Fortnightly, Special Issue for AA—the Amravati Adhiveshan—Women’s Rally in Amravati, 6 (15). , 10 November;\nSanghatak, S., It is obvious that in the Chandwad document, Sharad Joshi has tried to counter some of the arguments of radical feminist about male domination as he thought they are inherent in patriarchy when he said that ‘dominant role might have been thrust on males too’. For a detailed discussion on the three consequences, AA-1-AA-7; (2009), pp. 15-22. , In fact one activist Gorakh Sonawane wrote that women have greater tenacity than men; once a woman is convinced about the importance of Mahila Aghadi work, other women from her household and neighbourhood also join her. A woman supporter, who courts arrest, spends a few days in jail and is later discharged, feels liberated and starts working with greater enthusiasm. Therefore, ‘one woman is equal to hundred men’ (see AA Special Issue 1989: 7). Bhagwat, “Shetkari Sanghtana - ‘Stree - Prashna’ che Akalan (Shetkari Sanghtana and its understanding of the Women’s Issues” in Marathi), in Antarnad, (Special Issue on Sharad Joshi), (Pune: October; Joshi, Streeyancha Prashna, pp. 8-18;\nJoshi, Streeyancha Prashna, pp. 17-18;\nJoshi, Streeyancha Prashna, p. 20;\nJoshi, Streeyancha Prashna, p. 28;\nEngels, F., (1952) The Origin of the Family, Private Property and the State, pp. 286-292. , Moscow: Foreign Language Publishing House;\nGriffin, S., (1982) Made from This Earth: (Selections from Her Writings), pp. 8-9. , London: The Women’s Press Limited;\nJoshi, Streeyancha Prashna, pp. 30-31;\nJoshi, Streeyancha Prashna, pp. 32-33;\nGriffin, S., Made from This Earth, p. 10;\nDhanagare, D.N., (1983) Peasant Movements in India, C. 1920-50, pp. 129-150. , Delhi: Oxford University Press;\nOmvedt, G., Reinventing Revolution;\nBhagwat, (2009), pp. 1-2; Bhagwat, (2009), p. 16. , Whether there was any formal alliance between Sharad Patil’s Satyashodhak Marxist Communist Party and Sharad Joshi’s Shetkari Sanghatana or any unwritten pact between the two is still shrouded in mystery. It is quite intriguing that Joshi, who always proclaimed to be a non-Marxist and Sharad Patil a card-holding Communist agreed to hold the women’s rally at Chandwad to focus the issue of women’s liberation but the latter did not participate in the rally!; (2007) Radical Feminism Today, p. 6. , Denise Thompson, London: Sage Publications;\nThompson, D., Radical Feminism Today, pp. 7-11. , This position of contemporary feminism has been summarised from the discussion in Thompson, who asserts that feminism targets sharing power and positions of domination in society without which women’s freedom would not be possible;\nFirestone, S., (2007) The Dialectic of Sex: The Case of Feminist Revolution, , New York: Bantam Books;\nMillet, K., (1970) Sexual Politics, p. 25. , London: Rupert Hart-Davis;\nJoshi, Streeyancha Prashna, pp. 35-36;\nBrownmiller, S., (1975) Against Our Will: Men, Women and Rape, pp. 14-15. , New York: Simon and Schuster;\nTong, R., (1989) Feminist Thought: A Comprehensive Introduction, pp. 134-135. , Boulder, San Francisco: Westview Press;\nGriffin, Made from This Earth, pp. 41-45;\nGriffin, S., (1980) Woman and Nature: The Roaring inside Her, , New York: Harper Colophone Books;\nMies, M., (1994) Patriarchy and Accumulation on a World Scale: Women in the International Division of Labour, pp. 37-38. , London: Zed Books Ltd. (Fifth impression);\nMies, Patriarchy and Accumulation on a World Scale, pp. 100-101;\nGriffin, Made from This Earth, p. 55;\nJoshi, Streeyancha Prashna, p. 38;\nJoshi, Streeyancha Prashna, pp. 42-43;\nAlvares, C., , p. 119. , Joshi was asked ‘whether his organisation followed the Gandhian strategy of satyagraha’, and he said, ‘We are definitely making up for the errors in the logic of both (that is, Marxism and Gandhism)’. As cited in Omvedt, Reinventing Revolution; Joshi, Streeancha Prashna;\nJoshi, Streeancha Prashna, pp. 50-51;\nJoshi, Streeancha Prashna, pp. 50-51;\nArditi, B., Populism as an Internal Periphery of Democratic Politics (2005) Populism and the Mirror of Democracy, pp. 72-98. , F. Panizza (ed.) (London: Verso;\nJoshi, S., He strongly distinguished himself from the Gandhians as he was in favour of a balanced village-centred agro-industrial economy, was appreciative of modern technology and that described his movement as always attempting materialistic analysis of exploitation of peasant/rural economy Contrast He Characterised Gandhians as ‘romantic, Anti-Technology, Idealistic and reformist’, p. 121. , when once asked whether his movement was following the agitational style of Mahatma Gandhi, categorically replied in the negative, Omvedt, Reinventing Revolution;\nSanghatak, S., , pp. 52-54. , AA1-AA15; also Joshi, Streeancha Prashna; Mazur, A.G., (2002) Theorizing Feminist Policy, pp. 80-99. , This resolution is in line with the demand for ‘equal employment opportunity policy’ that theorists of feminist policy often voice or talk about, Oxford: Oxford University Press;\nAdhivweshan, M., , pp. 5-8. , For the detailed draft resolutions and statements issued to justify them, Amravati Special Issue; Bhagwat, V., (1987), pp. 54-56. , Shetkari Mahila ani Panchayat Rajya (Women Farmers and Panchayat Raj, in Marathi) (Alibagh: Shetkari Prakashan; Sanghtana, S., , p. 1; Gill, S.S., The Farmers’ Movement and Agrarian Change in the Green Revolution Belt of North-West India (1994) The Journal of Peasant Studies, 21 (3-4), pp. 195-211;\nGill, S.S., Singhal, K.C., Punjab Farmers’ Agitation: Response to Development Crisis of Agriculture (1984) Economic and Political Weekly, 19 (40), pp. 120-128;\nGupta, D., Country-Town Nexus and Agrarian Mobilisation—Bharatiya Kisan Union as an Instance (1988) Economic and Political Weekly, 27 (51), pp. 2688-2698. , 17 December;\nGupta, D., (1997) Rivalry &amp;amp; Brotherhood: Politics in the Life of Farmers in Northern India, , Delhi: Oxford University Press;\nHasan, Z., (1989) Dominance and Mobilisation: Rural Politics in Western Uttar Pradesh, 1930-1980, , New Delhi: Sage Publications;\nHasan, Z., Shifting Ground: Hindutva Politics and the Farmers’ Movement in Uttar Pradesh (1994) The Journal of Peasant Studies, 21 (3-4), pp. 165-194;\nAssadi, M.H., (1997) Peasant Movement in Karnataka 1980-94, pp. 222-224. , Delhi: Shipra Publications;\nAssadi, Peasant Movement in Karnataka, pp. 224-226;\nAssadi, Peasant Movement in Karnataka, pp. 224-225;\nOmvedt, Reinventing Revolution;\nOmvedt, Reinventing Revolution, pp. 87-90;\nOmvedt, Reinventing Revolution, pp. 226-228;\nBhagwat, , pp. 10-13. , Shetkari Mahila ani Panchayat Raj; Bhagwat, , p. 12. , Shetkari Mahila ani Panchayat Raj, This ‘ideal-type’ world view of the Panchayat Raj sounds like Abraham Lincoln’s definition of democracy; however, though it appeals to people at large, it is seldom actualised as the ground reality. Such attractive slogans of Shetkari Sanghatana have streaks of populist ideology that is hallmark of the farmers’ movement; Joshi, S., (2010) Mothers and Sisters) in Marathi, pp. 36-37. , See the text of Joshi’s address at the Nanded rally, in, Majhya Shetkari Bhavano, May, Bahinino (My Farmer Brothers, Aurangabad: Janashakti Wachak Chalwal;\nOmvedtrevolution, R., , p. 219; Bhagwat, V., (2009) Shetkari Sanghatana Ani Stree Prashnache Aakalan, pp. 15-22. , Shetkari Sanghatana and its Understanding of Women’s Issues, in Marathi), Antarnaad (A Marathi Magazine—October;\nSanghatak, S., Special Issue AA, 7-8. It is noteworthy that in 1987-88, a hard-core Marxist feminist like Gail Omvedt and another activist of the women’s movement in Maharashtra, Vidyut Bhagwat, were actively participating in the WFSS electoral campaign for village Panchayats. They all seemed to agree with Brownmiller’s position on rape as the chief weapon of male domination and hence wanted capturing power in Panchayat Raj institutions to prevent incidence of rape and provide better security for women; Omvedt, Reinventing Revolution, p. 219;\nJoshi, S., (2010) Poshindyanchi Lokshahi (Democracy of Those Who Feed the Country, in Marathi), pp. 85-86. , Aurangabad: Janashakti Wachak Chalwal;\nJoshi, Poshindyanchi Lokshahi, pp. 89-91;\nOmvedt, Reinventing Revolution, pp. 219-220;\nOmvedt, Reinventing Revolution, pp. 220-221;\nKishwar, M., Towards More Just Norms for Marriage (1989) Manushi, 53 (3), pp. 2-9. , Views of Madhu Kishwar on ‘why she did not consider herself to be a feminist and why she was not against dowry’ are fairly well known. Mere opposition to dowry, according to her, was not going to alter the powerless position of women in their own households;\nKishwar, M., Ways to Combat Communal Violence: Thought on International Women’s Day (1991) Manushi, 62 (7), pp. 2-9. , It is perhaps a coincidence that her writings came out about the same time of the second mass rally of women in Amravati;\nGuru, G., Shetkari Sanghtana and the Pursuit of “Laxmi Mukti” (1992) Economic and Political Weekly, 27 (28), pp. 1463-1465. , 11 July, The title to be given to such villages was named after Mahatma Jotiba Phule—a social reformer who led the non-Brahmin Satyashodhak movement in the nineteenth century—and aimed at interrogating the Brahmanical hegemony and asserting the rights of common toiling masses to education and other social reforms (see Omvedt, Reinventing Revolution);\nOmvedt, Reinventing Revolution, pp. 223-225;\nGuru, Shetkari Sangathana, p. 1464;\nGuru, Shetkari Sangathana’, p. 1464;\nBhagwat, V., (2013), 17 October; Bhagwat, Shetkari Sangathana, pp. 19-20;\nBhagwat, Shetkari Sangathana, pp. 20-21;\nArora, V., Politics of Class (Ness) in the Farmers’ Movement in India: Validity of the New Social Movement Paradigm (2001) Sociological Bulletin, 50 (1), pp. 84-121;\nCanovan, M., Trust the People! Populism and the Two Faces of Democracy (1991) Political Studies48, 1, pp. 2-16;\nBhagwat, (2009), pp. 17-19; Joshi, Majhya Shetkari Bhavano, p. 36;\nJoshi, Majhya Shetkari Bhavano, pp. 19-20","page":"157-194","publisher":"SAGE Publications Ltd","publisher-place":"Indian Institute of Advanced Studies, Shimla, India","title":"Selective Appropriation of Gender Ideology: Mahila Aghadi of the Farmers’ Movement in Maharashtra (1986–2004)","type":"article-journal","volume":"8"},"uris":["http://www.mendeley.com/documents/?uuid=a92ec550-7007-4b94-b2fb-a1502b774f9f"]}],"mendeley":{"formattedCitation":"(Dhanagare, 2014)","plainTextFormattedCitation":"(Dhanagare, 2014)","previouslyFormattedCitation":"(Dhanagare, 2014)"},"properties":{"noteIndex":0},"schema":"https://github.com/citation-style-language/schema/raw/master/csl-citation.json"}</w:instrText>
      </w:r>
      <w:r w:rsidRPr="0037337F">
        <w:rPr>
          <w:rFonts w:ascii="Times New Roman" w:hAnsi="Times New Roman" w:cs="Times New Roman"/>
          <w:sz w:val="24"/>
          <w:szCs w:val="24"/>
        </w:rPr>
        <w:fldChar w:fldCharType="separate"/>
      </w:r>
      <w:r w:rsidRPr="0037337F">
        <w:rPr>
          <w:rFonts w:ascii="Times New Roman" w:hAnsi="Times New Roman" w:cs="Times New Roman"/>
          <w:noProof/>
          <w:sz w:val="24"/>
          <w:szCs w:val="24"/>
        </w:rPr>
        <w:t>(Dhanagare, 2014)</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Furthermore, other social movements such as political, bureaucratic reform, and moral movements are oriented towards collective efforts initiated by certain elites to change the power structure, bureaucracy, and socio-cultural structure of society. Meanwhile, the farmers' social movement is a collective effort of a group of farmers that started with issues of rights, access, and sustainability of agricultural ecosystems</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fldChar w:fldCharType="begin" w:fldLock="1"/>
      </w:r>
      <w:r w:rsidR="0037337F" w:rsidRPr="0037337F">
        <w:rPr>
          <w:rFonts w:ascii="Times New Roman" w:hAnsi="Times New Roman" w:cs="Times New Roman"/>
          <w:sz w:val="24"/>
          <w:szCs w:val="24"/>
        </w:rPr>
        <w:instrText>ADDIN CSL_CITATION {"citationItems":[{"id":"ITEM-1","itemData":{"DOI":"10.1080/03066159408438558","ISSN":"03066150 (ISSN)","author":[{"dropping-particle":"","family":"Hasan","given":"Z","non-dropping-particle":"","parse-names":false,"suffix":""}],"container-title":"The Journal of Peasant Studies","id":"ITEM-1","issue":"3-4","issued":{"date-parts":[["1994"]]},"language":"English","note":"Cited By :13\n\nExport Date: 3 March 2021\n\nCorrespondence Address: Hasan, Z.; Centre for Political Studies, , New Delhi-110067, India\n\nFunding details: Indian Council of Social Science Research\n\nFunding text 1: Zoya Hasan, Centre for Political Studies, School of Social Sciences, Jawaharlal Nehru University, New Delhi-110067, India. For comments and suggestions which have much improved this paper, the author is grateful to Tom Brass, Uma Chakravarthi and Utsa Patnaik, and to the participants in the Workshop on the 'New Farmers' Movements in India' organised by the Journal of Peasant Studies and the Indian Council of Social Science Research, New Delhi, March 1993.\n\nReferences: Baru, S., (1990) The Political Economy of Indian Sugar: State Intervention and Structural Change, , Delhi:: Oxford University Press; \nBhalla, G.S., Tyagi, D.S., (1989) Patterns in Indian Agricultural Development: A District Level Study, , Delhi: Institute for Studies in Industrial Development;\nBrass, P., The Politicisation of the Peasantry in a North Indian State (1980) Journal of Peasant Studies, 8 (1);\nByres, T.J., Charan Singh 1902-97: An Assessment (1988) Journal of Peasant Studies, 15 (2);\nCalman, L.J., (1992) Towards Empowerment: Women and Movement Politics in India, , Boulder, CO: Westview;\nChakravarthi, U., Chowdhury, P., Dutta, P.K., Hasan, Z., Sangari, K., Sarkar, T., Khurja Riots 1990: Understanding the Conjuncture (1992) Economic and Political Weekly, 27 (18);\nDhanagare, D.N., An Apoliticist Populism (1988) Seminar, , No 352;\nDuncan, I., Party Politics and the North Indian Peasantry: The Rise of the BKD in UP (1988) Journal of Peasant Studies, 16 (1);\nGill, S.S., Singhal, K., Farmers Agitation: Response to Development Crisis of Agriculture (1984) Economic and Political Weekly, 19 (40);\n(1975) All-India Report on Agricultural Census, 1970–71, , New Delhi: Ministry of Agriculture and Irrigation;\n(1992) All-India Report on the Agricultural Census, , New Delhi: Ministry of Agriculture and Irrigation;\n(1981) Agriculture Census in Uttar Pradesh, 1980–81, , Lucknow: Board of Revenue;\n(1986) Statistical Abstract: Uttar Pradesh, 1983–4, , Lucknow: Economics and Statistic Division, State Planning Institute;\n(1989) Statistical Diary: Uttar Pradesh, 1988, , Lucknow: Economics and Statistics Division, State Planning Institute;\nGupta, D., Country-Town Nexus and Agrarian Mobilisation: Bharatiya Kisan Union (1988) Economic and Political Weekly, 23 (51);\nHasan, Z., Self-Serving Guardians: Formation and Strategy of the Bharatiya Kisan Union (1989) Economic and Political Weekly, 24 (45);\nHasan, Z., Patnaik, U., Aspects of the Farmers Movement in Uttar Pradesh in the Context of Uneven Growth of Capitalist Agriculture Social Change and Political Discourse in India, , forthcoming T.V. Satyamurthy (ed.) Delhi:: Oxford University Press;\nKant, A., (1990) Agrarian Mobilisation in Western Uttar Pradesh: A Case Study of the Bhartiya Kisan Union, , M. Phil Dissertation, School of Social Sciences, Jawharlal Nehru University;\nLenneberg, C., Sharad Joshi and the Farmers: ‘The Middle Peasant Lives (1988) Pacific Affairs, 61 (3);\nMitra, A., (1977) Terms of Trade and Class Relations, , London: Frank Cass;\nNadkarni, M.V., (1987) Farmers’ Movements in India, , Delhi: Allied Publishers;\nOmvedt, G., New Movements (1988) Seminar, , No.352;\nOmvedt, G., The Farmers Movement in Maharashtra (1990) A Space Within the Struggle, , I. Sen (ed.) Delhi: Kali for Women;\nOmvedt, G., Peasants, Dalits, and Women: Democracy and India’s New Social Movements? (1992), Paper presented at a workshop on ‘Social Movements, State and Democracy’ organised by the Delhi University Group on Politics of Developing Countries and the Indian Statistical Institute Sociology Group, New Delhi, 5–8 Oct; Patnaik, U., The Agrarian Question and the Development of Capitalism in India (1986) Economic and Political Weekly, 21 (18);\nPatnaik, U., Food Availability and Famine: A Longer View (1992) Journal of Peasant Studies, 19 (1);\n(1989) Communal Tensions in India: September-October 1989, , Delhi: PUDR;\n(1990) Disputed Passages: Report on Law, Reservations and Agitations, , Delhi: PUDR;\nPradhan, M.C., (1986) The Political System of the Jats of Northern India, , Bombay:: Oxford University Press;\nRoy, P.K., Farmers Power (1988) Frontline, , 20 Feb.-4 March;\nRao, V.K.R., (1983) India's National Income 1950–1980, , Delhi: Sage;\nRudolph, L.I., Rudolph, S.H., (1987) In Pursuit of Laxmi: The Political Economy of the Indian State, , Delhi: Orient Longman;\nKripa, S., (1990) Land Transfers: A Case Study, , Delhi: Gian Publishing House;\nSingh, B., Misra, S., (1984) A Study of Land Reforms in UP, , Calcutta: Oxford Book Co;\nSingh, C., (1981) Land Reform in UP and the Kulaks, , Delhi: Vikas Publishing House;\nSingh, J., (1992) Capitalism and Dependence: Agrarian Politics in Western Uttar Pradesh 1951–1991, , Delhi: Manohar;\nVarshney, A., Introduction: Urban Bias in Perspective (1993) Journal of Development Studies, 29 (4);\nVarshney, A., Self-Limited Empowerment: Democracy, Economic Development and Rural India (1993) Journal of Development Studies, 29 (4);\nWestley, J.R., (1986) Agriculture and Equitable Growth: The Case of Punjab-Haryana, , London: Westview Press","page":"165-194","publisher-place":"Centre for Political Studies, School of Social Sciences, Jawaharlal Nehru University, New Delhi-110067, India","title":"Shifting Ground: Hindutva Politics and the Farmers’ Movement in Uttar Pradesh","type":"article-journal","volume":"21"},"uris":["http://www.mendeley.com/documents/?uuid=37252012-d87f-4956-bcbc-fad900972f07"]},{"id":"ITEM-2","itemData":{"DOI":"10.1526/003601104322919919","ISSN":"00360112 (ISSN)","abstract":"Sustainable development demands institutions manage the conflicts and struggles that inevitably arise over material and ideal interests. While current cooperative theory privileges the economic element, a political economy of cooperation emphasizes cooperatives tentative bridging of economic and political spheres with a democratic ethos. The cooperatives democratic political structure exists in tension with a capitalist economic structure and other sites of friction. These contradictions are: in the realm of social relations, between production and consumption; in the realm of spatial relations, between the local and the global; and in the realm of collective action, between cooperatives as both traditional as well as new social movements. Where neo-classical economic models seek to eliminate or reduce these tensions, political economy views these tensions as functional to sustainability by creating an \"institutional friction\", that facilitates innovation, flexibility and long-term adaptability. This-political economy of cooperation is intended as a step toward the development of a multidimensional sociology of cooperation. © 2004 by the Rural Sociological Society.","author":[{"dropping-particle":"","family":"Mooney","given":"P H","non-dropping-particle":"","parse-names":false,"suffix":""}],"container-title":"Rural Sociology","id":"ITEM-2","issue":"1","issued":{"date-parts":[["2004"]]},"language":"English","note":"Cited By :43\n\nExport Date: 3 March 2021\n\nCorrespondence Address: Mooney, P.H.; Department of Sociology, , Lexington, KY 40506-0027, United States; email: SOC168@uky.edu\n\nReferences: Barton, D.G., What is a cooperative? (1989) Cooperatives in Agriculture, pp. 1-20. , D. Cobia, Editor. Englewood Cliffs, N.J.: Prentice-Hall; \nBenford, R.D., Frame disputes in the nuclear disarmament movement (1993) Social Forces, 71 (3), pp. 677-701;\nBoggs, C., (1986) Social Movements and Political Power: Emerging Forms of Radicalism in the West, , Philadelphia: Temple University Press;\nBeuchler, S.M., New social movement theories (1995) The Sociological Quarterly, 36 (3), pp. 441-464;\nBusch, L., Beyond politics: Rethinking the future of democracy (1999) Rural Sociology, 64 (1), pp. 2-17;\nBusch, L., (2000) The Eclipse of Morality: Science, State and Market, , Hawthorne, NY: Aldine De Gruyter;\nButtel, F.H., Some observations on agro-food change and the future of agricultural sustainability movements (1997) Globalizing Food: Agrarian Questions and Global Restructuring, pp. 344-365. , edited by D. Goodman and M.J. Watts. London: Routledge;\nCastells, M., (1983) The City and the Grassroots, , Berkeley: University of California Press;\nCobia, D., (1989) Cooperatives in Agriculture, , (Ed.). Englewood Cliffs, N.J.: Prentice-Hall;\nCoffey, J.D., Comment: Edwin nourse's 'The place of the cooperative in our national economy' (1992) Journal of Agricultural Cooperation, 7, pp. 111-114;\nCohen, J., Rogers, J., (1983) On Democracy, , New York: Penguin;\nCohen, J., Rogers, J., (1995) Associations and Democracy, , London: Verso;\nCollins, R.A., The conversion of cooperatives to publicly held corporations: A financial analysis of limited evidence (1991) Western Journal of Agricultural Economics, 16 (2), pp. 326-330;\nCollins, R.A., (1991) Analysis of Economic Motives for Cooperative Conversions to Corporations, , University of California: Center for Cooperatives;\nCook, M., Torgerson, R., Sporleder, T., Padberg, D., (1997) Cooperatives: Their Importance in the Future Food and Agricultural System, , Washington, D.C.: National Council of Farmer Cooperatives and The Food and Agricultural Marketing Consortium;\nEtzioni, A., (1993) The Spirit of Community: The Reinvention of American Society, , New York: Touchstone;\nFlora, J.L., Flora, C., Hansen, H., Sharp, J.S., New cooperatives, community, and entrepreneurial social structure (1997) The Rural Sociological Society Annual Meetings, , Toronto, Ontario. August;\nFriedmann, H., Food politics: New dangers, new possibilities (1995) Food and Agrarian Orders in the World Economy, , P. McMichael, editor. Westport, CT: Praeger Publishing;\nGiddens, A., (2002) Runaway World: How Globalization Is Reshaping Our Lives, , London: Profile Books;\nGrabher, G., Stark, D., Organizing diversity: Evolutionary theory, network analysis and post-socialism (1998) Theorising Transition: The Political Economy of Post-Communist Transformation, pp. 54-75. , edited by J. Pickles and A. Smith. London: Routledge;\nHassanein, N., (1999) Changing the Way America Farms: Knowledge and Community in the Sustainable Agriculture Movement, , Lincoln: University of Nebraska Press;\nHendrickson, M., Heffernan, W.D., Howard, P.H., Heffernan, J.B., (2001) Consolidation in Food Retailing and Dairy: Implications for Farmers and Consumers in a Global Food System, , University of Missouri Department of Rural Sociology: Report to the National Farmers Union. January 8;\nJohnston, H., Larana, E., Gusfield, J., Identities, grievances, and new social movements (1994) New Social Movements: From Ideology to Identity, pp. 3-35. , Philadelphia: Temple University Press;\nLacy, W.B., Empowering communities through public work, science, and local food systems: Revisiting democracy and globalization (2000) Rural Sociology, 65 (1), pp. 3-26;\nLasley, R.P., (1981) Organizational Structure and Membership Participation in Farmer Cooperatives, , Ph.D. Dissertation, Department of Sociology, University of Missouri-Columbia;\nLeHeron, R., Roche, M., Sustainability and institution building: Issues and prospects as seen from New Zealand (1997) Globalizing Food: Agrarian Questions and Global Restructuring, pp. 366-374. , edited by D. Goodman and M. J. Watts. London: Routledge;\nLevine, D.N., (1985) The Flight from Ambiguity: Essays in Social and Cultural Theory, , Chicago: University of Chicago Press;\nMcMichael, P., Globalization: Myths and realities (1996) Rural Sociology, 61 (1), pp. 25-55;\nMclucci, A., A strange kind of newness: What's 'new' in the new social movements (1994) New Social Movements: From Ideology to Identity, pp. 101-130. , Philadelphia: Temple University Press;\nMitchell, T., (1987) Political Education in the Southern Farmers Alliance, 1887-1900, , Madison: University of Wisconsin Press;\nMooney, P.H., Roahrig, J., Gray, T.W., The de/repoliticization of cooperation and the discourse of conversion (1996) Rural Sociology, 61 (4), pp. 559-576;\nMooney, P.H., Majka, T.J., (1995) Farmers and Farm Workers Movements: Social Protest in American Agriculture, , New York: Twayne;\nMooney, P.H., Hunt, S.A., A repertoire of interpretations: Master frames and ideological continuity in U.S. agrarian mobilization (1996) The Sociological Quarterly, 37 (1), pp. 177-197;\nMooney, P.H., Gray, T.W., (2002) Cooperative Restructuring in Theory and Practice, , Washington: D.C.: United States Department of Agriculture, Rural Business and Cooperative Service: Research Report # 185;\nMorlan, R., (1955) Political Prairie Fire: The the Non-Partisan League. 1915-1922, , Minneapolis: University of Minnesota Press;\nRedclift, M., Sustainability and theory: An &amp;quot;genda for action (1997) Globalizing Food: Agrarian Questions and Global Restructuring, pp. 333-343. , edited by D. Goodman and M. J. Watts. London: Routledge;\nReynolds, B.J., Gray, T.W., Kraenzle, C.A., Voting and representation systems in agricultural cooperatives (1997) RBS Research Report 156, , June;\nSaloutos, T., Hicks, J.D., (1951) Twentieth Century Populism: Agricultural Discontent in the Middle West, 1900-1939, , Lincoln: University of Nebraska Press;\nSchrader, L., Equity capital and restructuring of cooperatives as investor-oriented firms (1989) Journal of Agricultural Cooperation, 4, pp. 41-53;\nSeipel, M., Heffernan, W.D., (1997) Cooperatives in a Changing Global Food System, , Washington, D.C.: USDA Rural Business-Cooperative Service. Research Report 157;\nSeiling, J.G., (1997) The Membership Organization: Achieving Top Performance Through the New Workplace Community, , Palo Alto: Davies-Black;\nSmith, F.J., Cooperatives in agriculture (1988) Journal of Agricultural Cooperation, 3 (1), pp. 107-109. , Review of D. W. Cobia (ed.);\n(1999) Madison Declaration on the Need for Socio-Economic Research and Theory, , http://www.sase.org/conf99/declaration.html, Society for the Advancement of Socio-Economics. The Society for the Advancement of Socio-Economics. Website;\nSwanson, L.E., Rural policy and direct local participation: Democracy, inclusiveness, collective agency, and locality-based policy (2001) Rural Sociology, 66 (1), pp. 1-21;\nTaylor, V., Social movement continuity: The women's movement in abeyance (1989) American Sociological Review, 54, pp. 75-761;\nTilly, C., (1978) From Mobilization to Revolution, , Reading, MA: Addison-Wesley;\nTouraine, A., (1988) The Return of the Actor: Social Theory in Post-Industrial Society, , Minneapolis: University of Minnesota Press;\nTorgerson, R.C., Reynolds, B.J., Gray, T.W., Evolution of cooperative thought, theory and purpose (1997) Cooperatives: Their Importance in the Future of the Food and Agricultural System, pp. 3-20. , D. Padberg (ed.) College Station, Texas: Texas AandM University;\nCo-ops break supply sales record (1998) Rural Cooperatives, 65 (6), pp. 4-6. , United States Department of Agriculture: Rural Development. November/December;\n(1999) Farmer Cooperative Statistics, , United States Department of Agriculture: Rural Business Cooperative Service. RBS Service Report #59;\nVoorhis, J., (1961) American Cooperatives: Where They Come From, What They Do, Where They Are Going, , New York: Harper and Brothers;\nWadsworth, J.J., (1998) Cooperative Restructuring, 1989-1998, , USDA Rural Business-Cooperative Service. Service Report #57. November","page":"76-98","publisher":"Rural Sociological Society","publisher-place":"Department of Sociology, University of Kentucky, Lexington, KY 40506-0027, United States","title":"Democratizing rural economy: Institutional friction, sustainable struggle and the cooperative movement","type":"article-journal","volume":"69"},"uris":["http://www.mendeley.com/documents/?uuid=4fd681d2-0feb-4aa4-822b-ea2d4c0bc45a"]}],"mendeley":{"formattedCitation":"(Hasan, 1994; Mooney, 2004)","plainTextFormattedCitation":"(Hasan, 1994; Mooney, 2004)","previouslyFormattedCitation":"(Hasan, 1994; Mooney, 2004)"},"properties":{"noteIndex":0},"schema":"https://github.com/citation-style-language/schema/raw/master/csl-citation.json"}</w:instrText>
      </w:r>
      <w:r w:rsidRPr="0037337F">
        <w:rPr>
          <w:rFonts w:ascii="Times New Roman" w:hAnsi="Times New Roman" w:cs="Times New Roman"/>
          <w:sz w:val="24"/>
          <w:szCs w:val="24"/>
        </w:rPr>
        <w:fldChar w:fldCharType="separate"/>
      </w:r>
      <w:r w:rsidRPr="0037337F">
        <w:rPr>
          <w:rFonts w:ascii="Times New Roman" w:hAnsi="Times New Roman" w:cs="Times New Roman"/>
          <w:noProof/>
          <w:sz w:val="24"/>
          <w:szCs w:val="24"/>
        </w:rPr>
        <w:t>(Hasan, 1994; Mooney, 2004)</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In general, it was initiated by farmers that were dealing with some problems, such as land rights, eviction of agricultural land, unfair product prices, domination of the role of the state and the private sector in agricultural affairs, environmental damage due to mining exploration, and several other problems, which invited peasants to initiate social movements</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{"citationItems":[{"id":"ITEM-1","itemData":{"DOI":"10.1177/0011392117737818","ISSN":"00113921 (ISSN)","abstract":"This research extends existing scholarship on the environmental movement by examining different groups of participants, building on the distinctions between public and private modes of engagement. The article uses data from the 2010 United States General Social Survey and the International Social Survey Programme to first conduct a latent class analysis to explore the existence of different classes of participants, and then presents a multinomial logit model to examine factors that affect class membership. The study finds there are four classes in the analysis of the environmental movement: a group of non-participators, a group that engages primarily in more organizationally-based environmental movement activities, a group that engages in green lifestyle activities, and a group that engages in both types of activities, but only at a high-intensity level. The study also finds that there are distinct differences in the composition of each group. © The Author(s) 2017.","author":[{"dropping-particle":"","family":"Tripp","given":"W B","non-dropping-particle":"","parse-names":false,"suffix":""}],"container-title":"Current Sociology","id":"ITEM-1","issue":"5","issued":{"date-parts":[["2018"]]},"language":"English","note":"Cited By :2\n\nExport Date: 3 March 2021\n\nCorrespondence Address: Tripp, W.B.; Department of Sociology, 1601 Maple St., United States; email: wtripp@westga.edu\n\nFunding text 1: Esta investigación extiende la literatura existente sobre el movimiento ambiental examinando diferentes grupos de participantes, basándose en las distinciones entre los modos de compromiso público y privado. Se usan los datos de la General Social Survey de Estados Unidos de 2010 y del International Social Survey Programme para llevar a cabo, en primer lugar, un análisis de clases latentes para explorar la existencia de diferentes clases de participantes y, en segundo lugar, se especifica un modelo logit multinomial para examinar los factores que afectan la pertenencia a las clases. Se ha encontrado que hay cuatro clases en el análisis del movimiento ambiental: un grupo de no participantes, un grupo que se dedica principalmente a actividades de movimientos ambientales con más base organizacional, un grupo que participa en actividades de estilo de vida verde y un grupo que participa en ambos tipos de actividades, pero sólo en un nivel de alta intensidad. También se ha encontrado que hay diferencias claras en la composición de cada grupo.\n\nReferences: Andrews, K.T., Edwards, B., Advocacy organizations in the U.S. political process (2004) Annual Review of Sociology, 30, pp. 479-506; \nBlocker, T.J., Eckberg, D.L., Gender and environmentalism: Results from the 1993 General Social Survey (1997) Social Science Quarterly, 78 (4), pp. 841-858;\nBrulle, R., Turner, L.H., Carmichel, J., Jenkins, J.C., Measuring social movement organization populations: A comprehensive census of U.S. environmental movement organizations (2007) Mobilization: An International Journal, 12 (3), pp. 255-270;\nCarrier, J.G., Think locally, act globally: The political economy of ethical consumption (2008) Hidden Hands in the Market: Ethnographies of Fair Trade, Ethical Consumption, and Corporate Social Responsibility, pp. 31-51. , De Neve G., Luetchford P., Pratt J., Wood D.C., (eds), Bingley, JAI Press, In:, (eds;\nClogg, C.C., Latent class models (1995) Handbook of Statistical Modeling for the Social and Behavioral Sciences, pp. 311-359. , Arminger G., Clogg C.C., Sobel M.E., (eds), New York, Plenum Press, In:, (eds;\nClogg, C.C., Shihadeh, E.S., (1994) Statistical Models for Ordinal Variables, , Beverly Hills, CA, Sage;\nCollins, L.M., Lanza, S.T., (2010) Latent Class and Latent Transition Analysis: With Applications in the Social, Behavioral, and Health Sciences, , Hoboken, NJ, Wiley;\nDalton, R., (2008) Citizen Politics: Public Opinion and Political Parties in Advanced Industrial Democracies, , Washington, DC, Chatham House Press;\nDalton, R., Waxing or waning? The changing patterns of environmental activism (2015) Environmental Politics, 24 (4), pp. 530-552;\nDunlap, R.E., York, R., The globalization of environmental concern and the limits of the postmaterialist values explanation: Evidence from four multinational surveys (2008) Sociological Quarterly, 49 (3), pp. 529-563;\nFeldman, S., Johnston, C., Understanding the determinants of political ideology: Implications of structural complexity (2013) Political Psychology, 35 (3), pp. 337-358;\nFranzen, A., Meyer, R., Environmental attitudes in cross-national perspective: A multilevel analysis of the ISSP 1993 and 2000 (2010) European Sociological Review, 26 (2), pp. 219-234;\nGillham, P.F., Participation in the environmental movement: Analysis of the European movement (2008) International Sociology, 23 (1), pp. 67-93;\nGolder, S., Connell, C.M., Sullivan, T.P., Psychological distress and substance use among community-recruited women currently victimized by intimate partner: A latent class analysis and examination of between-class differences (2012) Violence Against Women, 18 (8), pp. 934-957;\nGoodman, L.A., The empirical study of latent types, latent variables, and latent structures (2002) Applied Latent Class Analysis, pp. 3-55. , Hagenaars J.A., McCutcheon A.L., (eds), Cambridge, Cambridge University Press, In:, (eds;\nGoodman, L.A., On the assignment of individuals to latent classes (2007) Sociological Methodology, 37, pp. 1-22;\nHumphery, K., (2010) Excess: Anti-Consumerism in the West, , Cambridge, Polity;\nHunter, L.M., Hatch, A., Johnson, A., Cross-national gender variation in environmental behaviors (2004) Social Science Quarterly, 85 (3), pp. 677-694;\nJohnston, J., The citizen-consumer hybrid: Ideological tensions and the case of whole foods market (2008) Theory and Society, 37 (3), pp. 229-270;\nKlandermans, B., (1997) The Social Psychology of Protest, , Oxford, Blackwell;\nLaidley, T.M., The influence of social class and cultural variables on environmental behaviors: Municipal-level evidence from Massachusetts (2011) Environment and Behavior, 45 (2), pp. 170-197;\nLanda, R.J., Gross, A.L., Stuart, E.A., Bauman, M., Latent class analysis of early developmental trajectory in baby siblings of children with autism (2012) Journal of Child Psychology and Psychiatry, 53 (9), pp. 986-996;\nLee, K.S., Conflicting views on elder care responsibility in Japan (2016) Social Science Research, 57, pp. 133-147;\nLong, J.S., (1997) Regression Models for Categorical and Limited Dependent Variables, , Thousand Oaks, CA, Sage;\nLorenzen, J.A., Going green: The process of lifestyle change (2012) Sociological Forum, 27 (1), pp. 94-116;\nLorenzen, J.A., Teaching and learning guide for: Green consumption and social change: Debates over responsibility, private action, and access (2014) Sociology Compass, 8 (8), pp. 1063-1081;\nMcAdam, D., Tactical innovation and the pace of insurgency (1983) American Sociological Review, 48 (6), pp. 735-754;\nMcAdam, D., Recruitment to high-risk activism: The case of freedom summer (1986) American Journal of Sociology, 92 (1), pp. 64-90;\nMcCarthy, J.D., Zald, M., The enduring vitality of the resource mobilization theory of social movements (2002) Handbook of Sociological Theory, pp. 533-565. , Turner J.H., (ed), New York, Kluwer Academic/Plenum, In:, (ed;\nMcCutcheon, A.L., (1987) Latent Class Analysis, , Newbury Park, CA, Sage;\nMcCutcheon, A.L., Basic concepts and procedures in single- and multi-group latent class analysis (2002) Applied Latent Class Analysis, pp. 56-88. , Hagenaars J.A., McCutcheon A.L., (eds), Cambridge, Cambridge University Press, In:, (eds;\nManiates, M., Individualization: Plant a tree, buy a bike, save the world? (2002) Confronting Consumption, pp. 43-66. , Princen T., Maniates M., Conca K., (eds), Cambridge, MA, MIT Press, In:, (eds;\nMassoglia, M., Desistance or displacement? The changing patterns of offending from adolescence to young adulthood (2006) Journal of Quantitative Criminology, 22 (3), pp. 215-239;\nMeyer, D.S., Tarrow, S., A movement society: Contentious politics for a new century (1998) The Social Movement Society: Contentious Politics for a New Century, pp. 1-28. , Meyers D.S., Tarrow S., (eds), Lanham, MD, Rowman and Littlefield, In:, (eds;\nMicheletti, M., (2003) Political Virtue and Shopping: Individuals, Consumerism, and Collective Action, , New York, Palgrave Macmillan;\nMoore, O., Understanding postorganic fresh fruit and vegetable consumers at participatory farmers markets in Ireland: Reflexivity, trust and social movements (2006) International Journal of Consumer Studies, 30 (5), pp. 416-426;\nMusick, M.A., Wilson, J., (2008) Volunteers: A Social Profile, , Bloomington, Indiana University Press;\nNepstad, S.E., Smith, C., Rethinking recruitment to high-risk/cost activism: The case of Nicaragua exchange (1999) Mobilization: An International Journal, 4 (1), pp. 25-40;\nSchussman, A., Soule, S.A., Process and protest: Accounting for individual protest participation (2005) Social Forces, 84 (2), pp. 1083-1108;\nSeyfang, G., Ecological citizenship and sustainable consumption: Examining local organic food networks (2006) Journal of Rural Studies, 22 (4), pp. 383-395;\nShaw, D., Consumer voters in imagined communities (2007) International Journal of Sociology and Social Policy, 27 (3-4), pp. 135-150;\nShirani, F., Butler, C., Henwood, K., ‘I’m not a tree hugger, I’m just like you’: Changing perceptions of sustainable lifestyles (2014) Environmental Politics, 24 (1), pp. 57-74;\nSzasz, A., (2007) Shopping Our Way to Safety: How We Changed from Protecting the Environment to Protecting Ourselves, , Minneapolis, University of Minnesota Press;\nTranter, B., Environmental activists and non-active environmentalists in Australia (2010) Environmental Politics, 19 (3), pp. 413-429;\nVerba, S., Schlozman, K.L., Brady, H.E., (1995) Voice and Equality: Civic Voluntarism in American Politics, , Cambridge, MA, Harvard University Press;\nVermunt, J.K., Magidson, J., (2005) Technical Guide for Latent GOLD 4.0: Basic and Advanced, , Belmont, CA, Statistical Innovations, Inc;\nWalker, J.L., The origin and maintenance of interest groups in America (1983) The American Political Science Review, 77 (2), pp. 390-406;\nWebb, J., Seduced or sceptical consumers? Organised action and the case of fair trade coffee (2007) Sociological Research Online, 12 (3);\nWebb, J., Climate change and society: The chimera of behaviour change technologies (2012) Sociology, 46 (1), pp. 109-125;\nWillis, M.M., Schor, J.B., Does changing a light bulb lead to changing the world? Political action and the conscious consumer (2012) The Annals of the American Academy of Political and Social Science, 644 (1), pp. 160-190;\nWiltfang, G.L., McAdam, D., The costs and risks of social activism: A study of sanctuary movement activism (1991) Social Forces, 69 (4), pp. 987-1010;\nXiao, C., McCright, A.M., A test of the biographical availability argument for gender differences in environmental behaviors (2014) Environment and Behavior, 46 (2), pp. 241-263","page":"788-809","publisher":"SAGE Publications Ltd","publisher-place":"University of West Georgia, United States","title":"Being green: Patterns of participation in the environmental movement","type":"article-journal","volume":"66"},"uris":["http://www.mendeley.com/documents/?uuid=9857bfbf-d30e-40ab-81ea-24e547d87fdb"]},{"id":"ITEM-2","itemData":{"DOI":"10.1007/s10806-008-9089-6","ISSN":"11877863 (ISSN)","abstract":"In the early 2000s, the development of local food systems in advanced industrial countries has expanded beyond creation and support of farmers' markets and community supported agriculture farms and projects to include targeted Buy Local Food campaigns. Non-governmental groups in many U.S. places and regions have launched such campaigns with the intent of motivating and directing consumers toward more local food purchasing in general. This article examines the current manifestations and possibilities for social justice concerns in Buy Local Food campaigns, by considering them within the more general category of \"selective patronage\" campaigns. Historical campaign examples, such as Buy Union, Buy American, and Buy Black campaigns, offer instructive comparisons to contemporary consumer campaigns promoting local food. Through examining the construction of threats, intended beneficiaries, products to be avoided, and those to be preferentially selected, the paper demonstrates how selective patronage campaigns have emphasized social justice needs and concerns for designated groups in ways that have been potentially exclusionary of other disadvantaged groups and thus undermining of social justice more broadly. As a contemporary instance of \"selective patronage,\" Buy Local Food campaigns exhibit similar contradictory impulses, which are intensified by the conceptual and practical pitfalls in designating \"local.\" The article concludes by considering how the challenges and prospects for commitments to social justice in local food consumer campaigns reinforce the importance of emerging initiatives centered on domestic fair trade. © Springer Science+Business Media B.V. 2008.","author":[{"dropping-particle":"","family":"Hinrichs","given":"C C","non-dropping-particle":"","parse-names":false,"suffix":""},{"dropping-particle":"","family":"Allen","given":"P","non-dropping-particle":"","parse-names":false,"suffix":""}],"container-title":"Journal of Agricultural and Environmental Ethics","id":"ITEM-2","issue":"4","issued":{"date-parts":[["2008"]]},"language":"English","note":"Cited By :78\n\nExport Date: 3 March 2021\n\nCorrespondence Address: Hinrichs, C.C.; Department of Agricultural Economics and Rural Sociology, , University Park, PA 16802, United States; email: chinrichs@psu.edu\n\nReferences: Allen, P., Connecting the Social and the Ecological in Sustainable Agriculture (1993) Food for the Future: Conditions and Contradictions of Sustainability, pp. 1-16. , In P. Allen (Ed.), New York: Wiley; \nAllen, P., Reweaving the Food Security Safety Net: Mediating Entitlement and Entrepreneurship (1999) Agriculture and Human Values, 16, pp. 117-129;\nAllen, P., (2004) Together at the Table: Sustainability and Sustenance in the American Agrifood System, , University Park, PA: Penn State University Press;\nAllen, P., FitzSimmons, M., Goodman, M., Warner, K., Shifting Plates in the Agrifood Landscape: The Tectonics of Alternative Agrifood Initiatives in California (2003) Journal of Rural Studies, 19, pp. 61-75;\nAllen, P., Guthman, J., Morris, A.W., (2006) Meeting Farm and Food Security Needs Through Community Supported Agriculture and Farmers' Markets in California, , Santa Cruz, CA: Center for Agroecology and Sustainable Food Systems. Center Research Brief #9;\nAllen, P., Hinrichs, C., Buying Into 'Buy Local': Engagements of United States Local Food Initiatives (2007) Constructing &amp;quot;Alternative&amp;quot; Food Geographies: Representation and Practice, pp. 255-272. , In D. Maye, L. Holloway, M. Kneafsey (Eds.), Oxford: Elsevier;\nAllen, P., Kovach, M., The Capitalist Composition of Organic: The Potential of Markets in Fulfilling the Promise of Sustainable Agriculture (2000) Agriculture and Human Values, 17, pp. 221-232;\nBarnett, C., Cloke, P., Clarke, N., Malpass, A., Consuming Ethics: Articulating the Subjects and Spaces of Ethical Consumption (2005) Antipode, 37, pp. 23-45;\nBates, T.M., (1993) Banking on Black Enterprise: Potential of Emerging Firms for Revitalizing Urban Economies, , Washington, DC: Joint Center for Economic and Political Studies;\nBellows, A.C., Hamm, M.W., Local Autonomy and Sustainable Development: Testing Import Substitution in Localizing Food Systems (2001) Agriculture and Human Values, 18, pp. 271-284;\nBird, M.M., Robinson, J.W., The Effectiveness of the Union Label and 'Buy Union' Campaigns (1972) Industrial and Labor Relations Review, 25, pp. 512-552;\nBorn, B., Purcell, M., Avoiding the Local Trap: Scale and Food Systems in Planning Research (2006) Journal of Planning Education and Research, 26, pp. 195-207;\nBoyd, R.L., Black and Asian Self-Employment in Large Metropolitan Areas: A Comparative Analysis (1990) Social Problems, 37, pp. 258-274;\nBuck, D., Getz, C., Guthman, J., From Farm to Table: The Organic Vegetable Commodity Chain of Northern California (1997) Sociologia Ruralis, 37, pp. 4-20;\n(2005) CISA's Local Hero Campaign, , http://www.buylocalfood.com/LOCAL%20Hero.htm, CISA (Community Involved in Sustainable Agriculture) (n.d.) Retrieved December 5 from;\nCohen, E., (2003) A Consumers' Republic: The Politics of Mass Consumption in Postwar America, , New York: Knopf;\nCohen, M., Comrov, A., Hoffner, B., &amp;quot;The New Politics of Consumption: Promoting Sustainability in the American Marketplace&amp;quot; (2005) Sustainability: Science, Practice and Policy, 1, pp. 58-76. , http://ejournal/nbii/org, Retrieved April 14, 2007, from;\nDobson, A., Social Justice and Environmental Sustainability: Ne'er The Twain Shall Meet? (2003) Just Sustainabilities: Development in an Unequal World, pp. 83-98. , In J. Agyeman, R. D. Bullard, B. Evans (Eds.), Cambridge, MA: MIT Press;\n(2005) Principles for Domestic Fair Trade: For Health, Justice and Sustainability, , http://www.equalexchange.com/dftfiles/dftprinciplesflyer.pdf, Domestic Fair Trade Working Group Retrieved May 24, 2007 from;\nDuPuis, E.M., Goodman, D., Should We Go &amp;quot;Home&amp;quot; to Eat? Toward a Reflexive Politics of Localism (2005) Journal of Rural Studies, 21, pp. 359-371;\nFainstein, S., Competitiveness, Cohesion and Governance: Their Implications for Social Justice (2001) International Journal of Urban and Regional Research, 25, pp. 884-888;\nFeenstra, G.W., Local Food Systems and Sustainable Communities (1997) American Journal of Alternative Agriculture, 12, pp. 28-36;\nFink, D., (1998) Cutting Into the Meatpacking Line: Workers and Change in the Rural Midwest, , Chapel Hill: University of North Carolina Press;\nFrank, D., (1999) Buy American: The Untold Story of Economic Nationalism, , Boston: Beacon;\nFrank, D., Where are the Workers in Consumer-Worker Alliances? Class Dynamics and the History of Consumer-Labor Campaigns (2003) Politics and Society, 31, pp. 363-379;\nFriedland, W.H., Barton, A.E., Thomas, R.J., (1981) Manufacturing Green Gold: Capital, Labor and Technology in the Lettuce Industry, , Cambridge: Cambridge University Press;\nFriedman, M., A Positive Approach to Organized Consumer Action: The 'Buycott' as an Alternative to the Boycott (1996) Journal of Consumer Policy, 19, pp. 439-451;\nGibson, D.P., (1978) $70 Billion in the Black: American's Black Consumers, , New York: Macmillan;\nGranzin, K.L., Olsen, J.E., Americans' Choice of Domestic Over Foreign Products: A Matter of Helping Behavior? (1999) Journal of Business Research, 43, pp. 39-54;\nGreenberg, C., Political Consumer Action: Some Cautionary Notes from African American History (2004) Politics, Products and Markets: Exploring Political Consumerism Past and Present, pp. 63-82. , In M. Micheletti, A. Follesdal, D. Stolle (Eds.), Piscataway, NJ: Transaction Publishers;\nGuthman, J., Raising Organic: An Agro-ecological Assessment of Grower Practices in California (2000) Agriculture and Human Values, 17, pp. 257-266;\nGuthman, J., The Polanyian Way? Voluntary Food Labels as Neoliberal Governance (2007) Antipode, 39, pp. 456-478;\nHarvey, D., Social Justice, Postmodernism and the City (1992) International Journal of Urban and Regional Research, 16, pp. 588-601;\nHinrichs, C.C., Embeddedness and Local Food Systems: Notes on Two Types of Direct Agricultural Markets (2000) Journal of Rural Studies, 16, pp. 295-303;\nHinrichs, C.C., The Practice and Politics of Food System Localization (2003) Journal of Rural Studies, 19, pp. 33-45;\nHinrichs, C., Kremer, K.S., Social Inclusion in a Midwest Local Food System Project (2002) Journal of Poverty, 6, pp. 65-90;\nHoward, P.H., Allen, P., Beyond Organic: Consumer Interest in New Labeling Schemes in the Central Coast of California (2006) International Journal of Consumer Studies, 30, pp. 439-451;\nJaffee, D., Kloppenburg, J.R., Monroy, M.B., Bringing the 'Moral Charge' Home: Fair Trade Within the North and Within the South (2004) Rural Sociology, 69, pp. 169-196;\nJohnston, J., Baker, L., Eating Outside the Box: FoodShare's Good Food Box and the Challenge of Scale (2005) Agriculture and Human Values, 22, pp. 313-325;\nKloppenburg, J., Hendrickson, J., Stevenson, G.W., Coming in to the Foodshed (1996) Agriculture and Human Values, 13, pp. 33-42;\nManiates, M., Individualization: Plant a Tree, Buy a Bike, Save the World? (2002) Confronting Consumption, pp. 43-65. , In T. Princen, M. Maniates, K. Conca (Eds.), Cambridge, MA: MIT Press;\nMicheletti, M., (2003) Political Virtue and Shopping: Individuals, Consumerism, and Collective Action, , New York: Palgrave Macmillan;\nMicheletti, M., Follesdal, A., Stolle, D., Introduction (2004) Politics, Products and Markets: Exploring Political Consumerism Past and Present, pp. ix-xxvi. , In M. Micheletti, A. Follesdal, D. Stolle (Eds.), Piscataway, NJ: Transaction Publishers;\nMiele, M., Consumption Culture: The Case of Food (2005) Handbook of Rural Studies, pp. 344-354. , In P. J. Cloke, T. Marsden, P. Mooney (Eds.), London: Sage;\nMiller, D., (2001) Principles of Social Justice, , Cambridge: Harvard University Press;\nMooney, P., Majka, T., (1995) Farmers' and Farm Workers' Movements: Social Protest in American Agriculture, , New York: Twayne;\nO'Connor, J., (1998) Natural Causes: Essays in Ecological Marxism, , New York: Guilford;\nPerez, J., Allen, P., (2007) Farming the College Market: Results of a Consumer Study at UC Santa Cruz, , Santa Cruz, CA: Center for Agroecology and Sustainable Food Systems. Center Research Brief #11;\nSchreck, A., Getz, C., Feenstra, G., Social Sustainability, Farm Labor and Organic Agriculture: Findings from an Exploratory Analysis (2006) Agriculture and Human Values, 23, pp. 439-449;\nSewell, S.K., The 'Not-Buying Power' of the Black Community: Urban Boycotts and Equal Employment Opportunity, 1960-1964 (2004) Journal of African American History, 89, pp. 135-149;\nSmith, D.M., How Far Should We Care? On the Spatial Scope of Beneficence (1998) Progress in Human Geography, 22, pp. 15-38;\nSmith, D.M., Social Justice Revisited (2000) Environment and Planning A, 32, pp. 1149-1162;\nStull, D.D., Broadway, M.J., Griffith, D., (1995) Any Way You Cut It: Meat Processing and Small Town America, , Lawrence: University Press of Kansas;\nVillarejo, D., &amp;quot;FIVE Cents for Fairness: The UFW Strawberry Campaign Goes Public&amp;quot; (1997) Rural California Report, , http://www.cirsinc.org/rcr/ufw.html, (California Institute for Rural Studies, Davis, CA). Retrieved May 23, 2007 from;\nWeems, R.E., The End of Black Nationalism? Declining African-American Support for Black-Owned Businesses (2002) Black Culture and Race Relations, pp. 142-153. , In J. L. Conyers (Ed.), Lanham, MD: Rowman and Littlefield;\nWells, M.J., (1996) Strawberry Fields: Politics, Class and Work in California Agriculture, , Ithaca, NY: Cornell University Press;\nWiedenhoft, W.A., Consumer Tactics as 'Weapons': Black Lists, Union Labels and the American Federation of Labor (2006) Journal of Consumer Culture, 6, pp. 261-285;\nYoung, I.M., (1990) Justice and the Politics of Difference, , Princeton: Princeton University Press","page":"329-352","publisher-place":"Department of Agricultural Economics and Rural Sociology, The Pennsylvania State University, University Park, PA 16802, United States","title":"Selective patronage and social justice: Local food consumer campaigns in historical context","type":"article-journal","volume":"21"},"uris":["http://www.mendeley.com/documents/?uuid=4bb14de5-bf37-4da4-a0e6-d133b4a54ad0"]}],"mendeley":{"formattedCitation":"(Hinrichs and Allen, 2008; Tripp, 2018)","plainTextFormattedCitation":"(Hinrichs and Allen, 2008; Tripp, 2018)","previouslyFormattedCitation":"(Hinrichs and Allen, 2008; Tripp, 2018)"},"properties":{"noteIndex":0},"schema":"https://github.com/citation-style-language/schema/raw/master/csl-citation.json"}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(Hinrichs and Allen, 2008; Tripp, 2018)</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Preliminary studies showed that the special character associated with this movement illustrates a pure fighting process for their survival as farmers</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fldChar w:fldCharType="begin" w:fldLock="1"/>
      </w:r>
      <w:r w:rsidRPr="0037337F">
        <w:rPr>
          <w:rFonts w:ascii="Times New Roman" w:hAnsi="Times New Roman" w:cs="Times New Roman"/>
          <w:sz w:val="24"/>
          <w:szCs w:val="24"/>
        </w:rPr>
        <w:instrText>ADDIN CSL_CITATION {"citationItems":[{"id":"ITEM-1","itemData":{"DOI":"10.1177/089976407200100401","ISSN":"08997640 (ISSN)","author":[{"dropping-particle":"","family":"Albrecht","given":"S L","non-dropping-particle":"","parse-names":false,"suffix":""}],"container-title":"Nonprofit and Voluntary Sector Quarterly","id":"ITEM-1","issue":"4","issued":{"date-parts":[["1972"]]},"language":"English","note":"Cited By :13\n\nExport Date: 3 March 2021\n\nCorrespondence Address: Albrecht, S.L.; Department of Sociology Utah State UniversityUnited States\n\nReferences: Bagge, C.E., Radicalism perils supply of minerals (1971) Salt Lake Tribune, p. 17. , from a speech quoted in The, June 29; \nBlack, M.D., (1971) A National Issue and Disaster, , The Central Clearinghouse Santa Fe, New Mexico;\nCameron, William Bruce, (1966) Modern Social Movements: A Sociological Outline, , New York Random House;\nCarson, R., (1962) Silent Spring, , Boston Houghton Mifflin;\nCreer, R., Robert, G., Michael, T., Differential responses to air pollution as an environmental health problem (1970) Journal of the Air Pollution Control Assn., 20, pp. 814-818. , (December): pp;\nDevall, W.B., (1970) The governing of a voluntary organization: oligarchy and democracy in the Sierra Club, , Ph.D. dissertation. U. of Oregon;\nConservation: an upper-middle class social movement: a replication (1970) J. of Leisure Research, 2, pp. 123-126. , (Spring): pp;\nDunlap, R., Richard P. Gale, Politics and ecology: a political profile of student activists (1971), Paper read at the Annual Meeting of the Pacific Sociological Association, Honolulu, Hawaii Student recruitment into the environmental movement: a test of a reformulation of 'mass society' theory, Paper read at the annual meeting of the Rural Sociological Society, Denver, Colorado; Dunlap, R., Richard P. Gale, Brent M. Rutherford, Concern for environmental rights among college students (1971), Paper presented at the Annual Meeting of the Pacific Sociological Association, Honolulu, Hawaii; Faich, R.G., Richard P. Gale, The environmental movement: from recreation to politics (1971) Pacific Sociology Review, 14, pp. 270-287. , (July): pp;\nPischer, J., Schuler, E.A., Hoult, T.G., Gibson, D.L., Brookover, W.B., (1971) How I got radicalized, pp. 656-662. , Pp Readings in Sociology, New York Thomas Y. Crowell;\nGale, R.P., Burch, W., Cheek, N., Taylor, L., (1972) From sit-in to hike-in: a comparison of the civil rights and environment movements, pp. 280-305. , Social Behavior, Natural Resources and the Environment, New York Harper an Row;\nGusfield, J.R., (1970) Protest, , New York John Wiley an Sons, Reform, and Revolt: A Reader in Social Movements;\nHarry, Joseph, Richard P. Gale, John C. Hendee, Conservation: an upper-middle class social movement (1969) J. of Leisure Research, 1, pp. 246-254. , (Summer): pp;\nHendee, J.C., William R. Catton, Larry D. Marlow, Frank Brockman, C., (1968) Wilderness users in the Pacific Northwest - their characteristics, , USDA Forest Service Research Paper PNW-61. Portland, Oregon Forest and Range Experiment Station, values, and management preferences;\nHendee, J.C., Richard P. Gale, Joseph, H., Conservation, politics and democracy (1969) J. of Soil and Water Conservation, 24, pp. 21-215. , (November/December): pp;\nKillian, L.M., Robert, E., Faris, L., (1964) Social Movements, pp. 426-455. , Handbook of Modern Sociology, Chicago Rand McNally;\nKrizek, J., How to build a pyramid: a kit of PR tools helps win San Francisco's approval for a new high-rise office building (1970) Public Relations J., 26, pp. 17-21. , (December): pp;\nMcConnell, G., The conservation movement-past and present (1954) The Western Political Quarterly, 7, pp. 463-478;\nMolotch, H., Oil in Santa Barbara and Power in America (1970) Sociological Inquiry, 40, pp. 131-144. , (Winter): pp;\nMorrison, D.E., Allan D. Steeves, Deprivation, discontent, and social movement participation: evidence on a contemporary farmer's movement, the NFO (1967) Rural Sociology, 32, pp. 414-434. , (December): pp;\nMorrison, D.E., Kenneth E. Hornback, Keith Warner, W., Burch, W., Cheek, N., Taylor, L., (1972) The environmental movement: some preliminary observations, pp. 259-279. , Social Behavior, Natural Resources an the Environment, New York Harper an Row;\nPetric, N., (1971) Letter to the editor of The Salt Lake Tribune, , July 14;\nSchnaiberg, A., (1971) Politics, , Mimeo, Northwestern University, participation and pollution: the 'environmental movement;\nSenate, H., (1971) Problems of Electrical Power Production in the Southwest. A Report of Hearings Before the Committee on Interior and Insular Affairs, , United States Senate, U.S. Government Printing Office Washington, D.C;\nToch, H., (1965) The Social Psychology of Social Movements, , New York The Bobbs-Merrill Co., Inc;\nZald, M.N., Roberta, A., Social movement organizations: growth, decay and change (1966) Social Forces, 44, pp. 327-341. , (March)","page":"2-11","publisher-place":"Department of Sociology Utah State University, United States","title":"Environmental Social Movements and Counter-Movements: An Overview and an Illustration","type":"article-journal","volume":"1"},"uris":["http://www.mendeley.com/documents/?uuid=cde0fed8-12f6-4998-a7fa-dce603919c6a"]},{"id":"ITEM-2","itemData":{"DOI":"10.1177/1532708610372769","ISSN":"15327086 (ISSN)","abstract":"This article analyzes the development of \"local food\" institutions from a social movements perspective. Over the last decade, institutions that \"shorten the links\" between producer and consumer have developed through a diverse collaboration of many social sectors (farmers, agronomic experts, retailers, chefs, food writers, and several distinct consumer sectors). Some agronomists and rural sociologists critical of the globalization and industrialization of agriculture have recognized this development as heralding Polanyian \"reembedding\" of market exchanges in social relations. This article analyzes whether and how local food is a social movement, using new social movement theory as an analytic framework. © 2010 Sage Publications.","author":[{"dropping-particle":"","family":"Starr","given":"A","non-dropping-particle":"","parse-names":false,"suffix":""}],"container-title":"Cultural Studies - Critical Methodologies","id":"ITEM-2","issue":"6","issued":{"date-parts":[["2010"]]},"language":"English","note":"Cited By :59\n\nExport Date: 3 March 2021\n\nCorrespondence Address: Starr, A.; Sociology, PO Box 1198, Venice, CA 90294, United States; email: starr@trabal.org\n\nReferences: Abercrombie, N., Authority and consumer society (1994) The Authority of the Consumer, pp. 253-268. , R. Keat, N. Whiteley, &amp;amp; N. Abercrombie (Eds.), New York: Routledge; \nAllen, P., Fitzsimmons, M., Goodman, M., Warner, K., Shifting plates in the agrifood landscape: The tectonics of alternative agrifood initiatives in California (2003) Journal of Rural Studies, 19 (1), pp. 61-75;\n(2008) An Overwhelming Majority Passes the 2008 Farm Bill, , http://www.farmland.org/news/newsletters/policyUpdate/2008/0508.htm;\nAppadurai, A., (1986) The Social Life of Things: Commodities in Cultural Perspective, , Cambridge, UK: Cambridge University-Press;\nBeck, U., (1992) Risk Society: Towards a New Modernity (Theory, Culture and Society Series), , London: SAGE;\nBeck, U., World risk society as cosmopolitan society? Ecological questions in a framework of manufactured uncertainties (1996) Theory, Culture &amp;amp; Society, 13 (4), pp. 1-2;\nBellah, R.N., Madsen, R., Sullivan, W.M., Swidler, A., Tipton, S.M., (1985) Habits of the Heart: Individualism and Commitment in American Life, , Berkeley: University of California Press;\nBolen, E., Hecht, K., (2003) Neighborhood Groceries: New Access to Healthy Food in Lowcommunities, , www.cfpa.net/Grocery.PDF;\nBornstein, D., (2007) How to Change the World: Social Entrepreneurs and the Power of New Ideas, p. 358. , New York: Oxford University Press;\nBoström, M., Klintman, M., State-centered versus nonstate - Driven organic food standardization: A comparison of the US and Sweden (2006) Agriculture and Human Values, 23, pp. 163-180;\nBowen, D., On the trail at last to the big city (2006) The New York Times, pp. D4. , July 26;\nBurros, M., You are what you eat: 2006 and the politics of food (2006) The New York Times, pp. D2. , December 27;\nButtel, F.H., Some reflections on late twentieth century agrarian political economy (2001) Sociologia Ruralis, 41, pp. 165-181;\nCampbell, C., Consumption: The new wave of research in the humanities and social sciences (1991) Journal of Social Behavior &amp;amp; Personality. Special Issue: To Have Possessions: A Handbook on Ownership and Property, 6 (6), pp. 57-74;\nCampbell, C., Considering others and satisfying the self: The moral and ethical dimension of modern consumption (2006) The Moralization of the Markets, pp. 213-226. , N. Stehr, C. Henning, &amp;amp; B. Weiler (Eds.), New Brunswick, NJ: Transaction;\nCarolan, M.S., Social change and the adoption and adaptation of knowledge claims: Whose truth do you trust in regard to sustainable agriculture? (2006) Agriculture and Human Values, 23, pp. 325-339;\nChayanov, A.V., (1926) On the Theory of Peasant Economy, , (D. Thorner, B. Kerblay, &amp;amp; R. E. F. Smith, Trans.). Homewood, IL: Irwin;\nClark, M., The chef: Zak Pelaccio; the freshest produce (and duck tongues?) (2006) The New York Times, pp. D1. , August 16. D3;\nCohen, M.J., Sustainable consumption research as democratic expertise (2006) Journal of Consumer Policy, 29 (1), pp. 67-77;\nCone, C.A., Kakaliouras, A., Community supported agriculture: Building moral community or an alternative consumer choice (1995) Culture &amp;amp; Agriculture, 51-52, pp. 28-31;\nDefao, J., Speakeasy cuisine: Guided by word - Of - mouth diners flock to unlicensed restaurants for good food at bargain - basement prices (2006) San Francisco Chronicle, pp. A-1. , January 22;\nDijk, T.A.V., (1988) News As Discourse, , Hillsdale, NJ: Lawrence Erlbaum;\nDixon, J., A cultural economy model for studying food systems (1999) Agriculture and Human Values, 16, pp. 151-160;\nDuPuis, E.M., Not in my body: BGH and the rise of organic milk (2000) Agriculture and Human Values, 17, pp. 285-295;\nDuPuis, E.M., Goodman, D., Should we go &amp;quot;home&amp;quot; to eat? Toward a reflexive politics of localism (2005) Journal of Rural Studies, 21, pp. 359-371;\nDuxbury, S., Techie Cnet gets a life: Lifestyle push stretches from Chow to China (2006) San Francisco Business Times, , September 8;\nEisinger, P.K., The conditions of protest behavior in American cities (1973) American Political Science Review, 67 (1), pp. 11-28;\nElder, S., Christmas Star interview with Jeremiah Tower (2001) Food &amp;amp; Wine Magazine, pp. 155-159. , December;\nEyerman, R., Jamison, A., (1991) Social Movements: A Cognitive Approach, , University Park: Penn State Press;\nFals-Borda, O., The application of participatory actionresearch in Latin America (1987) International Sociology, 2, pp. 329-347;\nFeenstra, G.W., Local food systems and sustainable communities (1997) American Journal of Alternative Agriculture, 12 (1), pp. 28-36;\nFlacks, R., (1988) Making History: The American Left and the American Mind, , New York: Columbia University Press;\nFood &amp;amp; Wine Magazine names 19th annual best new chefs Food &amp;amp; Wine, , http://www.foodandwine.com/articles/2007-best-new-chefs;\nFraser, N., Rethinking the public sphere: A contribution to the critique of actually existing democracy (1990) Social Text, 25-26, pp. 56-80;\nFriedmann, H., The political economy of food: The rise and fall of the postwar international food order (1982) American Journal of Sociology, 88, pp. s248-s286;\nGamson, W.A., Fireman, B., Rytina, S., (1982) Encounters with Unjust Authority, , Homewood, IL: Dorsey Press;\nGenzlinger, N., US$30 million barn raising (2004) Food &amp;amp; Wine Magazine, , May;\nGiddens, A., (1991) Modernity and Self-identity: Self and Society in the Late Modern Age, , Stanford, CA: Stanford University Press;\nGlassner, B., (2007) The Gospel of Food: Why We Should Stop Worrying and Enjoy What We Eat, , New York: Harper Perennial;\nHaraway, D.J., A cyborg manifesto: Science, technology, and socialist-feminism in the late twentieth century (1991) Simians, Cyborgs and Women: The Reinvention of Nature, pp. 149-181. , http://www.stanford.edu/dept/HPS/Haraway/CyborgManifesto.html, D. Haraway (Ed.), London: Free Association Books;\nHenderson, E., Rebuilding local food systems from the grassroots up (1998) Monthly Review, 50, pp. 112-124;\nHendrickson, M.K., Heffernan, W.D., Opening spaces through relocalization: Locating potential resistance in the weaknesses of the global food system (2002) Sociologia Ruralis, 42, pp. 347-369;\nHinrichs, C.C., Embeddedness and local food systems: Notes on two types of direct agricultural market (2000) Journal of Rural Studies, 16, pp. 295-303;\nHunt, M.C., Backstory: Haute cuisine's hunter - Gatherer (2006) Christian Science Monitor, , May 3;\nJarosz, L., Understanding agri - Food networks as social relations (2000) Agriculture and Human Values, 17, pp. 279-283;\nJohnston, J., Consuming social justice (2001) Arena Magazine, 51, pp. 42-47. , March;\nKarp, H., Kitchen not so confidential: Underground restaurants go public lose cachet (2006) Wall Street Journal, , November 17;\nKatauskas, T., A cook's Eden: Story on the Herbfarm restaurant founded 1986 (1999) Food &amp;amp; Wine Magazine, , July;\nKingsnorth, P., Local hero: Barny Haughton (2007) Ecologist Online, , http://www.theecologist.org/archive_detail.asp?content_id=928, May 17;\nKirwan, J., Alternative Strategies in the UK Agro-Food System: Interrogating the Alterity of Farmers Markets (2004) Sociologia Ruralis, 44, pp. 395-415;\nKirwan, J., The interpersonal world of direct marketing: Examining conventions of quality at U.K. farmers' markets (2006) Journal of Rural Studies, 22, pp. 301-312;\nKlindienst, P., (2007) The Earth Knows My Name: Food, Culture, and Sustainability in the Gardens of Ethnic America, , Boston: Beacon Press;\nKloppenburg Jr., J., Hendrickson, J., Lezberg, S., Master, K.D., Stevenson, G.W., Tasting food, tasting sustainability: Defining the attributes of an alternative food system with competent, ordinary people (2000) Human Organization, 59, pp. 177-186;\nKrader, K., Green goddess (1999) Food &amp;amp; Wine Magazine, , April;\nLang, T., Hines, C., (1993) The New Protectionism: Protecting the Future Against Free Trade, , New York: New Press;\nLappé, F.M., Collins, J., Rosset, P., (1998) World Hunger: 12 Myths, p. 270. , New York: Grove Press;\nLawrence, E., Bistro incognito underground restaurants serve up a slice of speakeasy - If you know where to find them (2005) North Bay Bohemian, , April 6-12;\nLee, R., Shelter from the storm? Geographies of regard in the worlds of horticultural consumption and production (2000) Geoforum, 31, pp. 137-157;\nLindsey, R., California grows her own cuisine (1985) The New York Times, , August 18;\n(1996) From Asparagus to Zucchini, , Madison Area Community Supported Agriculture Coalition Madison. Madison WI: Jones Books;\nMartens, S., Spaargaren, G., The politics of sustainable consumption: The case of the Netherlands (2005) Sustainability: Science, 1 (1), pp. 29-42;\nMcCarthy, J.D., Zald, M.N., Resource mobilization and social movements: A partial theory (1977) American Journal of Sociology, 82, pp. 1212-1241;\nMckee, B., From North Dakota's Farmers to Washington's lobbyists (2006) The New York Times, pp. D4. , July 19;\nMelucci, A., (1989) Nomads of the Present: Social Movements &amp;amp; Individual Needs in Contemporary Society, , London: Hutchinson;\nMelucci, A., (1996) Challenging Codes: Collective Action in the Information Age, , Cambridge, UK: Cambridge University Press;\nMicheletti, M., (2003) Political Virtue and Shopping: Individuals, Consumerism, and Collective Action, , Palgrave Macmillan;\nMies, M., Bennholdt-Thomsen, V., (1999) The Subsistence Perspective: Beyond the Globalised Economy, , Melbourne, Australia: Spinifex Press;\nMollison, B., Holmgren, D., (1978) Permaculture One: A Perennial Agricultural System for Human Settlements, , Australia: Tagari Publications (Transworld);\nMollison, B., Slay, R.M., (1988) Permaculture: A Designers' Manual, , Tagari Publications;\nMollison, B., (1991) Introduction to Permaculture, , Tagari Publications;\nMol, A.P.J., Spaargaren, G., Ecological modernisation theory in debate: A review (2000) Environmental Politics, 9 (1), p. 17;\nMoore, O., Understanding postorganic fresh fruit and vegetable consumers at participatory farmers markets in Ireland: Reflexivity, trust and social movements (2006) International Journal of Consumer Studies, 30, pp. 416-426;\nMorgan, K., Marsden, T., Murdoch, J., (2006) Worlds of Food Place, Power, and Provenance in the Food Chain, , Oxford University Press;\nOffer, A., Between the gift and the market: The economy of regard (1997) Economic History Review, 50, pp. 450-476;\nOliver, P.E., Johnston, H., What a good idea! Ideologies and frames in social movement research (2000) Mobilization, 5 (1), pp. 37-54;\nPelletier, D.L., Kraak, V., Mccullum, C., Uusitalo, U., Values, public policy, and community food security (2000) Agriculture and Human Values, 17 (1), pp. 75-93;\nPelletier, D.L., Kraak, V., Mccullum, C., Uusitalo, U., Rich, R., Community food security: Salience and participation at community level (1999) Agriculture and Human Values, 16, pp. 401-419;\nPfohl, S.J., (1992) Death at the Parasite Cafe: Social Science (Fictions) and the Postmodern, , New York: St. Martin's Press;\nPolanyi, K., (1944) The Great Transformation, , Boston: Beacon Press;\nPollan, M., (2006) The Omnivore's Dilemma: A Natural History of Four Meals, , Penguin;\nComment 28 to Gothamist: Inside undergrounds unite &amp;quot;secret&amp;quot; dinner party by Katie Sokaler (2008) Gothamist, , http://gothamist.com/2008/11/17/inside_undergrounds_unite_secret_di.php? gallery19097Pic=2, rbrite1. November 19;\nRossant, C., France's Le Perche is the last terroir (2007) The New York Times Magazine, , March 25;\nRosset, P., (2006) Food Is Different: Why We Must Get the WTO out of Agriculture, , New York: Zed Books;\nSalkin, A., Leaving behind the trucker hat (2008) The New York Times, , http://www.nytimes.com/2008/03/16/fashion/16farmer.html?_r=1&amp;amp;oref= slogin&amp;amp;ref=fashion&amp;amp;pagewanted=all, March 16;\nSchneider, K., Sell in bulk, lose farm. Sell locally, and watch revenues grow (2004) The New York Times, pp. G7. , September 21;\nSchor, J.B., In defense of consumer critique: Revisiting the consumption debates of the twentieth century (2007) Annals of the American Academy of Political and Social Science, 611 (1), pp. 16-30;\nSchrambling, R., Wanted: One cave manager (2007) Los Angeles Times, pp. F1. , April 4;\nSeverson, K., Greenmarket at 30 searching for itself (2006) The New York Times, pp. D1. , July 19. D4;\nShepard, B.H., (2010) Queer Political Performance and Protest: Play, Pleasure, and Social Movement, , New York: Routledge;\nShreck, A., Resistance, distribution, and power in the fair trade banana initiative (2005) Agriculture and Human Values, 22, pp. 17-29;\nSlater, D., Miller, D., Moments and movements in the study of consumer culture: A discussion between Daniel Miller and Don Slater (2007) Journal of Consumer Culture, 7 (1), pp. 5-23;\nSligh, M., Christman, C., (2003) Who Owns Organic? The Global Status, Prospects, and Challenges of a Changing Organic Market, , Pittsboro, NC: Rural Advancement Foundation International-USA;\nSnow, D.A., Rochford Jr., E.B., Worden, S.K., Benford, R.D., Frame alignment processes, micromobilization, and movement participation (1986) American Sociological Review, 51, pp. 464-481;\nSoper, K., Re-thinking the &amp;quot;Good Life&amp;quot;: The citizenship dimension of consumer disaffection with consumerism (2007) Journal of Consumer Culture, 7, pp. 205-229;\nStarr, A., Card, A., Benepe, C., Auld, G., Lamm, D., Smith, K., Sustaining local agriculture: Barriers and opportunities to direct marketing between farms and restaurants in Colorado (2003) Agriculture and Human Values, 20, pp. 301-321;\nStolle, D., Micheletti, M., The gender gap reversed: Political consumerism as a women-friendly form of civic and political engagement: An Exploratory Study in Canada, Belgium and Sweden (2003) Gender and Social Capital Conference, St. John's College, University of Manitoba, Winnipeg, Canada, , May 2-3;\nThomas, C., From field to chef to table: Professional forager Kerry Clasby scours farms and farmers markets for the best-of-the-best produce (2004) Orange County Register, , September 9;\nThompson, C.J., Coskuner-Balli, G., Countervailing market responses to corporate co-optation and the ideological recruitment of consumption communities (2007) Journal of Consumer Research, 34, pp. 135-152;\nTilly, C., (1995) Popular Contention in Great Britain, 1758-1834, , Cambridge, MA: Harvard University Press;\nTilly, C., Tarrow, S., (2006) Contentious Politics, , Boulder, CO: Paradigm;\nChapter 1: U.S. National Level Data (2007) Census of Agriculture - 2007 Census Publications, 1. , http://www.agcensus.usda.gov/Publications/2007/Full_Report/ Volume_1,_Chapter_1_US/index.asp, National Agricultural Statistics Service;\nVarda, A., (2000) The Gleaners and I, , (Director). France: Ciné Tamaris;\nVenn, L., Kneafsey, M., Holloway, L., Cox, R., Dowler, E., Tuomainen, H., Researching European 'alternative' food networks: Some methodological considerations (2006) Area, 38, pp. 248-258;\nWilkins, J., Seasonal and local diets: Consumers' role in achieving a sustainable food system. (SA Summer, 1996, v8n3) (1995) Research in Rural Sociology and Development, 6, pp. 149-166","page":"479-490","publisher-place":"Sociology, University of California-Santa Barbara, PO Box 1198, Venice, CA 90294, United States","title":"Local food: A social movement?","type":"article-journal","volume":"10"},"uris":["http://www.mendeley.com/documents/?uuid=17180103-9dcb-4953-a812-32f3e02c014a"]}],"mendeley":{"formattedCitation":"(Albrecht, 1972; A Starr, 2010)","plainTextFormattedCitation":"(Albrecht, 1972; A Starr, 2010)","previouslyFormattedCitation":"(Albrecht, 1972; A Starr, 2010)"},"properties":{"noteIndex":0},"schema":"https://github.com/citation-style-language/schema/raw/master/csl-citation.json"}</w:instrText>
      </w:r>
      <w:r w:rsidRPr="0037337F">
        <w:rPr>
          <w:rFonts w:ascii="Times New Roman" w:hAnsi="Times New Roman" w:cs="Times New Roman"/>
          <w:sz w:val="24"/>
          <w:szCs w:val="24"/>
        </w:rPr>
        <w:fldChar w:fldCharType="separate"/>
      </w:r>
      <w:r w:rsidRPr="0037337F">
        <w:rPr>
          <w:rFonts w:ascii="Times New Roman" w:hAnsi="Times New Roman" w:cs="Times New Roman"/>
          <w:noProof/>
          <w:sz w:val="24"/>
          <w:szCs w:val="24"/>
        </w:rPr>
        <w:t>(Albrecht, 1972; A Starr, 2010)</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xml:space="preserve">. </w:t>
      </w:r>
    </w:p>
    <w:p w14:paraId="2302D25A" w14:textId="070181BE" w:rsidR="00197B65" w:rsidRPr="0037337F" w:rsidRDefault="008218B0" w:rsidP="000663AA">
      <w:pPr>
        <w:spacing w:line="240" w:lineRule="auto"/>
        <w:ind w:firstLine="425"/>
        <w:jc w:val="both"/>
        <w:rPr>
          <w:rFonts w:ascii="Times New Roman" w:hAnsi="Times New Roman" w:cs="Times New Roman"/>
          <w:sz w:val="24"/>
          <w:szCs w:val="24"/>
          <w:lang w:val="id-ID"/>
        </w:rPr>
      </w:pPr>
      <w:r w:rsidRPr="0037337F">
        <w:rPr>
          <w:rFonts w:ascii="Times New Roman" w:hAnsi="Times New Roman" w:cs="Times New Roman"/>
          <w:sz w:val="24"/>
          <w:szCs w:val="24"/>
        </w:rPr>
        <w:t xml:space="preserve">Although previous studies have discussed farmers, the majority have mostly explained and disclosed cases of movements, such as eviction from agricultural land, injustice in state policies, discrimination, unfair prices for agricultural products, and environmental conservation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{"citationItems":[{"id":"ITEM-1","itemData":{"DOI":"10.1080/03066159408438554","ISSN":"03066150 (ISSN)","abstract":"It is said that the industrial worker is much better off than the bulk of the rural population and that there is, therefore, much less need for the State to do anything for him than for the rural population. I have noticed that this plea most often proceeds from people who want the State to do nothing either for the one or the other.’ An observation made by D.R. Gadgil [1945: 101] in the Banaili Readership Lectures given at Patna University during March-April 1940. ‘Nations are products of Nature: History is merely a progressive continuation of animal development’. Alexander Herzen [1956: 178], ‘The Russian People and Socialism: An Open Letter to Jules Michelet’, 1851. © 1994, Taylor &amp; Francis Group, LLC. All rights reserved.","author":[{"dropping-particle":"","family":"Brass","given":"T","non-dropping-particle":"","parse-names":false,"suffix":""}],"container-title":"The Journal of Peasant Studies","id":"ITEM-1","issue":"3-4","issued":{"date-parts":[["1994"]]},"language":"English","note":"Cited By :12\n\nExport Date: 3 March 2021\n\nCorrespondence Address: Brass, T.; Faculty of Social and Political Sciences, Free School Lane, Cambridge CB2 3RQ, United Kingdom\n\nReferences: Other Side of Punjab Crisis (1987) Economic and Political Weekly, 22 (33); \n(1981) New Peasant Upsurge-Reason and Remedies: Documents and Resolutions, , AIKS Meeting November/December 1980 New Delhi: AIKS;\nAmbedkar, B.R., (1946) What Congress and Gandhi Have Done to the Untouchables, , Bombay: Thacker &amp;amp; Co., Ltd;\nAmin, S., Gandhi as Mahatma: Gorakhpur District, Eastern UP, 1921-22 (1984) Subaltern Studies 111, , R. Guha (ed.) New Delhi Oxford University Press;\nAnderson, W.K., Damle, S.D., (1987) The Brotherhood in Saffron: The Rashtriya Swayamsevak Sangh and Hindu Revivalism, , New Delhi: Vistaar Publications;\nAthreya, V., Djurfeldt, G., Lindberg, S., (1990) Barriers Broken: Production Relations and Agrarian Change in Tamil Nadu, , New Delhi: Sage Publications;\nBalagopal, K., An Ideology for the Provincial Propertied Class (1987) Economic and Political Weekly, 22 (36-37);\nBalagopal, K., An Ideology for the Provincial Propertied Class (1987) Economic and Political Weekly, 22 (50);\nBanaji, J., Illusions About the Peasantry: Karl Kautsky and the Agrarian Question (1990) Journal of Peasant Studies, 17 (2);\nBarnouw, E., Krishnaswamy, S., (1980) Indian Film, , New Delhi:: Oxford University Press;\nBarthakur, S., Goswami, S., (1990) The Assam Movement, , I. Sen (ed.) [1990];\nBaskaran, S.T., (1981) The Message Bearers: Nationalist Politics and the Entertainment Media in South India, , 1880–1945, Madras: Cre-A;\nBasu, T., (1993) Khaki Shorts and Saffron Flags: A Critique of the Hindu Right, , New Delhi: Orient Longman;\nBaxter, C., (1971) The Jana Sangh: A Biography of an Indian Political Party, , Bombay:: Oxford University Press;\nBeik, W., Debate: The Dilemma of Popular History (1993) Past and Present, (141);\nBideleux, R., (1985) Communism and Development, , London: Methuen;\nBose, P.K., (1985) Classes and Class Relations among Tribals of Bengal, , Delhi: Ajanta Publications;\nBose, S., (1990) South Asia and World Capitalism, , Delhi:: Oxford University Press;\nBosworth, R.J.B., (1993) Explaining Auschwitz and Hiroshima: History Writing and the Second World War, 1945–1990, , London: Routledge;\nBramwell, A., (1985) Blood and Soil: Richard Walther Darre and Hitler's ‘Green Party, , Bourne End: The Kensal Press;\nBrass, T., Class Struggle and the Deproletarianization of Agricultural Labour in Haryana (India) (1990) Journal of Peasant Studies, 18 (1);\nBrass, T., Moral Economists, Subalterns, New Social Movements, and the (Re-) Emergence of a (Post-) Modernised (Middle) Peasant (1991) Journal of Peasant Studies, 18 (2);\nBree, K.M., (1991) The Women of the Klan: Racism and Gender in the 1920s, , Berkeley, CA: University of California Press;\nBrown, J., (1972) Gandhi's Rise to Power: Indian Politics 1915–22, , London: Cambridge University Press;\nBurke, P., The “Discovery” of Popular Culture (1981) People's History and Socialist Theory, , R. Samuel (ed.) London: Routledge &amp;amp; Kegan Paul;\nByres, T.J., Of Neo-Populist Pipedreams: Daedalus in the Third World and the Myth of Urban Bias (1979) Journal of Peasant Studies, 6 (2);\nByres, T.J., Charan Singh (1902-87): An Assessment (1988) Journal of Peasant Studies, 15 (2);\nByres, T.J., The Agrarian Question and Differing Forms of Capitalist Agrarian Transition: An Essay with Reference to Asia (1991) Rural Transformation in Asia, , S. Mundle and J. Breman (eds.) Delhi:: Oxford University Press;\nCaiman, L.J., (1992) Toward Empowerment: Women and Movement Politics in India, , Boulder, CO: Westview Press;\nCharlesworth, N., (1985) Peasants and Imperial Rule: Agriculture and Agrarian Society in the Bombay Presidency, 1859–1935, , Cambridge: Cambridge University Press;\nChatterjee, P., Gandhi and the Critique of Civil Society (1984) Subaltern Studies III, , R. Guha(ed.) New Delhi:: Oxford University Press;\nChatterjee, P., (1986) Nationalist Thought and the Colonial World: A Derivative Discourse?, , Delhi:: Oxford University Press;\nChattopadhyay, B., Sharma, S.C., Ray, A.K., Rural/Urban Terms of Trade, Primary Accumulation and the Increasing Strength of the Indian Farm Lobby (1987) Food Systems and Society in Eastern India, , B. Chattopadhyay and P. Spitz (eds.) Geneva: UNRISD;\nChayanov, A.V., The Theory of Peasant Economy (1966), (edited by Daniel Thorner, Basile Kerblay, and R.E.F. Smith), Homewood, ILL: The American Economic Association; Clark, C., Development Economics: The Early Years (1984) Pioneers in Development, , G.M. Maier and D. Seers (eds.) New Delhi:: Oxford University Press;\nDas, A.N., (1983) Agrarian Unrest and Socio-economic Change in Bihar 1900–1980, , New Delhi: Manohar Publications;\nDas, A.N., Farmer Power: A Symposium on the Growing Unrest in the Countryside (1988), a Special Issue of Seminar, No.352; Das Gupta, C., (1991) The Painted Face: Studies in India’s Popular Cinema, , New Delhi: Roll Books;\nDatta, P.K., VHP’s Ram at Ayodhya: Reincarnation through Ideology and Organization (1991) Economic and Political Weekly, 26 (44);\nDesai, A.R., (1980) Agrarian Struggles in India after Independence, , Delhi:: Oxford University Press;\nDhanagare, D.N., (1975) Agrarian Movements and Gandhian Politics, , Agra: Institute of Social Sciences, Agra University;\nDhanagare, D.N., (1983) Peasant Movements in India 1920–1950, , Delhi:: Oxford University Press;\nDhanagare, D.N., Shetkari Sanghatana: The Farmers’ Movement in Maharashtra-Background and Ideology (1990) Social Action, 40 (4);\nDiamond, I., Orenstein, G.F., (1990) Reweaving the World: The Emergence of Ecofeminism, , San Francisco, CA: Sierra Club Books;\nDube, L., Seed and Earth: The Symbolism of Biological Reproduction and Sexual Relations of Production (1986) Visibility and Power: Essays on Women in Society and Development, , L. Dube, E. Leacock and S. Ardner (eds.) Delhi:: Oxford University Press;\nDwivedi, O.P., Satyagraha for conservation: Awakening the spirit of Hinduism (1990) Ethics of Environment and Development, , J.R. Engel and J.G. Engel (eds.) London: Belhaven Press;\nEckstein, S., (1989) Power and Popular Protest: Latin American Social Movements, , Berkeley, CA: University of California Press;\nEder, K., (1993) The New Politics of Class: Social Movements and Cultural Dynamics in Advanced Societies, , London: Sage Publications;\nEisenstein, H., (1984) Contemporary Feminist Thought, , London: Unwin Paperbacks;\nEpstein, K., (1970) Three Types of Conservatism, , Essays in Theory and History M. Richter (ed.) Cambridge, MA: Harvard University Press;\nEscobar, A., Alvarez, S.E., (1992) The Making of Social Movements in Latin America, , Boulder, CO: Westview Press;\nFoster, G.M., (1962) Traditional Cultures, , New York: Harper &amp;amp; Brothers;\nFoweraker, J., Craig, A.L., (1990) Popular Movements and Political Change in Mexico, , Boulder, CO: Lynne Rienner Publishers, Inc;\nFox, J., (1990) The Challenge of Rural Democratization, , London: Frank Cass &amp;amp; Co;\nFox, R.G., (1990) Gandhian Socialism and Hindu Nationalism: Cultural Domination in the World System, , S. Bose (ed.) [1990];\nFox-Genovese, E., (1991) Feminism Without Illusions: A Critique of Individualism, , Chapel Hill, NC: University of North Carolina Press;\nFranda, M., (1979) Small is Politics: Organizational Alternatives in India’s Rural Development, , New Delhi: Wiley Eastern Ltd;\nFrierson, C.A., (1993) Peasant Icons: Representations of Rural People in Late Nineteenth-Century Russia, , Oxford:: Oxford University Press;\nFuentes, M., Frank, A.G., Ten Theses on Social Movements (1989) World Development, 17 (2);\nGadgil, D.R., (1945) Regulation of Wages and Other Problems of Industrial Labour in India, , Poona: Gokhale Institute of Politics and Economics;\nGoswami, M.C., Peasants and Neo-Peasants in Northeast India and their New Dimension (1983), J.P. Mencher (ed.) Social Anthropology of Peasantry, Bombay: Somaiya Publications; (1991) National Agricultural Policy: Views of Standing Advisory Committee on Agriculture (SAC), , Jullundur; Government Printing Press;\nGraham, B., (1990) Hindu Nationalism and Indian Politics, , Cambridge: Cambridge University Press;\nGuha, R., (1982) Subaltern Studies I-VI, , 89 Delhi;: Oxford University Press;\nGupta, D., Country-Town Nexus and Agrarian Mobilization: Bharatiya Kisan Union as an Instance (1988) Economic and Political Weekly, 23 (51);\nGupta, D., Peasant “Unionism” in Uttar Pradesh: Against the Rural Mentality Thesis (1992) Journal of Contemporary Asia, 22 (2);\nGuru, G., Shetkari Sanghtana and the Pursuit of “Laxmi Mukti (1992) Economic and Political Weekly, 27 (28);\nHabermas, J., (1989) The New Conservatism: Cultural Criticism and the Historians’ Debate, , Cambridge: Polity Press;\nHardiman, D., (1981) Peasant Nationalists of Gujarat: Kheda District 1917–34, , Delhi:: Oxford University Press;\nHardiman, D., (1987) The Coming of the Devi: Adivasi Assertion in Western India, , Delhi:: Oxford University Press;\nHarris, M., The Cultural Ecology of India’s Sacred Cattle (1966) Current Anthropology, 7 (1);\nHarris, M., (1974) Cows, Pigs, Wars, and Witches: The Riddles of Culture, , New York: Random House;\nHarvey, N., (1990) The New Agrarian Movement in Mexico, 1979–90, , London: Institute of Latin American Studies;\nHasan, Z., (1989) Dominance and Mobilisation: Rural Politics in Western Uttar Pradesh, 1930–80, , New Delhi: Sage Publications;\nHasan, Z., Self-Serving Guardians: Formation and Strategy of the Bharatiya Kisan Union (1989) Economic and Political Weekly, 24 (48);\nHerzen, A., (1956) From the Other Shore, , London: Weidenfeld &amp;amp; Nicolson;\nHinz, B., (1980) Art in the Third Reich, , Oxford: Basil Blackwell;\nHusain, A., Tribe, K., (1984) Paths of Development in Capitalist Agriculture, , London: Macmillan;\nJackson, C., Women/Nature or Gender/History? A Critique of Ecofeminist “Development (1993) Journal of Peasant Studies, 20 (3);\nJones, A.K., Social Symbiosis: A Gaian Critique of Contemporary Social Theory (1990) The Ecologist, 20 (3);\nSharad, J., (1993) Farmers and Dunkel, , Pune: unpublished mss;\nKaufman, A., (1982) Capitalism, Slavery, and Republican Values: American Political Economists, 1819–1848, , Austin TX: University of Texas Press;\nKitching, G., (1982) Development and Underdevelopment in Historical Perspective, , London: Methuen &amp;amp; Co;\nKnowlton, J., Cotes, J., (1993) Forever in the Shadow of Hitler: Documents of the Historikerstreit, , New York: Humanities Press;\nKoonz, C., (1987) Mothers in the Fatherland: Women, the Family, and Nazi Politics, , New York: St Martin’s Press;\nKosambi, D.D., (1956) An Introduction to the Study of Indian History, , Bombay: Popular Book Depot;\nKripa, A.P., Farmers’ Movement in Karnataka (1992) Economic and Political Weekly, 27 (23);\nKumarappa, B., (1935) Village Industries and Reconstruction, , Allahabad: All India Congress Committee;\nLenin, V.I., What Is To Be Done? (1961) Collected Works, 5. , Moscow: Foreign Languages Publishing House;\nLenin, V.I., The Development of Capitalism in Russia (1964) Collected Works, 3. , Moscow: Foreign Languages Publishing House;\nLennenberg, C., Sharad Joshi and the Farmers: The Middle Peasant Lives! (1988) Pacific Affairs, 61 (3);\nLevy, E., (1991) Small-Town America in Film: The Decline and Fall of Community, , New York: Continuum;\nLieten, K., The Indian National Congress and the Control Over Labour: The Need for a Passive Revolution (1988) Congress and Classes: Nationalism, Workers and Peasants, , K. Kumar (ed.) New Delhi: Manohar;\nLindberg, S., Civil Society Against the State? Farmers (1990), Agitation and New Social Movements in India’, Paper presented at the XII World Congress of Sociology, Madrid; Lipton, M., (1977) Why Poor People Stay Poor: A Study of Urban Bias in in World Development, , London: Temple Smith;\nLittlejohn, G., Peasant Economy and Society (1977) Sociological Theories of the Economy, , B. Hindess (ed.) London: Macmillan;\nLukacs, G., (1980) The Destruction of Reason, , London: The Merlin Press;\nLiithi, D., Krishna and Catir Naccu: Feature Film as a Political Medium (1993) Visual Anthropology, 5, pp. 3-4;\nMacciocchi, A.-M., Female Sexuality in Fascist Ideology (1979) Feminist Review, (1);\nMcLeod, W.H., (1991) Popular Sikh Art, , Delhi:: Oxford University Press;\nMaier, C.S., (1988) The Unmasterable Past: History, Holocaust, and German National Identity, , Cambridge, MA: Harvard University Press;\nMalia, M.E., Herzen and the Peasant Commune (1955) Continuity and Change in Russian and Soviet Thought, , E.J. Simmons(ed.) Cambridge, MA: Harvard University Press;\nMannheim, K., (1953) Essays on Sociology and Social Psychology, , London: Routledge &amp;amp; Kegan Paul;\nManor, J., BJP in South India: 1991 General Election (1992) Economic and Political Weekly, 27, pp. 24-25;\nManuel, P., (1993) Cassette Culture: Popular Music and Technology in North India, , Chicago, ILL: University of Chicago Press;\nMehta, U., Indian Agriculture Since Independence (1992) Capitalist Development: Critical Essays, , G. Shah(ed.) London: Sangam Books Ltd;\nMelucci, A., (1989) Nomads of the Present: Social Movements and Individual Needs in Contemporary Society, , London: Hutchinson Radius;\nMerchant, C., (1992) Radical Ecology, , London: Routledge;\nMies, M., (1986) Patriarchy and Accumulation on a World Scale, , London: Zed Press;\nMies, M., Bennholdt-Thomsen, V., von Werlhof, C., (1988) Women: The Last Colony, , New Delhi: Kali for Women;\nMies, M., Shiva, V., (1993) Ecofeminism, , London: Zed Press;\nMitrany, D., (1951) Marx Against the Peasant, , Chapel Hill, NC: The University of North Carolina Press;\nMorgan, R., (1992) The Word of a Woman: Feminist Dispatches 1968–1992, , New York: W.W. Norton &amp;amp; Co., Ltd;\nMosse, G., (1966) Nazi Culture: Intellectual, Cultural and Social Life in the Third Reich, , London: W.H. Allen;\nNadkami, M.V., (1987) Farmers’ Movements in India, , Ahmedabad: Allied Publishers;\nPost-Independence Peasant Movements in Ryotwari Areas of Andhra Pradesh (1980), A.R. Desai (ed.) [1990]; Netting, R.M., (1993) Smallholders, Householders: Farm Families and the Ecology of Intensive Sustainable Agriculture, , Stanford, CA: Stanford University Press;\nNolan, M., The Historikerstreit and Social History (1988) New German Critique, (44);\nNormano, J.F., (1949) The Spirit of Russian Economics, , London: Dennis Dobson;\nOmvedt, G., Peasants and Women: Challenge of Chandwad (1986) Economic and Political Weekly, 21 (48);\nOmvedt, G., (1988) New Movements, , A.N. Das (ed.) [1988];\nOmvedt, G., Ecology and Social Movements (1989) Sociology of ‘Developing Societies’: South Asia, , H. Alavi and J. Harriss (eds.) London: Macmillan;\nOmvedt, G., The Farmers’ Movement in Maharashtra (1990), I. Sen (ed.); Omvedt, G., (1990) Violence Against Women: New Movements and New Theories in India, , New Delhi: Kali for Women;\nOmvedt, G., Theorists of the Peasantry Should at Least Have Their Feet on the Ground: A Response to Banaji (1991) Journal of Peasant Studies, 19 (1);\nOmvedt, G., Shetkari Sanghatana’s New Direction (1991) Economic and Political Weekly, 26 (40);\nOmvedt, G., Of Brahmins, Sacred and Socialist (1993) Economic and Political Weekly, 28 (44);\nOmvedt, G., Farmers’ Movement: Fighting for Liberalisation (1993) Economic and Political Weekly, 28 (50);\nOmvedt, G., Galla, C., Ideology for Provincial Propertied Class? (1987) Economic and Political Weekly, 22 (45);\nO’Sullivan, N., (1976) Conservatism, , London: J.M. Dent &amp;amp; Sons Ltd;\nOtt, H., (1993) Martin Heidegger: A Political Life, , London: Harper Collins;\nPandey, G., Hindus and Others: The Militant Hindu Construction (1991) Economic and Political Weekly, 26 (52);\nPathy, J., (1984) Tribal Peasantry: Dynamics of Development, , New Delhi: Inter-India Publications;\nPatnaik, U., Neopopulism and Marxism: The Chayanovian View of the Agrarian Question and Its Fundamental Fallacy (1979) Journal of Peasant Studies, 6 (4);\nPatnaik, U., The Agrarian Question and Development of Capitalism in India (1986) Economic and Political Weekly, 21 (18);\nPatnaik, U., (1990) Agrarian Relations and Accumulation: The ‘Mode of Production’ Debate in India, , Bombay:: Oxford University Press;\nPetrovich, M.B., The Peasant in Nineteenth Century Historiography (1968) The Peasant in Nineteenth Century Russia, , W.S. Vucinich(ed.) Stanford, CA: Stanford University Press;\nPois, R.A., (1986) National Socialism and the Religion of Nature, , London: Croom Helm;\nPorter, R., Teich, M., (1988) Romanticism in National Context, , Cambridge: Cambridge University Press;\nPouchepadass, J., Peasant Classes in Twentieth Century Agrarian Movements in India (1980) Peasants in History: Essays in Honour of Daniel Thorner, , E.J. Hobsbawm (eds.) Calcutta:: Oxford University Press;\nPrasad, P., Rise of Kulak Power and Caste Struggle in North India (1991) Economic and Political Weekly, 26 (33);\nPuntambekar, S.V., Varadachari, N.S., (1926) Hand-spinning and Hand-weaving: An Essay, , Ahmedabad: The All-India Spinners’ Association;\nRao, C.R., Faizee, S., (1989) Babri Masjid Ram Janam Bhoomi Controversy - Dangerous Communal Situation, , New Delhi: CPI;\nRay, K., Jha, S.K., Assessing Shetkari Sanghatana (1987) Economic and Political Weekly, 22 (51);\nRay, K.C., Tisdell, C.A., Gandhi’s Concept of Development and Nehru’s Centralized Planning (1992) Economic Development and the Environment, , K.C. Roy, C.A. Tisdell and R.K. Sen (eds.) Calcutta:: Oxford University Press;\nRichards, P., Ecological Change and the Politics of African Land Use (1983) African Studies Review, 26 (2);\nRichards, P., (1985) Indigenous Agricultural Revolution, , London: Hutchinson;\nRichards, P., (1986) Coping with Hunger, , London: Allen &amp;amp; Unwin;\nRichards, P., Indigenous Approaches to Rural Development: The Agrarian Populist Tradition in West Africa (1990) Agroecology and Small Farm Development, , M. Altieri and S. Hecht (eds.) Boca Raton, FL: CRC Press;\nRudolph, L.I., The Media and Cultural Politics (1992) Economic and Political Weekly, 27 (28);\nRudolph, L.I., Rudolph, S.H., Determinants and Varieties of Agrarian Mobilization (1984) Agrarian Power and Agricultural Productivity in South Asia, , M. Desai, S.H. Rudolph and A. Rudra (eds.) Delhi:: Oxford University Press;\nRudolph, L.I., Rudolph, S.H., (1987) In Pursuit of Lakshmi: The Political Economy of the Indian State, , Chicago, IL: Chicago University Press;\nSahlins, M., (1972) Stone Age Economics, , Chicago, IL: Aldine Atherton Inc;\nSalvadori, M., (1979) Karl Kautsky and the Socialist Revolution 1880–1938, , London: New Left Books;\nSarkar, T., The Woman as Communal Subject: Rashtrasevika Samiti and the Ram Janmabhoomi Movement (1991) Economic and Political Weekly, 26 (35);\nSathyamurthy, T.V., Indian Peasant Historiography: A Critical Perspective on Ranajit Guha’s Work (1990) Journal of Peasant Studies, 18;\nSaxton, A., (1990) The Rise and Fall of the White Republic: Class Politics and Mass Culture in Nineteenth Century America, , London: Verso;\nSen, G., (1992) Indigenous Vision: Peoples of India Attitudes to the Environment, , New Delhi: Sage;\nSen, I., (1990) Introduction, , I. Sen (ed.) [1990];\nSen, I., (1990) A Space Within the Struggle: Women's Participation in People’s Movements, , New Delhi: Kali for Women;\nSen, S., (1982) Peasant Movements in India, , Calcutta: K.P. Bagchi;\nShah, G., Tenth Lok Sabha Elections: BJP’s Victory in Gujarat (1991) Economic and Political Weekly, 26 (51);\nShiva, V., (1989) Staying Alive: Women, Ecology and Development, , London: Zed Books;\nShiva, V., Development as a New Project of Western Patriarchy (1990), I. Diamond and G.F. Orenstein (eds.) [1990]; Shiva, V., (1991) The Violence of the Green Revolution: Third World Agriculture, Ecology and Politics, , London: Zed Books;\nShiva, V., (1991) Ecology and the Politics of Survival, , New Delhi: Sage Publications;\nShiva, V., (1992) Women’s Indigenous Knowledge and Biodiversity Conservation, , G. Sen (ed.) [1992];\nShiva, V., (1992) Biodiversity, Biotechnology and Profits, , V. Shiva (ed.) [1992];\nShiva, V., (1992) Biodiversity: Social and Ecological Perspectives, , Dehradun: Natraj Publishers;\nShiva, V., Farmers’ Rights, Biodiversity and International Treaties (1993) Economic and Political Weekly, 28 (14);\nShiva, V., (1993) Monoculture of the Mind: Biodiversity, Biotechnology and ‘Scientific’ Agriculture, , London: Zed Books;\nSingh, C., (1978) India’s Economic Policy; The Gandhian Blueprint, , New Delhi: Vikas Publishing House;\nSingh, C., (1981) Economic Nightmare of India: Its Cause and Cure, , New Delhi: National Publishing House;\nSinha, I., (1982) Some Questions Concerning Marxism and the Peasantry, , New Delhi: Communist Party Publication;\nSlater, D., (1985) New Social Movements and the State in Latin America, , Amsterdam: CEDLA;\nThompson, E.P., (1991) Cultures in Common, , London: Merlin Press;\nTidmarsh, K., The Soviet Reassessment of Mahatma Gandhi (1960) South Asian Affairs, , R. Iyer(ed.) Southern Illinois University Press;\nTonnies, F., (1955) Community and Association, , London: Routledge &amp;amp; Kegan Paul;\nTotten, G.O., Labor and Agra","page":"27-71","publisher-place":"Faculty of Social and Political Sciences, University of Cambridge, Free School Lane, Cambridge CB2 3RQ, United Kingdom","title":"The Politics of Gender, Nature and Nation in the Discourse of the New Farmers’ Movements","type":"article-journal","volume":"21"},"uris":["http://www.mendeley.com/documents/?uuid=c3ca1b2c-e880-4614-ace6-8131aaf645f9"]},{"id":"ITEM-2","itemData":{"DOI":"10.1080/00380237.2015.1065700","ISSN":"00380237 (ISSN)","abstract":"This article introduces the concept “ideological contention” into the study of social movements and demonstrates the concept through an analysis of the relationship between race and mobilization in modern national contexts. The analysis links the emergence of scientific racism to the period of large nation state consolidation and the development of liberal political ideologies across Western nations. The paper demonstrates that movement struggles within the context of a national ideological framework impact the organization, process of ideological elaboration, and strategic choices a movement makes. I explore how ideology organizes, coordinates, and mobilizes movement members in political processes through a study of Sardinian worker, peasant, and communist struggles in the context of a modernized and industrialized Italy (1917–1920). I argue that reevaluating the theoretical and empirical relationship between ideology and the frame perspective could strengthen analyses of social movement struggles. © North Central Sociological Association.","author":[{"dropping-particle":"","family":"Carley","given":"R","non-dropping-particle":"","parse-names":false,"suffix":""}],"container-title":"Sociological Focus","id":"ITEM-2","issue":"1","issued":{"date-parts":[["2016"]]},"language":"English","note":"Export Date: 3 March 2021\n\nCorrespondence Address: Carley, R.; Department of Sociology and Anthropology, 270 Millett Hall, United States; email: robert.carley@wright.edu\n\nReferences: Augelli, E., Murphy, C., (1988) America's Quest for Supremacy and the Third World: A Gramscian Analysis, , London: Pinter; \nBenford, R.D., Snow, D.A., Framing Processes and Social Movements: An Overview and Assessment (2000) Annual Review of Sociology, 26, pp. 611-639;\nBrennan, T., Antonio Gramsci and Postcolonial Theory: 'Southernism.' (2001) Diaspora, 10, pp. 143-187;\nCarley, R., Agile Materialisms: Antonio Gramsci, Stuart Hall, Racialization, and Modernity (2013) Journal of Historical Sociology, 26, pp. 413-441;\nCarragee, K., Roefs, W., The Neglect of Power in Recent Framing Research (2004) Journal of Communication, 54, pp. 214-233;\nCarroll, W.K., Ratner, R.S., Master Frames and Counter-Hegemony: Political Sensibilities in Contemporary Social Movements (1996) The Canadian Review of Sociology and Anthropology, 33, pp. 407-435;\nColes, R.L., Building the Clinton Legacy through Frame Alignment (2001) Cultural Studies/Critical Methodologies, 1, pp. 459-487;\nDahbour, O., Ishay, M.R., (1995) The Nationalism Reader, , Atlantic Highlands, NJ: Humanities Press;\nDiani, M., The Relational Deficit of Ideologically Structured Action (2000) Mobilization, 5, pp. 17-24;\nEckstein, H., (1992) Regarding Politics: Essays on Political Theory, Stability, and Change, , Berkeley: University of California Press;\nEntman, R., Cascading Activation: Contesting the White House's Frame after 9/11 (2003) Political Communication, 20, pp. 415-432;\nFoot, J.M., White Bolsheviks? The Catholic Left and the Socialists in Italy, 1919-1920 (1997) The Historical Journal, 40, pp. 415-433;\nFreeman, J., The Tyranny of Structurelessness (1972) Berkeley Journal of Sociology, 17, pp. 151-165;\nGhosh, P., Gramscian Hegemony: An Absolutely Historicist Approach (2001) History of European Ideas, 27, pp. 1-43;\nGould, S.J., American Polygeny and Craniometry before Darwin: Blacks and Indians as Separate, Inferior Species (1993) The &amp;quot;Racial&amp;quot; Economy of Science, pp. 84-115. , edited by Sandra Harding. Bloomington: Indiana University Press;\nGramsci, A., (1971) Selections from the Prison Notebooks, , edited by David Forgacs and Geoffrey Nowell-Smith. London: Lawrence and Wishart;\nGramsci, A., (1977) Political Writings: 1910-1920, , London: Lawrence and Wishart;\nGramsci, A., (1995) The Southern Question, , [1926], Trans. Pacquale Verdicchio. West Lafayette: Bordighera, Inc;\nGreen, M., Gramsci Cannot Speak: Presentations and Interpretations of Gramsci's Concept of the Subaltern (2002) Rethinking Marxism, 14, pp. 1-24;\nGreen, M.E., Rethinking the Subaltern and the Question of Censorship in Gramsci's Prison Notebooks (2011) Postcolonial Studies, 14, pp. 387-404;\nGreen, M.E., Race, Class, and Religion: Gramsci's Conception of Subalternity (2013) The Political Philosophies of Antonio Gramsci and B.R. Ambedkar: Itineraries of Dalits and Subalterns, pp. 116-128. , edited by Cosimo Zene. New York: Routledge;\nGreen, M., Ives, P., Subalternity and Language: Overcoming the Fragmentation of Common Sense (2009) Historical Materialism, 17, pp. 3-30;\nHaas, F., German Science and Black Racism-Roots of the Nazi Holocaust (2008) The FASEB Journal, 22, pp. 332-337;\nHall, S., Gramsci's Relevance for the Study of Race and Ethnicity (1986) Journal of Communication Inquiry, 10, pp. 5-27;\nHeatherington, T., (2010) Wild Sardinia: Indigeneity and the Global Dream-times of Environmentalism, , Seattle: University of Washington Press;\nHosseini, S., Hamed, A., (2010) Alternative Globalizations: An Integrative Approach to Studying Dissident Knowledge in the Global Justice Movement, , New York: Routledge;\nJohnston, H., A Methodology for Frame Analysis: From Discourse to Cognitive Schema (1995) Social Movements and Culture, pp. 217-246. , edited by Hank Johnston and Bert Klandermans. Minneapolis: University of Minnesota Press;\nKlandermans, B., Must We Redefine Social Movements as Ideologically Structured Action? (2000) Mobilization, 5, pp. 25-30;\nLombroso, C., Criminal Man (1972) The Heritage of Modern Criminology, pp. 64-71. , [1876], edited by Sawyer F. Sylvester, Jr. Cambridge, MA: Schenkman Publishing;\nMannheim, K., (1997) Ideology and Utopia: An Introduction to the Sociology of Knowledge, , New York: Routledge;\nMcCarthy, J.D., Zald, M.N., Resource Mobilization and Social Movements: A Partial Theory (1977) American Journal of Sociology, 82, pp. 1212-1241;\nMiller, F.D., The End of SDS and the Emergence ofWeatherman: Demise Through Success (1999) Waves of Protest Social Movements since the Sixties, pp. 303-324. , edited by Jo Freeman and Victoria Johnson. New York: Longman;\nMills, A.J., Durepos, G., Wiebe, E., (2010) Encyclopedia of Case Study Research: L-Z, , Thousand Oaks, CA: Sage;\nMoe, N., (2002) The View from Vesuvius: Italian Culture and the Southern Question, , Berkeley: University of California Press;\nMooney, P., (1995) Farmers' and Farmworker's Movements: Social Protest in American Agriculture, , New York: Twayne Publishers;\nMooney, P.H., Hunt, S.A., A Repertoire of Interpretations: Master Frames Ideological Continuity in U.S. Agrarian Mobilization (1994) The Sociological Quarterly, 37, pp. 177-197;\nNiceforo, A., (1897) La Delinquenza in Sardegna, , Palermo: Remo Sandron Editore;\nNoonan, R.K., Women Against the State: Political Opportunities and Collective Action Frames in Chile's Transition to Democracy (1997) Social Movements: Readings on their Emergence, Mobilization, and Dynamics, pp. 252-267. , edited by Doug McAdam and David A. Snow. Los Angeles: Roxbury;\nOliver, P., Johnston, H., Reply to Snow and Benford: Breaking the Frame (2000) Mobilization, 5, pp. 61-64;\nOliver, P., Johnston, H., What a Good Idea! Frames and Ideologies in Social Movement Research (2000) Mobilization, 5, pp. 37-54;\nOmi, M., HowardWinant, (1994) Racial Formation in the United States: From the 1960s to the 1990s, , NewYork: Routledge;\nPick, D., (1989) Faces of Degeneration: A European Disorder, , Cambridge, UK: Cambridge University Press;\nPlatt, G.M., Williams, R.H., Ideological Language and Social Movement Mobilization: A Sociolinguistic Analysis of Segregationists' Ideologies (2002) Sociological Theory, 20, pp. 328-359;\nPortelli, A., (2003) The Order Has Been Carried Out: History, Memory, and Meaning of a Nazi Massacre in Rome, , New York: Palgrave;\nRaboy, M., (1984) Movements and Messages: Media and Radical Politics in Quebec, , Toronto: Between the Lines;\nReese, S.D., The Framing Project: A Bridging Model for Media Research Revisited (2007) Journal of Communication, 57, pp. 148-154;\nReinharz, S., (1992) Feminist Methods in Social Research, , Oxford: Oxford University Press;\nReiter, B., Mitchell, G.L., The New Politics of Race in Brazil (2010) Brazil's New Racial Politics, pp. 1-33. , edited by Bernd Reiter and Gladys L. Mitchell. London: Lynne Rienner Publishers;\nSassoon, A.S., (1987) Gramsci's Politics, , Minneapolis: University of Minnesota Press;\nSnow, D.A., Framing Processes, Ideology, and Discursive Fields (2004) The Blackwell Companion to Social Movements, pp. 380-412. , edited by David A. Snow, Sarah A. Soule, and Hanspeter Kriesi. Oxford: Blackwell Publishers;\nSnow, D.A., Elaborating the Discursive Contexts of Framing: Discursive Fields and Spaces (2008) Studies in Symbolic Interaction, 30, pp. 3-28;\nSnow, D., Benford, R., Ideology, Frame Resonance, and Participant Mobilization (1988) International Social Movement Research, 1, pp. 197-217;\nSnow, D.A., Benford, R.D., Master Frames and Cycles of Protest (1992) Frontiers in Social Movement Theory, pp. 133-155. , edited by Aldon D. Morris and Carol McClurg Mueller. New Haven, NJ: Yale University Press;\nSnow, D., Benford, R., Clarifying the Relationship between Framing and Ideology in the Study of Social Movements: A Comment on Oliver and Johnston (2000) Mobilization, 5, pp. 37-54;\nSnow, D., Byrd, S.C., Ideology Framing Processes, and Islamic Terrorist Movements (2007) Mobilization, 12, pp. 119-136;\nSnow, D., Corrigall-Brown, C., Falling on Deaf Ears: Confronting the Prospect of Nonresonant Frames (2005) Rhyming Hope and History: Activists, Academics, and Social Movement Scholarship, pp. 222-238. , edited by David Croteau, William Hoynes, and Charlotte Ryan. Minneapolis: University of Minnesota Press;\nSnow, D.A., Burke Rochford, E., Jr., Worden, S.K., Benford, R.D., Frame Alignment Processes, Micromobilization, and Movement Participation (1986) American Sociological Review, 51, pp. 464-481;\nStauder, J., The 'Relevance' of Anthropology to Colonialism and Imperialism (1993) The &amp;quot;Racial&amp;quot; Economy of Science, pp. 408-427. , edited by Sandra Harding. Bloomington: Indiana University Press;\nTombari, S.L., Click If You Care: Frame Alignment Processes in Anti-Poverty Movement Websites (2010) Canadian Journal of Applied Research, 1, pp. 48-67;\nUrbinati, N., The Souths of Antonio Gramsci and the Concept of Hegemony (1998) Italy's &amp;quot;Southern Question: &amp;quot; Orientalism in One Country, pp. 135-156. , edited by Jane Schneider. Oxford: Berg;\nVan den Brink, M., Kuipers, K., Lagendijk, A., Framing Regionalisation: How a Dutch Environmental Organization Puts the Concept of Sustainability into Practice through Frame Alignment (2005) Sustainable Regions: Making Regions Work, pp. 100-101. , edited by Sally Hardy, Lisa Bibby-Larsen, Frankie Freeland. Seaford: Regional Studies Association;\nVerdicchio, P., Introduction (1995) The Southern Question, pp. 7-27. , Translated by Pasquale Verdicchio. West Lafayette: Bordighera Inc;\nVerschuren, P., Doorewaard, H., (2005) Designing a Research Project, , Utrecht: LEMMA;\nWestby, D.L., Strategic Imperative, Ideology, and Frame (2002) Mobilization, 7, pp. 287-304;\nWilliams, R.H., Ideology, Culture, and the Dynamics of Collective Action (1999) Quarterly Journal of Ideology, 22, pp. 31-41;\nWilliams, R.H., Blackburn, J.N., Many Are Called But Few Obey: Ideological Commitment and Activism in Operation Rescue (1996) Disruptive Religions: The Forces of Faith in Social Movement Activism, pp. 167-185. , edited by Christian Smith. London: Routledge;\nWilson, S., Exploration of the Usefulness of Case Study Evaluations (1979) Evaluation Quarterly, 3, pp. 446-459;\nZald, M.N., Ideologically Structured Action (2000) Mobilization, 5, pp. 1-16;\nZald, M.N., New Paradigm? Nah! New Agenda? I Hope So (2000) Mobilization, 5, pp. 31-36;\nZene, C., Self-Consciousness of the Dalits as 'Subalterns': Reflections on Gramsci in South Asia (2011) Rethinking Marxism, 23, pp. 83-99","page":"28-43","publisher":"Taylor and Francis Inc.","publisher-place":"Wright State University, United States","title":"Ideological contention: Antonio gramsci and the connection between race and social movement mobilization in early twentieth-century Italy","type":"article-journal","volume":"49"},"uris":["http://www.mendeley.com/documents/?uuid=0e5340c4-1b20-42b1-a1fc-ef7f238beb79"]}],"mendeley":{"formattedCitation":"(T Brass, 1994; Carley, 2016)","plainTextFormattedCitation":"(T Brass, 1994; Carley, 2016)","previouslyFormattedCitation":"(T Brass, 1994; Carley, 2016)"},"properties":{"noteIndex":0},"schema":"https://github.com/citation-style-language/schema/raw/master/csl-citation.json"}</w:instrText>
      </w:r>
      <w:r w:rsidRPr="0037337F">
        <w:rPr>
          <w:rFonts w:ascii="Times New Roman" w:hAnsi="Times New Roman" w:cs="Times New Roman"/>
          <w:sz w:val="24"/>
          <w:szCs w:val="24"/>
        </w:rPr>
        <w:fldChar w:fldCharType="separate"/>
      </w:r>
      <w:r w:rsidR="008A7101" w:rsidRPr="008A7101">
        <w:rPr>
          <w:rFonts w:ascii="Times New Roman" w:hAnsi="Times New Roman" w:cs="Times New Roman"/>
          <w:noProof/>
          <w:sz w:val="24"/>
          <w:szCs w:val="24"/>
        </w:rPr>
        <w:t>(T Brass, 1994; Carley, 2016)</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This preliminary study used an empirical approach with case studies in the field, namely a research process that records, observes, and provides in-depth discussions on cases associated with the studied farmer. In addition, there are also previous studies carried out with an experimental approach, which examines the success and failure factors by analyzing a case. Furthermore, a number of preliminary studies have succeeded in revealing the various characteristics, its model, strength, and network</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{"citationItems":[{"id":"ITEM-1","itemData":{"DOI":"10.1177/006996670003400202","ISSN":"00699667 (ISSN)","abstract":"This study, based upon fieldwork in selected villages, examines 'new' forms of dalit assertion in Meerut district. Despite a long history of dalit assertion, the Bahujan Samaj Party (BSP) has not been electorally successful in this region, and has had to compete with the Samajwadi Party. Dalit assertion here has taken different forms, as much socio-cultural as political. Two forms analysed here are the desire for education to compete with upper castes, and attempts to control local politics and resource distribution through the new panchayats. The study shows that the traditional structures of rural dominance based upon land and social status are undergoing change. The traditionally dominant position of the Rajputs, Jats and Gujars has been challenged by the dalits, and to a lesser extent by the 'Most Backward Castes' (MBCs), but identity assertion and desire for upward mobility have also created conflict between the dalits and the MBCs. The article concludes that socio-cultural and political assertion by dalits at the grassroots level is of greater significance and more helpful to the BSP in establishing itself as a party/movement, than are its electoral successes or capture of political power in the state.","author":[{"dropping-particle":"","family":"Pai","given":"S","non-dropping-particle":"","parse-names":false,"suffix":""}],"container-title":"Contributions to Indian Sociology","id":"ITEM-1","issue":"2","issued":{"date-parts":[["2000"]]},"language":"English","note":"Cited By :22\n\nExport Date: 3 March 2021\n\nCorrespondence Address: Pai, S.; Centre for Political Studies, , New Delhi 110 067, India\n\nReferences: (1999) Ambedkar Gram Vikas Yojana Sambandith Mahatvapoorn Shasanadesh, , (Report in Hindi). Government of Uttar Pradesh, Lucknow; \nAwasthi, R.N., The making of the Scheduled Caste community in Uttar Pradesh (1996) A Study of the SCF and Dalit Politics, pp. 1946-1948. , M.Phil thesis, Department of History. University of Delhi;\nBrass, P.R., (1968) State Politics in India, pp. 60-125. , Uttar Pradesh. Weiner M., ed., Princeton. NJ: Princeton University Press;\nBriggs, G.W., (1920) The Chamars, , London;\n(1991) Census of India, , Series I, Union Primary Abstract, SCs &amp;amp; STs. Paper 1 of 1993. New Delhi: Government Press;\nDeep, T., Report on conversion of Harijans to Sikhism in Nagla Hareru and Sothamali villages (1989) Dinaman, pp. 14-27. , (Hindi) 31 July;\nDrèze, J., Gazdar, H., Uttar Pradesh: The burden of inertia. In Jean Dreze and Amartya Sen (1997) Indian Development: Selected Regional Perspectives, pp. 33-128. , (eds.), New Delhi: Oxford University Press;\nDuncan, R.I., Levels, the communication of programmes and sectional strategies in Indian politics, with reference to the BKD and the RPI in UP state and Aligarh district (1979) Ph.D. Thesis, , University of Sussex;\nKhanna, B.S., (1994) Panchayati Raj: Rural Local Self-Government, National Perspectives and State Studies in India, , New Delhi: Deep &amp;amp; Deep;\nMendelsohn, O., The transformation of authority in rural India (1993) Modern Asian Studies, 27 (4), pp. 804-842;\n(1995) Most Backward Classes Commission, , (Sarvadhik Pichada Varg), Lucknow: Government of Uttar Pradesh;\nMukerji, A.B., (1980) The Chamars of UP: A Study in Social Geography, , New Delhi: Inter India Publishers;\nPai, S., (1993) Uttar Pradesh: Agrarian Change, Electoral Politics, , New Delhi: Shipra Publishers;\nPai, S., New political trends in Uttar Pradesh: The BJP and the Lok Sabha Elections (1998) Economic and Political Weekly, 33 (28), pp. 1841-1845. , 1998;\nPai, S., Singh, J., Politicisation of Dalits and Most Backward Castes: Study of social conflict and political preferences in four villages of Meerut district (1997) Economic and Political Weekly, 32 (23), pp. 1356-1361;\nPatnaik, U., Hasan, Z., Aspects of the farmers movement in UP in the context of uneven capitalist development in Indian agriculture (1995) Industry and Agriculture in India Since Independence: Social Change and Political Discourse in India. Structures of Power, Movements and Resistance, 2, pp. 274-300. , Satyamurthy T.V., ed., New Delhi: Oxford University Press;\nSaxena, G.S., (1990) Arya Samaj Movement in India, pp. 1857-1947. , New Delhi: Commonwealth Publishers;\nScott, J.C., (1985) Weapons of the Weak: Everyday Forms of Peasant Resistance, , New Haven: Yale University Press;\nSethi, S., When Dalit women find their voice (1997) The Times of India, , New Delhi. 28 July;\nSingh, J., (1992) Capitalism and Dependence: Agrarian Politics in Western Uttar Pradesh, pp. 1951-1991. , New Delhi: Manohar Publications;\nSingh, J., Ambedkarisation and assertion of Dalit identity: Socio-cultural protest in Meerut district of western Uttar Pradesh (1998) Economic and Political Weekly, 33 (40), pp. 2611-2618;\nSingh, J., In search of quality education: Alternative schooling in Meerut district in western Uttar Pradesh (1998) Reforming Social Education: Issues in Policy Planning and Implementation, pp. 128-151. , Aggarwal Y., Kusum K., Premi, eds., New Delhi: Vikas Publishers;\nSingh, K.S., (1991) Peoples of India: Communities, Segments, Synonyms, Surnames and Titles, 3. , National Series, New Delhi: Oxford University Press;\nSingh, M., (1947) The Depressed Classes and Their Economic Condition, , Bombay: Hind Kitab;\n(1999) The Times of India, , New Delhi, 10 September","page":"189-220","publisher":"Sage Publications India Pvt. Ltd","publisher-place":"Centre for Political Studies, School of Social Sciences, Jawaharlal Nehru University, New Delhi 110 067, India","title":"New social and political movements of details: A study of Meerut district","type":"article-journal","volume":"34"},"uris":["http://www.mendeley.com/documents/?uuid=b41759f0-0219-4738-98bb-3f03307d7c77"]},{"id":"ITEM-2","itemData":{"DOI":"10.1007/s10460-019-09923-4","ISSN":"0889048X (ISSN)","abstract":"How do calculative trust and relational trust influence the emergence of institutional-based trust in farmers’ markets? We fill a gap in the literature by studying how diverse forms of trust influence the way frequent consumers evaluate the institutions of a farmers’ market. We analyze a data set of 687 frequent shoppers from the U.S. state of Missouri, assessing the institutional-based trust in farmers’ markets in comparison with the level of institutional-based trust in conventional food systems. The results suggest that calculative trust plays an important role in the consolidation of institutional-based trust in local food systems. More specifically, consumers who shop frequently and live closer to a farmers’ market tend to trust more in local food systems than in conventional food systems. Likewise, affinity towards conventional food systems—i.e., convenience-oriented lifestyle preferences—seems to influence the level of institutional-based trust in local food systems. Consumers who eat out more often tend to trust less in local food systems, possibly due to the lack of repeated experiences with sellers. Following the literature, we also show that consumers search for a broader set of attributes when shopping at a farmers’ market. Even though relational trust is correlated with higher levels of institutional-based trust in alternative food systems, strong ties do not increase the trust in the information found in a farmers’ market. © 2019, Springer Nature B.V.","author":[{"dropping-particle":"","family":"Chen","given":"L A","non-dropping-particle":"","parse-names":false,"suffix":""},{"dropping-particle":"V","family":"Miranda","given":"B","non-dropping-particle":"","parse-names":false,"suffix":""},{"dropping-particle":"","family":"Parcell","given":"J L","non-dropping-particle":"","parse-names":false,"suffix":""},{"dropping-particle":"","family":"Chen","given":"C","non-dropping-particle":"","parse-names":false,"suffix":""}],"container-title":"Agriculture and Human Values","id":"ITEM-2","issue":"3","issued":{"date-parts":[["2019"]]},"language":"English","note":"Cited By :2\n\nExport Date: 3 March 2021\n\nCorrespondence Address: Chen, C.; College of Economics and Management, No. 1 Weigang Road, China; email: cchen@njau.edu.cn\n\nFunding details: Agricultural Marketing Service, AMS, 14-FSMIP-MO-0008\n\nFunding text 1: We would like to thank the editor and the three anonymous reviewers for their valuable comments on our manuscript. We also would like to acknowledge financial support provided by the USDA Agricultural Marketing Service for the project “Assessing Sampling, Price Reporting as Farmers Market Vendor Marketing Tools” (Federal-State Marketing Improvement Program Competitive Grant No. 14-FSMIP-MO-0008). 1 More information about Panel Programs executed by Research Now can be found here: https://www.researchnow.com/products-services/global-audiences-and-panel/ .\n\nReferences: Albrecht, C., Smithers, J., Reconnecting through local food initiatives? Purpose, practice and conceptions of ‘value’ (2018) Agriculture and Human Values, 35 (1), pp. 67-81; \nAsseraf, Y., Shoham, A., Destination branding: The role of consumer affinity (2017) Journal of Destination Marketing &amp;amp; Management, 6 (4), pp. 375-384;\nBachmann, R., Trust, power, and control in trans-organizational relations (2001) Organization Studies, 22 (2), pp. 337-365;\nBachmann, R., Inkpen, A., Understanding institutional-based trust building processes in inter-organizational relationships (2011) Organization Studies, 32 (2), pp. 281-301;\nBarzel, Y., Standards and the form of the agreement (2002) Economic Inquiry, 42 (1), pp. 1-13;\nBellows, A., Alcaraz, V., Hallman, W., Gender and food, a study of attitudes in the U.S.A. towards organic, local, U.S. grown, and GM-free foods (2010) Appetite, 55, pp. 540-550;\nBem, D.J., Self-perception theory (1972) Advances in Experimental Social Psychology, 6, pp. 1-62;\nBitter, S., Grabner-Kräuter, S., Customer engagement behavior: interacting with companies and brands on Facebook (2013) Advances in Advertising Research, 4, pp. 3-17;\nBlock, F.L., (1990) Postindustrial possibilities: A critique of economic discourse, , University of California Press, Oakland;\nBond, C.A., Thilmany, D., Keeling-Bond, J., Understanding consumer interest in product and process-based attributes for fresh produce (2008) Agribusiness, 24 (2), pp. 231-252;\nBos, E., Owen, L., Virtual reconnection: The online spaces of alternative food networks in England (2016) Journal of Rural Studies, 45, pp. 1-14;\nBradach, J.L., Eccles, R.G., Price, authority, and trust: From ideal types to plural forms (1989) Annual Review of Sociology, 15 (1), pp. 97-118;\nBrousseau, E., Raynaud, E., Climbing the hierarchical ladders of rules”: A life-cycle theory of institutional evolution (2011) Journal of Economic Behavior &amp;amp; Organization, 79 (1-2), pp. 65-79;\nBrown, A., Counting farmers markets (2001) Geographical Review, 91 (4), pp. 655-674;\nBrown, A., Farmers’ market research 1940–2000: An inventory and review (2002) American Journal of Alternative Agriculture, 17 (4), pp. 167-176;\nBrown, C., Consumers’ preferences for locally produced food: A study in Southeast Missouri (2003) American Journal of Alternative Agriculture, 18 (4), pp. 213-224;\nByker, C., Shanks, J., Misyak, S., Serrano, E., Characterizing farmers’ market shoppers: A literature review (2012) Journal of Hunger &amp;amp; Environmental Nutrition, 7 (1), pp. 38-52;\nCarson, R., Hamel, Z., Giarrocco, K., Baylor, R., Mathews, L., Buying in: The influence of interactions at farmers’ markets (2016) Agriculture and Human Values, 33 (4), pp. 861-875;\nCastaldo, S., Premazzi, K., Zerbini, F., The meaning(s) of trust: A content analysis on the diverse conceptualizations of trust in scholarly research on business relationships (2010) The Journal of Business Ethics, 96 (4), pp. 657-668;\nCohen, M.A., Genuine, non-calculative trust with calculative antecedents: Reconsidering Williamson on trust (2014) Journal of Trust Research, 4 (1), pp. 44-56;\nColeman, J.S., Social capital in the creation of human capital (1988) American Journal of Sociology, 94, pp. S95-S120;\nDiMaggio, P., Powell, W., The iron cage revisited: Institutional isomorphism and collective rationality in organizational fields (1983) American Sociological Review, 48 (2), pp. 147-160;\nDiStefano, C., Zhu, M., Mindrila, D., Understanding and using factor scores: Considerations for the applied researcher (2009) Practical Assessment, Research &amp;amp; Evaluation, 14 (20), pp. 1-11;\nDoney, P.M., Cannon, J.P., An examination of the nature of trust in buyer-seller relationships (1997) The Journal of Marketing, 61 (2), pp. 35-51;\nDrescher, L., de Jonge, J., Goddard, E., Herzfeld, T., Consumer’s stated trust in the food industry and meat purchases (2012) Agriculture and Human Values, 29 (4), pp. 507-517;\nEden, S., Bear, C., Walker, G., Understanding and (dis) trusting food assurance schemes: Consumer confidence and the ‘knowledge fix’ (2008) Journal of Rural Studies, 24 (1), pp. 1-14;\nFarrell, H., Knight, J., Trust, institutions, and institutional change: Industrial districts and the social capital hypothesis (2003) Politics &amp;amp; Society, 31 (4), pp. 537-566;\nFeagan, R., Morris, D., Consumer quest for embeddedness: A case study of the Brantford Farmers’ Market (2009) International Journal of Consumer Studies, 33 (3), pp. 235-243;\nGilson, L., Trust and the development of health care as a social institution (2003) Social Science &amp;amp; Medicine, 56 (7), pp. 1453-1468;\nGranovetter, M., The strength of weak ties: A network theory revisited (1983) Sociological Theory, 1, pp. 201-233;\nGranovetter, M., The impact of social structure on economic outcomes (2005) Journal of Economic Perspectives, 19 (1), pp. 33-50;\nGulati, R., Nickerson, J.A., Interorganizational trust, governance choice, and exchange performance (2008) Organization Science, 19 (5), pp. 688-708;\nHenson, R., Roberts, J., Use of exploratory factor analysis in published research: Common errors and some comment on improved practice (2006) Educational and Psychology Measurement, 66 (3), pp. 393-416;\nHiggs, S., Thomas, J., Social influences on eating (2016) Current Opinion in Behavioral Sciences, 9, pp. 1-6;\nHinrichs, C., Embeddedness and local food systems: Notes on two types of direct agricultural market (2000) Journal of Rural Studies, 16 (3), pp. 295-303;\nHinrichs, C., Gillespie, G., Feenstra, G., Social learning and innovation at retail farmers’ markets (2004) Rural Sociology, 69 (1), pp. 31-58;\nHolland, P.W., Welsch, R.E., Robust regression using iteratively reweighted least-squares (1977) Communications in Statistics-Theory and Methods, 6 (9), pp. 813-827;\nHunt, A., Consumer interactions and influences on farmers’ market vendors (2007) Renewable Agriculture and Food Systems, 22 (1), pp. 54-66;\nIles, A., Learning in sustainable agriculture: Food miles and missing objects (2005) Environmental Values, 14 (2), pp. 163-183;\nJames, H., On the reliability of trusting (2002) Rationality and Society, 14 (2), pp. 229-256;\nJames, H., The trust paradox: A survey of economic inquiries into the nature of trust and trustworthiness (2002) Journal of Economic Behavior &amp;amp; Organization, 47 (3), pp. 291-307;\nJames, H., You can have your trust and calculativeness, too: Uncertainty, trustworthiness and the Williamson thesis (2014) Journal of Trust Research, 4 (1), pp. 57-65;\nJanssen, M., Heid, A., Hamm, U., Is there a promising market ‘in between’organic and conventional food? Analysis of consumer preferences (2009) Renewable Agriculture and Food Systems, 24 (3), pp. 205-213;\nJarosz, L., The city in the country: Growing alternative food networks in Metropolitan areas (2008) Journal of Rural Studies, 24 (3), pp. 231-244;\nKahne, J., Bowyer, B., The political significance of social media activity and social networks (2018) Political Communication, 35 (3), pp. 1-24;\nKeeling-Bond, J., Thilmany, D., Bond, C., What influences consumer choice of fresh produce purchase location? (2009) Journal of Agricultural and Applied Economics, 41 (1), pp. 61-74;\nKirwan, J., Alternative strategies in the UK agro-food system: Interrogating the alterity of farmers’ markets (2004) Sociologia Ruralis, 44 (4), pp. 395-415;\nKlimek, M., Bingen, J., Freyer, B., Metropolitan farmers markets in Minneapolis and Vienna: A values-based comparison (2018) Agriculture and Human Values, 35 (1), pp. 83-97;\nLevi, M., Stoke, L., Political trust and trustworthiness (2000) Annual Review of Political Science, 3, pp. 475-507;\nLewicki, R., Tomlinson, E., Gillespie, N., Models of interpersonal trust development: Theoretical approaches, empirical evidence, and future directions (2006) Journal of Management, 32 (6), pp. 991-1022;\nLu, X., White, H., Robustness checks and robustness tests in applied economics (2014) Journal of Econometrics, 178, pp. 194-206;\nLyson, T., (2012) Civic agriculture: Reconnecting farm, food, and community, , University Press of New England, Lebanon;\nMartinez, S.M., Hand, M., Dapra, S., Pollack, K., Ralston, T., Smith, S., Vogel, S., Lownewman, C., (2010) Local food systems: Concepts, impacts, and issues, , Economic Research Report 97, Economic Research Service/United States Department of Agriculture;\nMayer, R., Davis, J., Schoorman, F., An integrative model of organizational trust (1995) Academy of Management Review, 20 (3), pp. 709-734;\nMcKnight, D., Cummings, L., Chervany, N., Initial trust formation in new organizational relationships (1998) Academy of Management Review, 23 (3), pp. 473-490;\nMetlay, D., Institutional trust and confidence: A journey into a conceptual quagmire (1999) Social trust and the management of risk, pp. 110-116. , Cvetkovich G, Lofstedt R, (eds), Earthscan, London;\nMeyerson, D., Weick, K., Kramer, R., Swift trust and temporary groups (1996) Trust in organizations: Frontiers of theory and research, pp. 166-195. , Kramer R, Tyler T, (eds), Sage, Thousand Oaks;\nMöllering, G., (2006) Trust: Reason, routine, reflexivity, , Elsevier, Oxford;\nMoore, O., Understanding postorganic fresh fruit and vegetable consumers at participatory farmers’ markets in Ireland: Reflexivity, trust and social movements (2006) International Journal of Consumer Studies, 30 (5), pp. 416-426;\nMorgan, R., Hunt, S., The commitment-trust theory of relationship marketing (1994) The Journal of Marketing, 58 (3), pp. 20-38;\nMoser, R., Raffaelli, R., Thilmany-McFadden, D., Consumer preferences for fruit and vegetables with credence-based attributes: A review (2011) International Food and Agribusiness Management Review, 14 (2), pp. 121-142;\nMou, Y., Lin, C.A., Communicating food safety via the social media: The role of knowledge and emotions on risk perception and prevention (2014) Science Communication, 36 (5), pp. 593-616;\nMount, P., Growing local food: Scale and local food systems governance (2012) Agriculture and Human Values, 29 (1), pp. 107-121;\nNorth, D., Institutions (1991) Journal of Economic Perspectives, 5 (1), pp. 97-112;\nOberecker, E., Riefler, P., Diamantopoulos, A., The consumer affinity construct: Conceptualization, qualitative investigation, and research agenda (2008) Journal of International Marketing, 16 (3), pp. 23-56;\nPapaoikonomou, E., Ginieis, M., Putting the farmer’s face on food: Governance and the producer-consumer relationship in local food systems (2017) Agriculture and Human Values, 34 (1), pp. 53-67;\nPlattner, S., Economic custom in a competitive marketplace (1983) American Anthropologist, 85 (4), pp. 848-858;\nPoppo, L., Zhou, K.Z., Li, J.J., When can you trust “trust”? Calculative trust, relational trust, and supplier performance (2016) Strategic Management Journal, 37 (4), pp. 724-741;\nRaghubir, P., An information processing review of the subjective value of money and prices (2006) Journal of Business Research, 59 (10-11), pp. 1053-1062;\nRenting, H., Marsden, T., Banks, J., Understanding alternative food networks: Exploring the role of short food supply chains in rural development (2003) Environment and Planning A: Economy and Space, 35 (3), pp. 393-411;\nRichards, C., Lawrence, G., Burch, D., Supermarkets and agro-industrial foods: The strategic manufacturing of consumer trust (2011) Food, Culture &amp;amp; Society, 14 (1), pp. 29-47;\nRousseau, D., Sitkin, S., Burt, R., Camerer, C., Not so different after all: A cross-discipline view of trust (1998) Academy of Management Review, 23 (3), pp. 393-404;\nRushingruehle, J.J., (2013) Buying into the local food movement, , https://www.atkearney.com/documents/10192/709903/Buying+into+the+Local+Food+Movement.pdf/68091049-b5c2-4d2a-a770-ee5b703da8fd, ATKearney, January, Accessed 25 Jan 2016;\nRusso, C., Simeone, M., The growing influence of social and digital media: Impact on consumer choice and market equilibrium (2017) British Food Journal, 119 (8), pp. 1766-1780;\nSaulters, M., Hendrickson, M., Chaddad, F., Fairness in alternative food networks: An exploration with midwestern social entrepreneurs (2018) Agriculture and Human Values, 35 (3), pp. 611-621;\nSchnell, S., Food miles, local eating, and community supported agriculture: Putting local food in its place (2013) Agriculture and Human Values, 30 (4), pp. 615-628;\nSchupp, J., Cultivating better food access? The role of farmers’ markets in the U.S. local food movement (2017) Rural Sociology, 82 (2), pp. 318-348;\nScullypreuss, M.G., (1996) Two Faces of Trust: The Roles of Calculative and Relational Trust in Work Transformation, , Working Paper No. 3923-96. Massachusetts Institute of Technology, Cambridge, MA;\nShapiro, S.P., The social control of impersonal trust (1987) American journal of Sociology, 93 (3), pp. 623-658;\nSharp, J., Smith, M., Social capital and farming at the rural-urban interface: The importance of nonfarmer and farmer relations (2003) Agricultural Systems, 76, pp. 913-927;\nSmithers, J., Lamarch, J., Joseph, A., Unpacking the terms of engagement with local food at the farmers’ market: Insights from Ontario (2008) Journal of Rural Studies, 24 (3), pp. 337-350;\nSrinivasan, R., Brush, T.H., Supplier performance in vertical alliances: The effects of self-enforcing agreements and enforceable contracts (2006) Organization Science, 17 (4), pp. 436-452;\nThilmany, D., Bond, C., Bond, J., Going local: Exploring consumer behavior and motivations for direct food purchases (2008) American Journal of Agricultural Economics, 90 (5), pp. 1303-1309;\nTrivette, S., Invoices on scraps of paper: Trust and reciprocity in local food systems (2017) Agriculture and Human Values, 34 (3), pp. 529-542;\n(2018) Local Food Directories: National Farmers Market Directory, , https://www.ams.usda.gov/local-food-directories/farmersmarkets, Accessed 25 Jan 2016;\nUzzi, B., The sources and consequences of embeddedness for the economic performance of organizations: The network effect (1996) American Sociological Review, 61 (4), pp. 674-698;\nWilliamson, O.E., Calculativeness, trust, and economic organization (1993) The Journal of Law and Economics, 36 (1), pp. 453-486;\nZepeda, L., Which little piggy goes to market? Characteristics of US farmers’ market shoppers (2009) Internationa Journal of Consumer Studies, 33 (3), pp. 250-257;\nZepeda, L., Leviten-Reid, C., Consumers’ views on local food (2004) Journal of Food Distribution Research, 35 (3), pp. 1-6;\nZepeda, L., Li, J., Who buys local food? (2006) Journal of Food Distribution Research, 37 (3), pp. 1-11;\nZepeda, L., Reznickova, A., Russell, W., CSA membership and psychological needs fulfillment: An application of self-determination theory (2013) Agriculture and Human Values, 30 (4), pp. 605-614;\nZucker, L.G., Production of trust: Institutional sources of economic structure, 1840–1920 (1986) Research in Organizational Behavior, 8, pp. 53-111","page":"395-410","publisher":"Springer Netherlands","publisher-place":"College of Economics and Management, Nanjing Agricultural University, No. 1 Weigang Road, Nanjing, Jiangsu  210095, China","title":"The foundations of institutional-based trust in farmers’ markets","type":"article-journal","volume":"36"},"uris":["http://www.mendeley.com/documents/?uuid=80abf438-e558-4ea5-b274-dc9ffa3f999f"]},{"id":"ITEM-3","itemData":{"DOI":"10.1016/j.agsy.2014.10.005","ISSN":"0308521X (ISSN)","abstract":"In Brazil, local agricultural research agendas are increasingly challenged by the search for sustainable biodiesel crop options for family farmers, especially under semi-arid conditions. The aim of this paper is to explore the suitability of different biodiesel crops (i.e. soybean, castor bean and sunflower) through a set of environmental and socioeconomic indicators in a semi-arid (Montes Claros) and a more humid (Chapada Gaúcha) municipality in the state of Minas Gerais, southeast Brazil. A technical coefficient generator (TechnoGIN) was used to assess current (maize, beans, soybean and grass seed) and alternative (castor bean and sunflower) crops grown with current and alternative production techniques. The quantification of the inputs and outputs was based on farm surveys, expert knowledge, literature and field experiments. Although castor bean and sunflower are economically competitive with maize in Montes Claros, feed and labour requirements may hinder farmers' adoption. In Chapada Gaúcha, the double cropping system soybean/sunflower presented small economic gains when compared to soybean; it also increased nitrogen losses and biocide residues. We conclude that the scope for alternative and sustainable biodiesel crops on family farms is limited. Their economic benefits are small or absent, while their introduction can lead to higher environmental impacts and there may be trade-offs with food and feed availability at the farm level. © 2014 Elsevier Ltd.","author":[{"dropping-particle":"","family":"Dal Belo Leite","given":"J G","non-dropping-particle":"","parse-names":false,"suffix":""},{"dropping-particle":"","family":"Justino","given":"F B","non-dropping-particle":"","parse-names":false,"suffix":""},{"dropping-particle":"V","family":"Silva","given":"J","non-dropping-particle":"","parse-names":false,"suffix":""},{"dropping-particle":"","family":"Florin","given":"M J","non-dropping-particle":"","parse-names":false,"suffix":""},{"dropping-particle":"","family":"Ittersum","given":"M K","non-dropping-particle":"van","parse-names":false,"suffix":""}],"container-title":"Agricultural Systems","id":"ITEM-3","issued":{"date-parts":[["2015"]]},"language":"English","note":"Cited By :14\n\nExport Date: 3 March 2021\n\nCODEN: AGSYD\n\nCorrespondence Address: Dal Belo Leite, J.G.; Plant Production Systems, Wageningen University, P.O. Box 430, Netherlands\n\nFunding text 1: We thank WOTRO Science for Global Development (The Netherlands) for providing financial support to the project “Biomass for fuel: opportunity or threat to food and feed security?” We also acknowledge Dr. José Carlos Fialho de Resende and others from EPAMIG for field support and sunflower experimental information. Furthermore, we thank Emater/MG, Banco do Nordeste and the Soybean Cooperative in Chapada Gaúcha.\n\nReferences: Abramovay, R., Magalhães, R., The access of family farmers to biodiesel markets: partnerships between big companies and social movements, , http://pubs.iied.org/pdfs/G03239.pdf, International Institute for Environment and Development (IIED), accessed 04.11.12; \nAllen, R.R., Pereira, L.S., Raes, D., Crop evapotranspiration: guidelines for computing crop water requirements, , http://www.fao.org/docrep/X0490E/X0490E00.htm, FAO Irrigation and Drainage Papers, accessed 23.04.10;\nAnderson, I.C., Buxton, D.R., Karlen, D.L., Cambardella, C., Cropping system effects on nitrogen removal, soil nitrogen, aggregate stability, and subsequent corn grain yield (1997) Agron. J., 89, pp. 881-886;\nAranda-Rickert, A., Morzán, L., Fracchia, S., Seed oil content and fatty acid profiles of five Euphorbiaceae species from arid regions in Argentina with potential as biodiesel source (2011) Seed Sci. Res, 21, pp. 63-68;\nBaldwin, B.S., Cossar, R.D., Castor yield in response to planting date at four locations in the south-central United States (2009) Ind. Crops Prod, 29, pp. 316-319;\nExchange rates, , http://www.bcb.gov.br/?EXCHANGERATES, Banco Central do Brasil, accessed 20.08.12;\nLei N° 11.097, de 13 de Janeiro de 2005. Dispõe sobre a introdução do biodiesel na matriz energética brasileira, , http://www.planalto.gov.br/ccivil_03/_ato2004-2006/2005/Lei/L11097.htm, Presidência da República. Casa Civil - Subchefia para Assuntos Jurídicos, Brasília, accessed 05.01.11;\nCantarella, H., Nitrogênio (2007) Fertilidade do Solo, pp. 375-470. , Sociedade Brasileira de Ciência do Solo, Viçosa, R.F. Novais, V.V.H. Alvarez, N.F. Barros, R.L.F. Fontes, R.B. Cantarutti, J.C.L. Neves (Eds.);\nCantarella, H., Corrêa, L.A., Primavesi, A.C., Freitas, A.R., Silva, A.G., Ammonia losses by volatilization from coastcross pasture fertilised with two nitrogen sources (2001) International Grassland Congress - 19, pp. 190-192. , Brazilian Society of Animal Husbandry, Piracicaba;\nCantarella, H., Mattos, D., Quaggio, J.A., Rigolin, A.T., Fruit yield of Valencia sweet orange fertilised with different N sources and the loss of applied N (2003) Nutr. Cycling Agroecosyst, 67, pp. 215-223;\nCassman, K.G., Ecological intensification of cereal production systems: yield potential, soil quality, and precision agriculture (1999) PNAS, 96, pp. 5952-5959;\nCassman, K.G., Dobermann, A.R., Walters, D.T., Agroecosystems, nitrogen-use efficiency, and nitrogen management (2002) Ambio, 31, pp. 132-140;\nCésar, A.S., Batalha, M.O., Biodiesel production from castor oil in Brazil: a difficult reality (2010) Energy Policy, 38, pp. 4031-4039;\nCorrêa-Ferreira, B.S., Alexandre, T.M., Pellizzaro, E.C., Prática de manejo de pragas utilizadas na soja e seu impacto sobre a cultura. (2010) Circular Técnica, 78, p. 16. , Embrapa, Londrina;\nCosta, L.C., Justino, F.B., Oliveira, L.J.C., Sediyama, G.C., Ferreira, W.P.M., Lemos, C.F., Potential forcing of CO2, technology and climate changes in maize (Zea may) and beans (Phaseolus vulgaris) yield in the southern part of Brazil (2009) Environ. Res. Lett, 4, pp. 14013-14023;\nGirassol, , http://www.conab.gov.br/, Companhia Nacional de Abastecimento, Brasília, accessed 15.07.12;\nInsumos Agropecuários, , http://consultaweb.conab.gov.br, Companhia Nacional de Abastecimento, Brasília, accessed 02.02.13;\nde Castro, A.M.G., Lima, S.M.V., Cenários sobre o biodiesel no Brasil. Complexo agroindustrial do biodiesel no Brasil - competitividade das cadeias produtivas de matérias-primas, , http://www.redebiodiesel.com.br/arquivos/download/71.pdf, Embrapa Agroenergia, Brasília, accessed 04.12.12;\nde Ridder, N., Breman, H., van Keulen, H., Stomph, T.J., Revisiting a &amp;quot;cure against land hunger&amp;quot;: soil fertility management and farming systems dynamics in the West African Sahel (2004) Agric. Syst, 80, pp. 109-131;\nde Wit, C.T., Van Keulen, H., Seligman, N.G., Spharim, I., Application of interactive multiple goal programming techniques for analysis and planning of regional agricultural development (1980) Agric. Syst, 26, pp. 211-230;\nDhyani, S.K., Kumar, R.V., Ahlawat, S.P., Jatropha curcas: a potential biodiesel crop and its current R&amp;amp;D status (2011) Indian J. Agric. Sci, 81, pp. 295-308;\nDixon, J., Gulliver, J., Gibbon, D., Farming systems and poverty: improving farmers' livelihoods in a changing world, , ftp://ftp.fao.org/docrep/fao/004/ac349e/ac349e00.pdf, Food and Agriculture Organization and World Bank, Rome, Italy and Washington DC, USA, accessed 06.12;\nSimpósio discute gergelim para alimentação e biodiesel, , http://www.cnpae.embrapa.br/imprensa/, Embrapa Agroenergia, Brasília, accessed 14.12.12;\nErnani, P.R., Almeida, J.A., Santos, F.C., Potássio (2007) Fertilidade do Solo, pp. 551-594. , Sociedade Brasileira de Ciência do Solo, Viçosa, R.F. Novais, V.V.H. Alvarez, N.F. Barros, R.L.F. Fontes, R.B. Cantarutti, J.C.L. Neves (Eds.);\n(2008) Bioenergy, Food Security and Sustainability - Towards and International Framework, , http://www.fao.org/fileadmin/user_upload/foodclimate/HLCdocs/HLC08-inf-3-E.pdf, Food and Agriculture Organization of the United Nations, Rome, accessed 07.11.11;\nFinco, M.V.A., Doppler, W., Biodiesel production and regional development in the Brazilian Savannah: an application of positive mathematical programming (2011) Informe Gepec, 15, pp. 25-42;\nFlorin, M.J., van Ittersum, M.K., van de Ven, G.W.J., Selecting the sharpest tools to explore the food-feed-fuel debate: sustainability assessment of family farmers producing food, feed and fuel in Brazil (2012) Ecol. Indic, 20, pp. 108-120;\nFontes, M.P.F., Fontes, R.M.O., Carneiro, P.C.A.S., Land suitability, water balance and agricultural technology as a Geographic-Technological Index to support regional planning and economic studies (2009) Land use policy, 26, pp. 589-598;\nGarcez, C.A.G., Vianna, J.O.N.D.S., Brazilian Biodiesel Policy: social and environmental considerations of sustainability (2009) Energy, 34, pp. 645-654;\nGazzoni, D.L., (1994) Manejo de Pragas da Soja: Uma Abordagem Histórica, p. 72. , Embrapa-CNPSo, Brasília;\nHall, J., Matos, S., Silvestre, B., Martin, M., Managing technological and social uncertainties of innovation: the evolution of Brazilian energy and agriculture (2011) Technol. Forecast. Soc. Change, 78, pp. 1147-1157;\nHazell, P., Pachauri, R.K., Bioenergy and Agriculture: Promises and Challenges (2006) Focus 14, , International Food Policy Research Institute, Washington, DC;\nHengsdijk, H., van Ittersum, M.K., A goal-oriented approach to identify and engineer land use systems (2002) Agric. Syst, 71, pp. 231-247;\nHengsdijk, H., Bouman, B.A.M., Nieuwenhuyse, A., Jansen, H.G.P., Quantification of land use systems using technical coefficient generators: a case study for the Northern Atlantic zone of Costa Rica (1999) Agric. Syst, 61, pp. 109-121;\nHoffmann-Campo, C.B., Moscardi, F., Corrêa-Ferreira, B.S., Oliveira, L.J., Sosa-Gómez, D.R., Panizzi, A.R., (2000) Pragas da Soja no Brasil e seu Manejo Integrado, p. 67. , Embrapa, Londrina;\n(2006) Censo Agropecuário, pp. 1-267. , Instituto Brasileiro de Geografia e Estatística, Rio de Janeiro;\nProdução Agrícola Municipal - SIDRA, , http://www.sidra.ibge.gov.br/, Instituto Brasileiro de Geografia e Estatística, accessed 04.06.12;\nThe IBSNAT Decade - ten years of endeavour at the frontier of science and technology (1993) International Benchmark Sites Network for Agrotechnology Transfer, p. 188. , University of Hawaii, Honolulu;\nBanco de Dados, , http://www.iea.sp.gov.br/, Instituto de Economia Agrícola, accessed 28.07.12;\nBanco de dados meteorológicos para ensino e pesquisa (BDMEP), , http://www.inmet.gov.br/portal/index.php?r=bdmep/bdmep, Instituto Nacional de Meteorologia, accessed 13.07.12;\nJanssen, B.H., Guiking, F.C.T., van der Eijk, D., Smaling, E.M.A., Wolf, J., van Reuler, H., A system for quantitative evaluation of the fertility of tropical soils (QUEFTS) (1990) Geoderma, 46, pp. 299-318;\nJones, J.W., Hoogenboom, G., Porter, C.H., Boote, K.J., Batchelor, W.D., Hunt, L.A., The DSSAT cropping system model (2003) Eur. J. Agron, 18, pp. 235-265;\nJunqueira, N.T.V., Prospecção, domesticação e seleção de nova oleaginosas para produção de biodiesel, , http://www.redebiodiesel.com.br/, Embrapa Cerrados, accessed 04.12.12;\nKang, C., Quantifying agro-ecological relationships to assess the impacts of policies on agricultural sustainability in Taihu lake basin (2009) Plant Production Systems, , China. Thesis (PhD). Wageningen University, Wageningen;\nKogan, M., Integrated pest management: historical perspectives and contemporary developments (1998) Annu. Rev. Entomol, 43, pp. 243-270;\nKogan, M., Turnipseed, S.G., Shepard, M., De Oliveira, E.B., Borgo, A., Pilot insect pest management program for soybean in southern Brazil (1977) J. Econ. Entomol, 70, pp. 659-663;\nKrupinsky, J.M., Bailey, K.L., McMullen, M.P., Gossen, B.D., Turkington, T.K., Managing plant disease risk in diversified cropping systems (2002) Agron. J., 94, pp. 198-209;\nLara Cabezas, W.A.R., Rodrigues, C.R., Oliveira, S.M.D., Borges, E.N., Utilização de uréia em misturas com sulfato de amÔnio ou com gesso na cultura de milho (2008) Rev. Bras. Cienc. Solo, 32, pp. 2343-2353;\nLara Cabezass, W.A.R., Souza, M.A., Volatilização de amÔniania, lixiviação de nitrogênio e produtividade de milho em resposta à aplicação de misturas de uréia com sulfato de amÔnio ou com gesso agrícola. (2008) Rev. Bras. Cienc. Solo, 32, pp. 2331-2342;\nLeite, J.G.D.B., Bijman, J., Giller, K., Slingerland, M., Biodiesel policy for family farms in Brazil: one-size-fits-all? (2013) Environ. Sci. Policy, 27, pp. 195-205;\nLeite, J.G.D.B., Bijman, J., van Ittersum, M.K., Slingerland, M., Producer organizations, family farms and market connection: lessons for emerging biodiesel supply chains in Brazil (2014) Outlook Agric, 43, pp. 101-108;\nLeite, J.G.D.B., Silva, J.V., van Ittersum, M.K., Integrated assessment of biodiesel policies aimed at family farms in Brazil (2014) Agric. Syst, 131, pp. 64-76;\nZoneamento agrícola de risco climático, , http://www.agricultura.gov.br/politica-agricola/zoneamento-agricola, Ministério da Agricultura Pecuária e Abastecimento, accessed 08.03.12;\n(2011) Programa Nacional de Produção e Uso de Biodiesel - PNPB, p. 48. , Ministério do Desenvolvimento Agrário, Brasília;\n(2012) Boletim Mensal dos Combustíveis Renováveis - n. 48, p. 23. , Ministério de Minas e Energia, Brasília;\n(2012) Boletim Mensal dos Combustíveis Renováveis - no. 58, p. 28. , Ministério de Minas de Energia, Brasília/DF;\nMoscardi, F., Sosa-Gómez, D.R., Corso, I.C., Invertebrados associados ao girassol e seu manejo (2005) Girassol no Brasil, p. 641. , Embrapa, Londrina, R.M.V.B.C. Leite, A.M. Brighenti, C. Castro (Eds.);\nMoscardi, F., Corrêa-Ferreira, B.S., Sosa-Gómez, D.R., Corso, I.C., Bueno, A.F., Hoffmann-Campo, C.B., Diagnóstico da situação atual do manejo de pragas na cultura da soja no Brasil (2009) Congresso Brasileiro de soja, 5. , Londrina;\nBiocombustíveis. Cadernos NAE (2005), p. 235. , Núcleo de Assuntos Estratégicos da Presidência da República, Brasília; Nijhof, K., (1987) The Concentration of Macro-Elements in Economic Products and Residues of (Sub)Tropical Field Crops, , Centre for World Food Studies, Amsterdam-Wageningen;\nNovais, R.F., Smyth, T.J., Nunes, F.N., Fósforo (2007) Fertilidade do Solo, pp. 471-550. , Sociedade Brasileira de Ciência do Solo, Viçosa, R.F. Novais, V.V.H. Alvarez, N.F. Barros, R.L.F. Fontes, R.B. Cantarutti, J.C.L. Neves (Eds.);\nOliveira, E.B., Gazzoni, D.L., Corso, I.C., Villas-BÔas, G.L., Hoffmann-Campo, C.B., (1988) Pesquisa com Inseticidas em Soja: Sumário dos Resultados Alcançados Entre 1975 a 1987, p. 260. , Embrapa-CNPSo, Londrina;\nOliveira, E.C., Costa, J.M.N., Paula, T.J., Ferreira, W.P.M., Justino, F.B., Neves, L.O., The performance of the CROPGRO model for beans (Phaseolus vulgaris L.) yield simulation (2012) Acta Sci, 34, pp. 22-30;\nPadula, A.D., Santos, M.S., Ferreira, L., Borenstein, D., The emergence of the biodiesel industry in Brazil: current figures and future prospects (2012) Energy Policy, 44, pp. 395-405;\nPanizzi, A.R., Importância histórica e perspectivas do manejo integrado de pragas (MIP) em soja. (2006) Congresso Brasileiro de soja, 4, pp. 121-126. , Londrina;\nPatil, S., Reidsma, P., Shah, P., Purushothaman, S., Wolf, J., Comparing conventional and organic agriculture in Karnataka, India: where and when can organic farming be sustainable? (2014) Land use policy, 37, pp. 40-51;\nPereira, A.M.A.R., Pinho, R.G., Paglis, C.M., Pereira, J.L.A.R., Altoé, T.F., Eficiência do modelo Ceres-Maize na simulação do desempenho de híbridos de milho (2010) Rev. Ceres, 47, pp. 486-493;\nPonsioen, T.C., Laborte, A.G., Rötter, R.P., Hengsdijk, H., Wolf, J., TechnoGIN-3: a technical coefficient generator for cropping systems in East and Southeast Asia (2003) Quantitative Approaches to Systems Analysis, 26, pp. 1-71. , Wageningen, The Netherlands;\nPonsioen, T.C., Hengsdijk, H., Wolf, J., van Ittersum, M.K., Rötter, R.P., Son, T.T., TechnoGIN, a tool for exploring and evaluating resource use efficiency of cropping systems in East and Southeast Asia (2006) Agric. Syst, 87, pp. 80-100;\nPower, A.G., Ecosystem services and agriculture: tradeoffs and synergies (2010) Philos. Trans. R. Soc. Lond. B. Biol Sci, 365, pp. 2959-2971;\n(1986) Levantamento de Recurso Naturais, , 1-34, Instituto Brasileiro de Geografia e Estatística (IBGE), Rio de Janeiro;\nRaun, W.R., Johnson, G.V., Improving nitrogen use efficiency for cereal production (1999) Agron. J., 91, pp. 357-363;\nReidsma, P., Feng, S., van Loon, M., Luo, X., Kang, C., Lubbers, M., Integrated assessment of agricultural land use policies on nutrient pollution and sustainable development in Taihu Basin, China (2012) Environ. Sci. Policy, 18, pp. 66-76;\nRibeiro, J.L., Carvalho, C.G.P., Girassol (Helianthus annuus L.) na região Meio-Norte do Brasil para produção de biodiesel. (2006) Comunicado Técnico, 188, p. 4. , Embrapa, Teresina;\nRodrigues, R.A., Pedrini, J.E., Fraisse, C.W., Fernandes, J.M.C., Justino, F.B., Heinemann, A.B., Utilization of the cropgro-soybean model to estimate yield loss caused by Asian rust in cultivars with different cycle (2013) Bragantia, 71, pp. 308-317;\nRolim, G.S., Sentelhas, P.C., Ungaro, M.R.G., Análise de risco climático para a cultura do girassol, em algumas localidades de São Paulo e do Paraná, usando os modelos DSSAT OILCROP-SUN e FAO (2001) Rev. Bras. Agrometeorologia, 9, pp. 91-102;\nScragg, A.H., Energy and fossil fuel use (2009) Biofuels: Production, Application and Development, pp. 1-16. , CABI, Wallingford, UK, A.H. Scragg (Ed.);\nSeverino, L.S., O que sabemos sobre a torta da mamona (2005) Documentos, 134. , Embrapa Algodão, Campina Grande;\nPerfil do agronegócio Mineiro, , http://www.agricultura.mg.gov.br, Secretaria de Estado de Agricultura, Pecuária e Abastecimento de Minas Gerais, Belo Horizonte, accessed 17.06.11;\nShaviv, A., Controlled release fertilisers (2005) IFA International Workshop on Enhanced-Efficiency Fertilisers, p. 15. , Frankfurt, Germany, 28-30 June;\nSilva Jr, A.G., Perez, R., Teixeira, M.M., Campos, M.B.N., Mamona (2012) Desenvolvimento da Cadeia de Insumos do APL Biodiesel e óleos Vegetais no Norte de Minas, pp. 49-66. , SECTES/MG, Viçosa, A.G. Silva, Jr., R. Perez (Eds.);\nSousa, T.C.R., de Aguiar, J.L.P., LÔbo, C., Caracterização das cadeias produtivas da macaúba, pequi, tucumã e pinhão manso, , http://www.redebiodiesel.com.br, Embrapa Cerrados, accessed 04.12.12;\nTittonell, P., Giller, K.E., When yield gaps are poverty traps: the paradigm of ecological intensification in African smallholder agriculture (2013) Field Crops Res, 143, pp. 76-90;\nTomes, D., Lakshmanan, P., Songstad, D., (2010) Biofuels: Global Impact on Renewable Energy, Production Agriculture, and Technological Advancements, , Springer, New York;\nO biodiesel e sua contribuição para o desenvolvimento Brasileiro, , http://www.alice.cnptia.embrapa.br/bitstream/doc/872451/1/FL0293.pdf, União Brasileira do Biodiesel, Fundação Getúlio Vargas, accessed 25.07.12;\nMapa de solos do Estado de Minas Gerais (2010), p. 49. , Universidade Federal de Viçosa; Fundação Centro Tecnológico de Minas Gerais; Universidade Federal de Lavras; Fundação Estadual do Meio Ambiente, Belo Horizonte; (2007) Sustainable Bioenergy: A Framework for Decision Makers, p. 64. , United Nations;\nvan Ittersum, M.K., Rabbinge, R., Concepts in production ecology for analysis and quantification of agricultural input-output combinations (1997) Field Crops Res, 52, pp. 197-208;\nvan Ittersum, M.K., Cassman, K.G., Grassini, P., Wolf, J., Tittonell, P., Hochman, Z., Yield gap analysis with local to global relevance - a review (2013) Field Crops Res, 143, pp. 4-17;\nVasisht, A.K., Sujith Kumar, S., Aggarwal, P.K., Kalra, N., Pathk, H., Joshi, H.C., An integrated evaluation of trade-offs between environmental risk factors and food production using interactive multiple goal linear programming - a case study of Haryana (2007) Indian J. Agric. Econ, 62, pp. 511-523;\nVitti, A.C., Adubação nitrogenada da cana-de-açúcar (soqueira) colhida mecanicamente sem a queima prévia: manejo e efeito na produtividade (2003) Centro de Energia Nuclear na Agricultura, p. 114. , Esalq, Piracicaba;\nVolk, M., Ewert, F., Scaling methods in integrated assessment of agricultural systems - state-of-the-art and future directions (2011) Agric. Ecosyst. Environ, 142, pp. 1-5;\nWatanabe, K., Zylbersztajn, D., Building supply systems from scratch: the case of the castor bean for biodiesel chain in Minas Gerais, Brazil (2012) Int. J. Food Syst. Dyn, 3, pp. 185-198;\nWolf, J., Ponsioen, T.C., Hengsdijk, H., TechnoGIN-3: a generic tool for analysing cropping systems (2004) Application of prototype for West African conditions within the VINVAL project, 3, pp. 1-23. , Wageningen, The Netherlands;\nZheljazkov, V.D., Vick, B.A., Ebelhar, M.W., Buehring, N., Baldwin, B.S., Astatkie, T., Yield, oil content, and composition of sunflower grown at multiple locations in Mississippi (2008) Agron. J., 100, pp. 635-642","page":"22-34","publisher":"Elsevier Ltd","publisher-place":"Plant Production Systems, Wageningen University, P.O. Box 430, Wageningen, AK, 6700, Netherlands","title":"Socioeconomic and environmental assessment of biodiesel crops on family farming systems in Brazil","type":"article-journal","volume":"133"},"uris":["http://www.mendeley.com/documents/?uuid=091ce78e-4b97-4ea6-a127-6d5720e04975"]}],"mendeley":{"formattedCitation":"(Pai, 2000; J G Dal Belo Leite &lt;i&gt;et al.&lt;/i&gt;, 2015; Chen &lt;i&gt;et al.&lt;/i&gt;, 2019)","plainTextFormattedCitation":"(Pai, 2000; J G Dal Belo Leite et al., 2015; Chen et al., 2019)","previouslyFormattedCitation":"(Pai, 2000; Dal Belo Leite &lt;i&gt;et al.&lt;/i&gt;, 2015; Chen &lt;i&gt;et al.&lt;/i&gt;, 2019)"},"properties":{"noteIndex":0},"schema":"https://github.com/citation-style-language/schema/raw/master/csl-citation.json"}</w:instrText>
      </w:r>
      <w:r w:rsidRPr="0037337F">
        <w:rPr>
          <w:rFonts w:ascii="Times New Roman" w:hAnsi="Times New Roman" w:cs="Times New Roman"/>
          <w:sz w:val="24"/>
          <w:szCs w:val="24"/>
        </w:rPr>
        <w:fldChar w:fldCharType="separate"/>
      </w:r>
      <w:r w:rsidR="008A7101" w:rsidRPr="008A7101">
        <w:rPr>
          <w:rFonts w:ascii="Times New Roman" w:hAnsi="Times New Roman" w:cs="Times New Roman"/>
          <w:noProof/>
          <w:sz w:val="24"/>
          <w:szCs w:val="24"/>
        </w:rPr>
        <w:t xml:space="preserve">(Pai, 2000; J G Dal Belo Leite </w:t>
      </w:r>
      <w:r w:rsidR="008A7101" w:rsidRPr="008A7101">
        <w:rPr>
          <w:rFonts w:ascii="Times New Roman" w:hAnsi="Times New Roman" w:cs="Times New Roman"/>
          <w:i/>
          <w:noProof/>
          <w:sz w:val="24"/>
          <w:szCs w:val="24"/>
        </w:rPr>
        <w:t>et al.</w:t>
      </w:r>
      <w:r w:rsidR="008A7101" w:rsidRPr="008A7101">
        <w:rPr>
          <w:rFonts w:ascii="Times New Roman" w:hAnsi="Times New Roman" w:cs="Times New Roman"/>
          <w:noProof/>
          <w:sz w:val="24"/>
          <w:szCs w:val="24"/>
        </w:rPr>
        <w:t xml:space="preserve">, 2015; Chen </w:t>
      </w:r>
      <w:r w:rsidR="008A7101" w:rsidRPr="008A7101">
        <w:rPr>
          <w:rFonts w:ascii="Times New Roman" w:hAnsi="Times New Roman" w:cs="Times New Roman"/>
          <w:i/>
          <w:noProof/>
          <w:sz w:val="24"/>
          <w:szCs w:val="24"/>
        </w:rPr>
        <w:t>et al.</w:t>
      </w:r>
      <w:r w:rsidR="008A7101" w:rsidRPr="008A7101">
        <w:rPr>
          <w:rFonts w:ascii="Times New Roman" w:hAnsi="Times New Roman" w:cs="Times New Roman"/>
          <w:noProof/>
          <w:sz w:val="24"/>
          <w:szCs w:val="24"/>
        </w:rPr>
        <w:t>, 2019)</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According to Carley (2016), Hiller (1975), and Pai (2000), the theoretical approaches used to analyze these movements in previous studies are social, political, and economic theories. Therefore, the research represents findings that describe a particular field of science used as a perspective for the study.</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{"citationItems":[{"id":"ITEM-1","itemData":{"DOI":"10.1080/00380237.2015.1065700","ISSN":"00380237 (ISSN)","abstract":"This article introduces the concept “ideological contention” into the study of social movements and demonstrates the concept through an analysis of the relationship between race and mobilization in modern national contexts. The analysis links the emergence of scientific racism to the period of large nation state consolidation and the development of liberal political ideologies across Western nations. The paper demonstrates that movement struggles within the context of a national ideological framework impact the organization, process of ideological elaboration, and strategic choices a movement makes. I explore how ideology organizes, coordinates, and mobilizes movement members in political processes through a study of Sardinian worker, peasant, and communist struggles in the context of a modernized and industrialized Italy (1917–1920). I argue that reevaluating the theoretical and empirical relationship between ideology and the frame perspective could strengthen analyses of social movement struggles. © North Central Sociological Association.","author":[{"dropping-particle":"","family":"Carley","given":"R","non-dropping-particle":"","parse-names":false,"suffix":""}],"container-title":"Sociological Focus","id":"ITEM-1","issue":"1","issued":{"date-parts":[["2016"]]},"language":"English","note":"Export Date: 3 March 2021\n\nCorrespondence Address: Carley, R.; Department of Sociology and Anthropology, 270 Millett Hall, United States; email: robert.carley@wright.edu\n\nReferences: Augelli, E., Murphy, C., (1988) America's Quest for Supremacy and the Third World: A Gramscian Analysis, , London: Pinter; \nBenford, R.D., Snow, D.A., Framing Processes and Social Movements: An Overview and Assessment (2000) Annual Review of Sociology, 26, pp. 611-639;\nBrennan, T., Antonio Gramsci and Postcolonial Theory: 'Southernism.' (2001) Diaspora, 10, pp. 143-187;\nCarley, R., Agile Materialisms: Antonio Gramsci, Stuart Hall, Racialization, and Modernity (2013) Journal of Historical Sociology, 26, pp. 413-441;\nCarragee, K., Roefs, W., The Neglect of Power in Recent Framing Research (2004) Journal of Communication, 54, pp. 214-233;\nCarroll, W.K., Ratner, R.S., Master Frames and Counter-Hegemony: Political Sensibilities in Contemporary Social Movements (1996) The Canadian Review of Sociology and Anthropology, 33, pp. 407-435;\nColes, R.L., Building the Clinton Legacy through Frame Alignment (2001) Cultural Studies/Critical Methodologies, 1, pp. 459-487;\nDahbour, O., Ishay, M.R., (1995) The Nationalism Reader, , Atlantic Highlands, NJ: Humanities Press;\nDiani, M., The Relational Deficit of Ideologically Structured Action (2000) Mobilization, 5, pp. 17-24;\nEckstein, H., (1992) Regarding Politics: Essays on Political Theory, Stability, and Change, , Berkeley: University of California Press;\nEntman, R., Cascading Activation: Contesting the White House's Frame after 9/11 (2003) Political Communication, 20, pp. 415-432;\nFoot, J.M., White Bolsheviks? The Catholic Left and the Socialists in Italy, 1919-1920 (1997) The Historical Journal, 40, pp. 415-433;\nFreeman, J., The Tyranny of Structurelessness (1972) Berkeley Journal of Sociology, 17, pp. 151-165;\nGhosh, P., Gramscian Hegemony: An Absolutely Historicist Approach (2001) History of European Ideas, 27, pp. 1-43;\nGould, S.J., American Polygeny and Craniometry before Darwin: Blacks and Indians as Separate, Inferior Species (1993) The &amp;quot;Racial&amp;quot; Economy of Science, pp. 84-115. , edited by Sandra Harding. Bloomington: Indiana University Press;\nGramsci, A., (1971) Selections from the Prison Notebooks, , edited by David Forgacs and Geoffrey Nowell-Smith. London: Lawrence and Wishart;\nGramsci, A., (1977) Political Writings: 1910-1920, , London: Lawrence and Wishart;\nGramsci, A., (1995) The Southern Question, , [1926], Trans. Pacquale Verdicchio. West Lafayette: Bordighera, Inc;\nGreen, M., Gramsci Cannot Speak: Presentations and Interpretations of Gramsci's Concept of the Subaltern (2002) Rethinking Marxism, 14, pp. 1-24;\nGreen, M.E., Rethinking the Subaltern and the Question of Censorship in Gramsci's Prison Notebooks (2011) Postcolonial Studies, 14, pp. 387-404;\nGreen, M.E., Race, Class, and Religion: Gramsci's Conception of Subalternity (2013) The Political Philosophies of Antonio Gramsci and B.R. Ambedkar: Itineraries of Dalits and Subalterns, pp. 116-128. , edited by Cosimo Zene. New York: Routledge;\nGreen, M., Ives, P., Subalternity and Language: Overcoming the Fragmentation of Common Sense (2009) Historical Materialism, 17, pp. 3-30;\nHaas, F., German Science and Black Racism-Roots of the Nazi Holocaust (2008) The FASEB Journal, 22, pp. 332-337;\nHall, S., Gramsci's Relevance for the Study of Race and Ethnicity (1986) Journal of Communication Inquiry, 10, pp. 5-27;\nHeatherington, T., (2010) Wild Sardinia: Indigeneity and the Global Dream-times of Environmentalism, , Seattle: University of Washington Press;\nHosseini, S., Hamed, A., (2010) Alternative Globalizations: An Integrative Approach to Studying Dissident Knowledge in the Global Justice Movement, , New York: Routledge;\nJohnston, H., A Methodology for Frame Analysis: From Discourse to Cognitive Schema (1995) Social Movements and Culture, pp. 217-246. , edited by Hank Johnston and Bert Klandermans. Minneapolis: University of Minnesota Press;\nKlandermans, B., Must We Redefine Social Movements as Ideologically Structured Action? (2000) Mobilization, 5, pp. 25-30;\nLombroso, C., Criminal Man (1972) The Heritage of Modern Criminology, pp. 64-71. , [1876], edited by Sawyer F. Sylvester, Jr. Cambridge, MA: Schenkman Publishing;\nMannheim, K., (1997) Ideology and Utopia: An Introduction to the Sociology of Knowledge, , New York: Routledge;\nMcCarthy, J.D., Zald, M.N., Resource Mobilization and Social Movements: A Partial Theory (1977) American Journal of Sociology, 82, pp. 1212-1241;\nMiller, F.D., The End of SDS and the Emergence ofWeatherman: Demise Through Success (1999) Waves of Protest Social Movements since the Sixties, pp. 303-324. , edited by Jo Freeman and Victoria Johnson. New York: Longman;\nMills, A.J., Durepos, G., Wiebe, E., (2010) Encyclopedia of Case Study Research: L-Z, , Thousand Oaks, CA: Sage;\nMoe, N., (2002) The View from Vesuvius: Italian Culture and the Southern Question, , Berkeley: University of California Press;\nMooney, P., (1995) Farmers' and Farmworker's Movements: Social Protest in American Agriculture, , New York: Twayne Publishers;\nMooney, P.H., Hunt, S.A., A Repertoire of Interpretations: Master Frames Ideological Continuity in U.S. Agrarian Mobilization (1994) The Sociological Quarterly, 37, pp. 177-197;\nNiceforo, A., (1897) La Delinquenza in Sardegna, , Palermo: Remo Sandron Editore;\nNoonan, R.K., Women Against the State: Political Opportunities and Collective Action Frames in Chile's Transition to Democracy (1997) Social Movements: Readings on their Emergence, Mobilization, and Dynamics, pp. 252-267. , edited by Doug McAdam and David A. Snow. Los Angeles: Roxbury;\nOliver, P., Johnston, H., Reply to Snow and Benford: Breaking the Frame (2000) Mobilization, 5, pp. 61-64;\nOliver, P., Johnston, H., What a Good Idea! Frames and Ideologies in Social Movement Research (2000) Mobilization, 5, pp. 37-54;\nOmi, M., HowardWinant, (1994) Racial Formation in the United States: From the 1960s to the 1990s, , NewYork: Routledge;\nPick, D., (1989) Faces of Degeneration: A European Disorder, , Cambridge, UK: Cambridge University Press;\nPlatt, G.M., Williams, R.H., Ideological Language and Social Movement Mobilization: A Sociolinguistic Analysis of Segregationists' Ideologies (2002) Sociological Theory, 20, pp. 328-359;\nPortelli, A., (2003) The Order Has Been Carried Out: History, Memory, and Meaning of a Nazi Massacre in Rome, , New York: Palgrave;\nRaboy, M., (1984) Movements and Messages: Media and Radical Politics in Quebec, , Toronto: Between the Lines;\nReese, S.D., The Framing Project: A Bridging Model for Media Research Revisited (2007) Journal of Communication, 57, pp. 148-154;\nReinharz, S., (1992) Feminist Methods in Social Research, , Oxford: Oxford University Press;\nReiter, B., Mitchell, G.L., The New Politics of Race in Brazil (2010) Brazil's New Racial Politics, pp. 1-33. , edited by Bernd Reiter and Gladys L. Mitchell. London: Lynne Rienner Publishers;\nSassoon, A.S., (1987) Gramsci's Politics, , Minneapolis: University of Minnesota Press;\nSnow, D.A., Framing Processes, Ideology, and Discursive Fields (2004) The Blackwell Companion to Social Movements, pp. 380-412. , edited by David A. Snow, Sarah A. Soule, and Hanspeter Kriesi. Oxford: Blackwell Publishers;\nSnow, D.A., Elaborating the Discursive Contexts of Framing: Discursive Fields and Spaces (2008) Studies in Symbolic Interaction, 30, pp. 3-28;\nSnow, D., Benford, R., Ideology, Frame Resonance, and Participant Mobilization (1988) International Social Movement Research, 1, pp. 197-217;\nSnow, D.A., Benford, R.D., Master Frames and Cycles of Protest (1992) Frontiers in Social Movement Theory, pp. 133-155. , edited by Aldon D. Morris and Carol McClurg Mueller. New Haven, NJ: Yale University Press;\nSnow, D., Benford, R., Clarifying the Relationship between Framing and Ideology in the Study of Social Movements: A Comment on Oliver and Johnston (2000) Mobilization, 5, pp. 37-54;\nSnow, D., Byrd, S.C., Ideology Framing Processes, and Islamic Terrorist Movements (2007) Mobilization, 12, pp. 119-136;\nSnow, D., Corrigall-Brown, C., Falling on Deaf Ears: Confronting the Prospect of Nonresonant Frames (2005) Rhyming Hope and History: Activists, Academics, and Social Movement Scholarship, pp. 222-238. , edited by David Croteau, William Hoynes, and Charlotte Ryan. Minneapolis: University of Minnesota Press;\nSnow, D.A., Burke Rochford, E., Jr., Worden, S.K., Benford, R.D., Frame Alignment Processes, Micromobilization, and Movement Participation (1986) American Sociological Review, 51, pp. 464-481;\nStauder, J., The 'Relevance' of Anthropology to Colonialism and Imperialism (1993) The &amp;quot;Racial&amp;quot; Economy of Science, pp. 408-427. , edited by Sandra Harding. Bloomington: Indiana University Press;\nTombari, S.L., Click If You Care: Frame Alignment Processes in Anti-Poverty Movement Websites (2010) Canadian Journal of Applied Research, 1, pp. 48-67;\nUrbinati, N., The Souths of Antonio Gramsci and the Concept of Hegemony (1998) Italy's &amp;quot;Southern Question: &amp;quot; Orientalism in One Country, pp. 135-156. , edited by Jane Schneider. Oxford: Berg;\nVan den Brink, M., Kuipers, K., Lagendijk, A., Framing Regionalisation: How a Dutch Environmental Organization Puts the Concept of Sustainability into Practice through Frame Alignment (2005) Sustainable Regions: Making Regions Work, pp. 100-101. , edited by Sally Hardy, Lisa Bibby-Larsen, Frankie Freeland. Seaford: Regional Studies Association;\nVerdicchio, P., Introduction (1995) The Southern Question, pp. 7-27. , Translated by Pasquale Verdicchio. West Lafayette: Bordighera Inc;\nVerschuren, P., Doorewaard, H., (2005) Designing a Research Project, , Utrecht: LEMMA;\nWestby, D.L., Strategic Imperative, Ideology, and Frame (2002) Mobilization, 7, pp. 287-304;\nWilliams, R.H., Ideology, Culture, and the Dynamics of Collective Action (1999) Quarterly Journal of Ideology, 22, pp. 31-41;\nWilliams, R.H., Blackburn, J.N., Many Are Called But Few Obey: Ideological Commitment and Activism in Operation Rescue (1996) Disruptive Religions: The Forces of Faith in Social Movement Activism, pp. 167-185. , edited by Christian Smith. London: Routledge;\nWilson, S., Exploration of the Usefulness of Case Study Evaluations (1979) Evaluation Quarterly, 3, pp. 446-459;\nZald, M.N., Ideologically Structured Action (2000) Mobilization, 5, pp. 1-16;\nZald, M.N., New Paradigm? Nah! New Agenda? I Hope So (2000) Mobilization, 5, pp. 31-36;\nZene, C., Self-Consciousness of the Dalits as 'Subalterns': Reflections on Gramsci in South Asia (2011) Rethinking Marxism, 23, pp. 83-99","page":"28-43","publisher":"Taylor and Francis Inc.","publisher-place":"Wright State University, United States","title":"Ideological contention: Antonio gramsci and the connection between race and social movement mobilization in early twentieth-century Italy","type":"article-journal","volume":"49"},"uris":["http://www.mendeley.com/documents/?uuid=0e5340c4-1b20-42b1-a1fc-ef7f238beb79"]},{"id":"ITEM-2","itemData":{"DOI":"10.1177/006996670003400202","ISSN":"00699667 (ISSN)","abstract":"This study, based upon fieldwork in selected villages, examines 'new' forms of dalit assertion in Meerut district. Despite a long history of dalit assertion, the Bahujan Samaj Party (BSP) has not been electorally successful in this region, and has had to compete with the Samajwadi Party. Dalit assertion here has taken different forms, as much socio-cultural as political. Two forms analysed here are the desire for education to compete with upper castes, and attempts to control local politics and resource distribution through the new panchayats. The study shows that the traditional structures of rural dominance based upon land and social status are undergoing change. The traditionally dominant position of the Rajputs, Jats and Gujars has been challenged by the dalits, and to a lesser extent by the 'Most Backward Castes' (MBCs), but identity assertion and desire for upward mobility have also created conflict between the dalits and the MBCs. The article concludes that socio-cultural and political assertion by dalits at the grassroots level is of greater significance and more helpful to the BSP in establishing itself as a party/movement, than are its electoral successes or capture of political power in the state.","author":[{"dropping-particle":"","family":"Pai","given":"S","non-dropping-particle":"","parse-names":false,"suffix":""}],"container-title":"Contributions to Indian Sociology","id":"ITEM-2","issue":"2","issued":{"date-parts":[["2000"]]},"language":"English","note":"Cited By :22\n\nExport Date: 3 March 2021\n\nCorrespondence Address: Pai, S.; Centre for Political Studies, , New Delhi 110 067, India\n\nReferences: (1999) Ambedkar Gram Vikas Yojana Sambandith Mahatvapoorn Shasanadesh, , (Report in Hindi). Government of Uttar Pradesh, Lucknow; \nAwasthi, R.N., The making of the Scheduled Caste community in Uttar Pradesh (1996) A Study of the SCF and Dalit Politics, pp. 1946-1948. , M.Phil thesis, Department of History. University of Delhi;\nBrass, P.R., (1968) State Politics in India, pp. 60-125. , Uttar Pradesh. Weiner M., ed., Princeton. NJ: Princeton University Press;\nBriggs, G.W., (1920) The Chamars, , London;\n(1991) Census of India, , Series I, Union Primary Abstract, SCs &amp;amp; STs. Paper 1 of 1993. New Delhi: Government Press;\nDeep, T., Report on conversion of Harijans to Sikhism in Nagla Hareru and Sothamali villages (1989) Dinaman, pp. 14-27. , (Hindi) 31 July;\nDrèze, J., Gazdar, H., Uttar Pradesh: The burden of inertia. In Jean Dreze and Amartya Sen (1997) Indian Development: Selected Regional Perspectives, pp. 33-128. , (eds.), New Delhi: Oxford University Press;\nDuncan, R.I., Levels, the communication of programmes and sectional strategies in Indian politics, with reference to the BKD and the RPI in UP state and Aligarh district (1979) Ph.D. Thesis, , University of Sussex;\nKhanna, B.S., (1994) Panchayati Raj: Rural Local Self-Government, National Perspectives and State Studies in India, , New Delhi: Deep &amp;amp; Deep;\nMendelsohn, O., The transformation of authority in rural India (1993) Modern Asian Studies, 27 (4), pp. 804-842;\n(1995) Most Backward Classes Commission, , (Sarvadhik Pichada Varg), Lucknow: Government of Uttar Pradesh;\nMukerji, A.B., (1980) The Chamars of UP: A Study in Social Geography, , New Delhi: Inter India Publishers;\nPai, S., (1993) Uttar Pradesh: Agrarian Change, Electoral Politics, , New Delhi: Shipra Publishers;\nPai, S., New political trends in Uttar Pradesh: The BJP and the Lok Sabha Elections (1998) Economic and Political Weekly, 33 (28), pp. 1841-1845. , 1998;\nPai, S., Singh, J., Politicisation of Dalits and Most Backward Castes: Study of social conflict and political preferences in four villages of Meerut district (1997) Economic and Political Weekly, 32 (23), pp. 1356-1361;\nPatnaik, U., Hasan, Z., Aspects of the farmers movement in UP in the context of uneven capitalist development in Indian agriculture (1995) Industry and Agriculture in India Since Independence: Social Change and Political Discourse in India. Structures of Power, Movements and Resistance, 2, pp. 274-300. , Satyamurthy T.V., ed., New Delhi: Oxford University Press;\nSaxena, G.S., (1990) Arya Samaj Movement in India, pp. 1857-1947. , New Delhi: Commonwealth Publishers;\nScott, J.C., (1985) Weapons of the Weak: Everyday Forms of Peasant Resistance, , New Haven: Yale University Press;\nSethi, S., When Dalit women find their voice (1997) The Times of India, , New Delhi. 28 July;\nSingh, J., (1992) Capitalism and Dependence: Agrarian Politics in Western Uttar Pradesh, pp. 1951-1991. , New Delhi: Manohar Publications;\nSingh, J., Ambedkarisation and assertion of Dalit identity: Socio-cultural protest in Meerut district of western Uttar Pradesh (1998) Economic and Political Weekly, 33 (40), pp. 2611-2618;\nSingh, J., In search of quality education: Alternative schooling in Meerut district in western Uttar Pradesh (1998) Reforming Social Education: Issues in Policy Planning and Implementation, pp. 128-151. , Aggarwal Y., Kusum K., Premi, eds., New Delhi: Vikas Publishers;\nSingh, K.S., (1991) Peoples of India: Communities, Segments, Synonyms, Surnames and Titles, 3. , National Series, New Delhi: Oxford University Press;\nSingh, M., (1947) The Depressed Classes and Their Economic Condition, , Bombay: Hind Kitab;\n(1999) The Times of India, , New Delhi, 10 September","page":"189-220","publisher":"Sage Publications India Pvt. Ltd","publisher-place":"Centre for Political Studies, School of Social Sciences, Jawaharlal Nehru University, New Delhi 110 067, India","title":"New social and political movements of details: A study of Meerut district","type":"article-journal","volume":"34"},"uris":["http://www.mendeley.com/documents/?uuid=b41759f0-0219-4738-98bb-3f03307d7c77"]},{"id":"ITEM-3","itemData":{"DOI":"10.2307/1388434","ISSN":"07311214 (ISSN)","author":[{"dropping-particle":"","family":"Hiller","given":"H H","non-dropping-particle":"","parse-names":false,"suffix":""}],"container-title":"Sociological Perspectives","id":"ITEM-3","issue":"3","issued":{"date-parts":[["1975"]]},"language":"English","note":"Cited By :5\n\nExport Date: 3 March 2021\n\nCorrespondence Address: Hiller, H.H.; University of CalgaryCanada\n\nReferences: Ash, R., (1972) Social Movements in America, , Chicago Markham; \nBlumer, H., Collective behavior (1951), pp. 167-222. , LeeA. M.(ed.) Principles of Sociology. New York Barnes &amp;amp; Noble; Brewer, E.D.C., Sect and church in Methodism (1952) Social Forces, 30, pp. 400-408;\nCameron, W.B., (1966) Modern Social Movements: A Sociological Outline, , New York Random House;\nDawson, C., Gettys, W.E., (1951) Introduction to Sociology, , New York Ronald Press;\nDouglas, C.H., (1921) Economic Democracy, , London;\nFestinger, L., Riecken, H., (1956) When Prophecy Fails, , Minneapolis Univ. of Minnesota Press;\nFinlay, J.L., (1972) Social Credit: The English Origins, , Montreal McGill-Queens Univ. Press;\nGlock, C.Y., The role of deprivation in the origin and evolution of religious groups (1964) Robert Lee and Martin Marty, Religion and Social Conflict, , New York Oxford Univ. Press;\nGusfield, J.R., (1963) Symbolic Crusade: Status Politics and the American Temperance Movement, , Chicago Univ. of Illinois Press;\nHiskett, W.R., Franklin, J.R., (1939) Searchlight on Social Credit, , London;\nHopper, R.D., The revolutionary process: A frame of reference for the study of revolutionary movements (1950) Social Forces, 38, pp. 270-279;\nIrving, J.A., (1959) The Social Credit Movement in Alberta, , Toronto Univ. of Toronto Press;\nKing, C.W., (1956) Social Movements in the United States, , New York Random House;\nKlapp, O., (1972) Currents of Unrest: An Introduction to Collective Behavior, , New York Holt, Rinehart &amp;amp; Winston;\nKornhauser, W., (1959) The Politics of Mass Society, , New York Free Press;\nLang, K., Lang, G.E., (1961) Collective Dynamics, , New York Thomas Y. Crowell;\nLipset, S.M., (1968) Agrarian Socialism: The Cooperative Commonwealth Federation in Saskatchewan, , Garden City, N.Y. Doubleday;\nMacpherson, C.B., (1953) Democracy in Alberta: Social Credit and the Party System, , Toronto Univ. of Toronto Press;\nMarx, K., Engels, F., (1947) The German Ideology, , New York International Publishers;\nMauss, A.C., On being strangled by the stars and stripes: The new left, the old left, and the natural history of American radical movements (1971) J. of Social Issues, 27, pp. 183-202;\nMeier, A., Who are the true believers? A tentative typology of the motivations of civil rights activists (1965) (1970), GusfieldJ. R.(ed.) Protest, Reform, and Revolt: A Reader in Social Movements. New York John Wiley; Messinger, S., Organizational transformation: A case study of a declining social movement (1955) Amer. Soc. Rev., 20, pp. 3-10;\nMorrison, D.E., Steeves, A.D., Deprivation, discontent, and social movement participation: Evidence on a contemporary farmers' movement, the NFO (1967) Rural Sociology, 32, pp. 414-434;\nNelson, H., Leadership and change in an evolutionary movement (1971) Social Forces, 49, pp. 353-371;\nPinard, M., (1971) The Rise of a Third Party, , Englewood Cliffs, N.J. Prentice-Hall;\nQuarantelli, E.L., Shibutani, T., Emergent accommodation groups: Beyond current collective behavior typologies (1970) Human Nature and Collective Behavior, , Englewood Cliffs, N.J. Prentice-Hall;\nSmelser, N., (1963) Theory of Collective Behavior, , New York Free Press;\nSwanson, G.E., Shibutani, T., Toward corporate action: A reconstruction of elementary collective processes (1970) Human Nature and Collective Behavior, , Englewood Cliffs, N.J. Prentice-Hall;\nToch, H., (1965) The Social Psychology of Social Movements, , New York Bobbs-Merrill;\nTurner, R.H., Killian, L.M., (1972) Collective Behavior, , Englewood Cliffs, N.J. Prentice-Hall;\nWilson, B.R., (1970) Religious Sects: A Sociological Study, , London Weidenfeld &amp;amp; Nicholson;\nWilson, J., (1973) Introduction to Social Movements, , New York Basic Books;\nZakuta, L., (1964) A Protest Movement Becalmed: A Study of Change in the CCF, , Toronto Univ. of Toronto Press;\nZald, M., (1970) Organizational Change: The Political Economy of the YMCA, , Chicago Univ. of Chicago Press;\nZald, M., Ash, R., Social movement organizations: Growth, decay, and change (1966) Social Forces, 44, pp. 327-340","page":"342-360","publisher-place":"University of Calgary, Canada","title":"A reconceptualization of the dynamics of social movement development","type":"article-journal","volume":"18"},"uris":["http://www.mendeley.com/documents/?uuid=9659d8d0-2858-485b-85e6-bb03c6a5972e"]}],"mendeley":{"formattedCitation":"(Hiller, 1975; Pai, 2000; Carley, 2016)","plainTextFormattedCitation":"(Hiller, 1975; Pai, 2000; Carley, 2016)","previouslyFormattedCitation":"(Hiller, 1975; Pai, 2000; Carley, 2016)"},"properties":{"noteIndex":0},"schema":"https://github.com/citation-style-language/schema/raw/master/csl-citation.json"}</w:instrText>
      </w:r>
      <w:r w:rsidRPr="0037337F">
        <w:rPr>
          <w:rFonts w:ascii="Times New Roman" w:hAnsi="Times New Roman" w:cs="Times New Roman"/>
          <w:sz w:val="24"/>
          <w:szCs w:val="24"/>
        </w:rPr>
        <w:fldChar w:fldCharType="end"/>
      </w:r>
      <w:r w:rsidR="008A7101">
        <w:rPr>
          <w:rFonts w:ascii="Times New Roman" w:hAnsi="Times New Roman" w:cs="Times New Roman"/>
          <w:sz w:val="24"/>
          <w:szCs w:val="24"/>
        </w:rPr>
        <w:t>(Hiller, 1975; Pai, 2000; Carley, 2016)(Hiller, 1975; Pai, 2000; Carley, 2016)(Hiller, 1975; Pai, 2000; Carley, 2016)(Hiller, 1975; Pai, 2000; Carley, 2016)(Hiller, 1975; Pai, 2000; Carley, 2016)</w:t>
      </w:r>
      <w:r w:rsidR="0037337F" w:rsidRPr="0037337F">
        <w:rPr>
          <w:rFonts w:ascii="Times New Roman" w:hAnsi="Times New Roman" w:cs="Times New Roman"/>
          <w:sz w:val="24"/>
          <w:szCs w:val="24"/>
        </w:rPr>
        <w:t>(Hiller, 1975; Pai, 2000; Carley, 2016)</w:t>
      </w:r>
      <w:r w:rsidRPr="0037337F">
        <w:rPr>
          <w:rFonts w:ascii="Times New Roman" w:hAnsi="Times New Roman" w:cs="Times New Roman"/>
          <w:sz w:val="24"/>
          <w:szCs w:val="24"/>
        </w:rPr>
        <w:t xml:space="preserve"> </w:t>
      </w:r>
    </w:p>
    <w:p w14:paraId="3E4C8A35" w14:textId="3C736E0F" w:rsidR="00197B65" w:rsidRDefault="008218B0" w:rsidP="000663AA">
      <w:pPr>
        <w:spacing w:line="240" w:lineRule="auto"/>
        <w:ind w:firstLine="425"/>
        <w:jc w:val="both"/>
        <w:rPr>
          <w:rFonts w:ascii="Times New Roman" w:hAnsi="Times New Roman" w:cs="Times New Roman"/>
          <w:sz w:val="24"/>
          <w:szCs w:val="24"/>
        </w:rPr>
      </w:pPr>
      <w:r w:rsidRPr="0037337F">
        <w:rPr>
          <w:rFonts w:ascii="Times New Roman" w:hAnsi="Times New Roman" w:cs="Times New Roman"/>
          <w:sz w:val="24"/>
          <w:szCs w:val="24"/>
        </w:rPr>
        <w:t xml:space="preserve">This study led to the use of a development and practice oriented frameworks in various agricultural issues, which were not conceptualized in previous studies. Therefore, the conceptualization of this research  needs to be carried out through a literature review approach, which focuses on mapping the formulation of concepts based on the linkage of agricultural social movements. One of the preliminary studies that explained the theory and concept is based on cases of land grabbing by the state and the private sector in India </w:t>
      </w:r>
      <w:r w:rsidRPr="0037337F">
        <w:rPr>
          <w:rFonts w:ascii="Times New Roman" w:hAnsi="Times New Roman" w:cs="Times New Roman"/>
          <w:sz w:val="24"/>
          <w:szCs w:val="24"/>
        </w:rPr>
        <w:fldChar w:fldCharType="begin" w:fldLock="1"/>
      </w:r>
      <w:r w:rsidR="0037337F" w:rsidRPr="0037337F">
        <w:rPr>
          <w:rFonts w:ascii="Times New Roman" w:hAnsi="Times New Roman" w:cs="Times New Roman"/>
          <w:sz w:val="24"/>
          <w:szCs w:val="24"/>
        </w:rPr>
        <w:instrText>ADDIN CSL_CITATION {"citationItems":[{"id":"ITEM-1","itemData":{"DOI":"10.1177/0032329213493751","ISSN":"00323292 (ISSN)","abstract":"While struggles over land dispossession have recently proliferated across the developing world and become particularly significant in India, this paper argues that existing theories of political agency do not capture the specificity of the politics of dispossession. Based on two years of ethnographic research on anti-dispossession movements across rural India, the paper argues that the dispossession of land creates a specific kind of politics, distinct not just from labor politics, but also from various other forms of peasant politics that have been theorized in the social sciences. It illustrates how the process of land dispossession itself shapes the targets, strategy and tactics, organization, social composition, goals, and ideologies of anti-dispossession struggles. It concludes with reflections on why land conflicts are less easily institutionalized than labor conflicts and may therefore constitute a significantly disruptive force in the emerging centers of global capitalism for the foreseeable future. © 2013 SAGE Publications.","author":[{"dropping-particle":"","family":"Levien","given":"M","non-dropping-particle":"","parse-names":false,"suffix":""}],"container-title":"Politics and Society","id":"ITEM-1","issue":"3","issued":{"date-parts":[["2013"]]},"language":"English","note":"Cited By :87\n\nExport Date: 3 March 2021\n\nCorrespondence Address: Levien, M.; Department of Sociology, 533 Mergenthaler Hall, 3400 N. Charles St., Baltimore, MD 21218, United States; email: levien@jhu.edu\n\nFunding details: Ministry of Environment and Forests, MoEF\n\nFunding text 1: I have tried to show that the process of land dispossession creates a distinct form of politics with certain generic features as well as identifiable axes of variation. The use of extra-economic state force to achieve dispossession creates movements that target first and foremost the state, and specifically the particular administrative level where expropriation is enacted. The transparency of the state’s role means that it must justify its expropriations by aligning them with a concept of development whose persuasiveness will crucially affect the emergence and success of anti-dispossession movements. Because the dispossession of land is both more existentially threatening than the expropriation of surpluses, and one-off in nature, it is impossible to fight it successfully through “everyday” means. Resistance tends to be overt and takes the form of spatial struggles at the point of enclosure in which various means—physical, legal, and political—are brought to bear to defend land against co-optation and violent removal. With dispossession, everyday forms of repossession are ways of mitigating defeat, not achieving success. Because dispossession is orthogonal to, and neglected by, existing forms of political and social organization, these overt struggles tend to be organized through local, ad-hoc, autonomous organizations created specifically for the purpose. Combined with the fact that dispossession is experienced in many different forms, this creates a proliferation of localized “single-issue” movements. In India, these movements have, for years, been forming alliances with each other (NAPM), but some are now being absorbed into the armed Maoist insurgency, and others are eliciting limited support from political parties. Anti-dispossession movements are by nature cross-class; however, their exact composition and degree of internal contradiction vary massively. Locally distinct agrarian social structures, political histories, and different geographies of dispossession combine to create movements with diverse goals and ideologies. Some constitute a non-compromising countermovement against the forcible commodification of land; others are fighting for concessions on the terrain of commodification itself. Among both we find highly diverse political ideologies that do not neatly map onto the major political tendencies that organize electoral politics. Although these features of dispossession politics are not exhaustive, I offer them as basic coordinates to stimulate refinement or reconstruction based on further comparative research. Though drawn from the experience of dispossession politics in India, a few words are in order about their applicability to other contexts. While we can expect great variation in the specifics of dispossession politics across countries, I believe that the features presented above are sufficiently general—and genetically linked to the experience of land dispossession—that they should have fairly wide applicability to movements fighting state-led dispossession of agricultural land in other countries. We can expect to see significant differences in struggles over forest rights (in which poaching, arson, and “everyday forms” of resistance are common) and in the piecemeal “intimate dispossessions” that occur when local actors struggle over insecure or ambiguous property rights in the absence of state involvement. 159 Further, while land acquisition in India is a fairly rationalized state procedure (eminent domain laws have been on the books since the nineteenth century), in other countries and perhaps especially in conflict situations, the state can be relatively less central to land dispossession compared to non-state wielders of coercion, such as paramilitaries, 160 corporate security forces, drug cartels, or rural elites with what Marx calls “their little independent methods.” 161 Such circumstances of rampant non-state violence are hardly conducive to the kinds of politics illustrated above. Nevertheless, the type of state-led land dispossession described here is sufficiently widespread that the framework suggested here should be relevant to a large domain of politics in many countries. Having sketched the contours of a particular kind of politics formed though processes of land dispossession, I would like to conclude with some observations about its likely significance for India and, perhaps, other emerging centers of global capitalism. Given the above, it should already be apparent that states will face several obstacles to institutionalizing conflict around land in a way that is analogous to collective bargaining for labor. Unlike labor, land is essentially a zero-sum asset. Its supply is finite, it is currently in high demand for both agricultural and non-agricultural uses, and these uses are not compatible. While the surplus created by labor can be shared between a capitalist and laborer in a way that might align their interests, land can either stay with a farmer or be given to a capitalist. As we have seen, the loss of land constitutes a large, transparent, and irreversible threat to farmers’ livelihoods and even ways of life. To get farmers to comply with dispossession, states must either mobilize coercion, normative persuasion, or substantial material inducements. Coercion will continue to be used, especially in remote areas inhabited by the most marginalized groups. However, this is likely to further alienate agriculturalists and increase opposition; its use will become more difficult as the issue attracts more media attention and achieves greater political salience. India’s burgeoning Maoist insurgency is good evidence of how such a strategy can backfire. The second option, persuading farmers that it is their patriotic duty to sacrifice their land for national development, is increasingly difficult as the state dispossesses land for private and sometimes foreign companies for increasingly real estate-driven purposes. I have argued here and elsewhere that India’s proliferating land wars are, to a large extent, a consequence of a neoliberal regime of dispossession that lacks the ideological legitimacy of its predecessor. 162 Apart from abandoning this neoliberal regime, the third strategy of securing compliance through material compensation is probably the only option available. This is the strategy that India’s central and state governments are currently pursuing as they devise amendments to the central Land Acquisition Act and institute state resettlement and rehabilitation policies. The intention of these legislative and policy interventions is to dissipate land wars and ensure a predictable supply of land for capital by giving farmers a larger stake in the accumulation generated by dispossession. 163 There are, however, significant obstacles to such a class compromise. One obstacle is the ability of private capitalists to agree on the need for concessions, which has not been the case so far in India. With different industry organizations disagreeing on the need for more liberal compensation, 164 the current draft of India’s amendment to the central Land Acquisition Act has seen its more liberal provisions watered down. 165 If passed in this less liberal form, it will decrease the likelihood that this legislation will be effective at quelling farmer opposition, to the detriment of the long-term interests of capitalists themselves. A second obstacle is the lack of enduring organizational vehicles that can be co-opted as negotiating partners. As we have seen, dispossession is a serial process that usually occurs only once for any particular farmer; for each instance of dispossession, bargaining has to begin afresh with new individuals. The ad-hoc, autonomous, and often transient nature of the organizations farmers create to fight dispossession makes it impossible for states to forge long-term relations (analogous to those with unions) that would facilitate stable compromises. The need to repeatedly negotiate with new individuals and their informal organizations multiplies the likelihood of opposition and greatly decreases the predictability of compliance. Finally, there is a third and more fundamental obstacle. The idea of utilizing the exchange value of land to build a class compromise between capital and farmers assumes what needs to be explained: how farmers come to value their land at its exchange value in the first place. As we have seen, this cannot be taken for granted. Just as class compromise can only be built with workers once they have accepted the principle of exchanging their labor for a wage, a class compromise around land dispossession requires that farmers accept the principle of exchanging their land for a price. Whether all farmers have their price remains to be seen; what is clear is that India’s land wars provide numerous examples of farmers refusing to give their land even when offered significant sums of money. So long as they refuse to treat their land at its exchange value, they cannot be brought into a class compromise on the terrain of commodification. Until and unless such nonmarket orientations to land are significantly unhinged, which at present seems remote, it is unlikely that states will be able to institutionalize material compliance to dispossession in the near term. It is more likely that farmers will continue to effectively use the levers of democracy to impede the state’s ability to transfer land to capital. In hundreds of villages across India, farmers are currently using the strategies and tactics discussed in this paper to make themselves significant obstacles to capitalist development. Almost all of the movements discussed in this paper have succeeded in stopping or significantly stalling the projects that are premised upon their dispossession. Some have no interest in the forms of development proposed for their land; others are fighting to be incorporated into it on better terms. Combined, nevertheless, they are making it increasingly difficult for capitalists to obtain that seemingly mundane but crucial condition of accumulation: a physical place on Earth. Beyond disrupting accumulation by dispossession, the ultimate political direction of these movements is varied and their ability to articulate compelling and viable alternatives remains uncertain. What we can say, for now, is that peasants continue to make significant interventions in history, and that these are increasingly shaped by the process of dispossession. 166 I would like to thank Amita Baviskar, Fred Block, Michael Burawoy, Phillip Campanile, Jia-Ching Chen, Laura Enriquez, Eli Friedman, Gillian Hart, Suchi Pande, Marcel Paret, Raka Ray, Aseem Srivastava, Michael Watts, participants of the Yale Modern South Asia Workshop, and the Politics &amp;amp; Society editors for their helpful comments and criticisms. Declaration of Conflicting Interests The author declared no potential conflicts of interest with respect to the research, authorship, and/or publication of this article. Funding The author received no financial support for the research, authorship, and/or publication of this article. 1. David Harvey, The New Imperialism (Oxford: Oxford University Press, 2003). 2. See the collection of articles in the special issue on “Land: A New Wave of Accumulation by Dispossession in Africa?,” Review of African Political Economy 38, no. 128 (2011). See also Kojo Sebastian Amanor, “Global Resource Grabs, Agribusiness Concentration and the Smallholder: Two West African Case Studies,” Journal of Peasant Studies 39, no. 3-4: 731-750; Philip Woodhouse, “New Investment, Old Challenges: Land Deals and the Water Constraint in African Agriculture,” Journal of Peasant Studies 39, no. 3-4: 777-794; Tom Lavers, “Patterns of Agrarian Transformation in Ethiopia: State-mediated Commercialisation and the ‘Land Grab,’” Journal of Peasant Studies 39, no. 3-4: 795-822; Ruth Hall, “The Next Great Trek? South African Commercial Farmers Move North,” Journal of Peasant Studies 39, no. 3-4: 823-844; and “Large-scale Land Deals from the Inside Out: Findings from Kenya’s Tana Delta,” Journal of Peasant Studies 39, no. 3-4: 1039-1076. 3. See, for example, Derek Hall, Philip Hirsch, and Tanya Li, Powers of Exclusion: Land Dilemmas in Southeast Asia (Singapore: Nus Press, 2011); Derek Hall, “Land Grabs, Land Control, and Southeast Asian Crop Booms,” Journal of Peasant Studies 38, no. 4 (2011): 837-857; Tania Li, The Will to Improve: Governmentality, Development and the Practice of Politics (Durham: Duke University Press, 2007); Miles Kenney-Lazar, “Plantation Rubber, Land Grabbing and Social-Property Transformation in Southern Laos,” Journal of Peasant Studies 39, no. 3-4: 1017-1038. 4. For an overview, see the special issue on “Land Grabbing in Latin America,” Canadian Journal of Development Studies 33, no. 4 (2012); and Saturnino M. Borras Jr., Jennifer C. Franco, Sergio Gomez, Crisobal Kay, and Max Spoor, “Land Grabbing in Latin America and the Caribbean,” Journal of Peasant Studies 39, no. 3-4: 845-872. 5. See “Rural Population,” The World Bank (2012). Available at: http://data.worldbank.org/indicator/SP.RUR.TOTL . Accessed March 15, 2013. The intersection of exceptionally fast growth rates and large peasantries with very small holdings may be partly responsible for the particular significance of land dispossession in India and China. One should also note that whereas “land grabs” in Africa and Latin America appear to be primarily driven by agribusiness, biofuels, and to a lesser extent, mineral extraction, in India and China they are primarily driven by urban-industrial development. 6. See You-Tien Hsing, The Great Urban Transformation: Politics of Land and Property in China (Oxford: Oxford University Press, 2010), 182-183. 7. See Landesa Rural Development Institute, “Summary of 2011 Seventeen-Province Survey’s Findings” (2011). Available at: http://www.landesa.org/news/6th-china-survey/ . Accessed February 25, 2012. 8. In a visit to Guandong in February 2012, Jiabao made farmers’ rights a central theme and acknowledged the problem of land grabs, saying, “The root of the problem is that the land is the property of the farmers, but this right has not been protected in the way it should be.” Quoted in Elizabeth C. Economy, “A Land Grab Epidemic: China’s Wonderful World of Wukans,” Council on Foreign Relations (2012). Available at: http://blogs.cfr.org/asia/2012/02/07/a-land-grab-epidemic-chinas-wonderful-world-of-wukans/ . Accessed August 15, 2012. 9. Hsing shows that the central government has made some efforts to prosecute corrupt officials, cancel development zones, and to take some power away from local governments. However, she also argues that this is motivated not just by political considerations, but by concerns about macroeconomic overheating. See Hsing, Greater Urban Transformation , 213. In 2011, after Hsing’s study, the Chinese government passed a new law on forced evictions, and is now considering a reform to its land “takings” law. 10. The most comprehensive study to date, led by Walter Fernandes, has put the total number of displaced for development projects in India between 1947 and 2004 at 60 million people. According to Fernandes, while adivasis constitute 8.6 percent of India’s population, they make up 40 percent of the displaced, with Dalits comprising another 20 percent. See Walter Fernandes, “Sixty Years of Development-induced Displacement in India,” in H. M. Mathur, ed., India Social Development Report 2008: Development and Displacement (New Delhi: Oxford University Press, 2008), 91-92. 11. For an analysis of this shift, see Devparna Roy, “Gujarat’s Gain and West Bengal’s Loss? ‘Development,’ Land Acquisition in India, and the Tata Nano Project: A Comparison of Singur with Sanand” (paper presented at the Land Deal Politics Initiative Conference on Global Land Grabbing, Institute of Development Studies, Sussex, United Kingdom, April 6-8, 2011). 12. For a more complete analysis of how the changing character of dispossession in post-liberalization India is contributing to the proliferation and success of land wars, see Michael Levien, “Regimes of Dispossession: From Steel Towns to Special Economic Zones,” Development and Change 44, no. 2(2013): 381-407. 13. There is, of course, a large literature in institutional economics, which holds that the protection of private property is the cornerstone of economic growth. See, for example, Douglass North, Institutions, Institutional Change and Economic Performance (Cambridge: Cambridge University Press, 1990). As a more recent statement puts it, “a cluster of institutions ensuring secure property rights for a broad cross section of society, which we refer to as the institutions of private property , are essential for investment incentives and economic performance.” See Daron Acemoglu, Simon Johnson, and James. A. Robinson, “Reversal of Fortune: Geography and Institutions in the Making of the Modern World Income Distribution,” The Quarterly Journal of Economics 107(2002): 1235. However, facilitating large private investments in a country where the majority of available land is in the hands of a small-holding peasantry has proven to be dependent on a growing state willingness to dispossess rather than protect the private property of rural agriculturalists. The accelerating use of eminent domain in India and elsewhere suggests that rapid economic growth appears to be based on the selective protection of private property. 14. One private consultancy has estimated that in 2011-2012, capital investment projects worth Rs. 2.7 trillion ($54 billion) were stalled, mostly due to uncertainties in land availability. See Center for Monitoring Indian Economy Pvt. Ltd., “Sharp increase in projects getting shelved,” (2012). Available at: http://www.cmie.com/kommon/bin/sr.php?kall=wclrdhtm.php&amp;amp;cmienvdt=20120704101759176&amp;amp;pc=099000000000&amp;amp;type=INSIGHTS . Accessed August 15, 2012. 15. While Ashutosh Varshney argues that a democratic system introduced before an industrial revolution empowers the countryside, his main example is the new farmers’ movements demanding subsidies and higher prices. That land rather than agricultural surpluses would be the source of conflict between urban capital and the countryside was anticipated by no one—until the land wars of the last five to seven years. See Ashutosh Varshney, Democracy, Development, and the Countryside (Cambridge: Cambridge University Press, 1995). In an urban context, Liza Weinstein also observes how democratic institutions, combined with the concern of investors to avoid political snags, has forced authorities in Mumbai to at least consult with those being evicted for slum redevelopment. See Liza Weinstein, “Democracy in the Globalizing Indian City: Engagements of Political Society and the State in Globalizing Mumbai,” Politics &amp;amp; Society 37, no. 3 (2009): 397-427. 16. Harvey, The New Imperialism , 169-171. 17. See, for example, Gail Omvedt, Reinventing Revolution: New Social Movements and the Socialist Tradition in India (Armonk: M.E. Sharpe, 1993). 18. Michael Hardt and Antonio Negri, Empire (Cambridge: Harvard University Press, 2000); Michael Hardt and Antonio Negri, Multitude: War and Democracy in the Age of Empire (New York: Penguin, 2004). 19. Partha Chatterjee, The Politics of the Governed: Reflections on Popular Politics in Most of the World (New York: Columbia University Press, 2005). 20. See Michael Levien, “Special Economic Zones and Accumulation by Dispossession in India,” Journal of Agrarian Change 11, no. 4 (2011): 454-483. 21. Harvey, The New Imperialism , 168, 174. 22. Ibid., 169, 179. 23. See Fred Block, “Introduction,” in Karl Polanyi, The Great Transformation: The Political and Economic Origins of Our Time (Boston: Beacon, [1944] 2001): xviii-xxxviii; Michael Burawoy, “For a Sociological Marxism: The Complementary Convergence of Antonio Gramsci and Karl Polanyi,” Politics &amp;amp; Society 31, no. 2 (2003): 193-261; Giovanni Arrighi and Beverly Silver, “Polanyi’s ‘Double Movement’: The Belle Epoques of British and US Hegemony Compared,” Politics &amp;amp; Society 31, no. 2 (2003): 325-355; Beverly Silver, Forces of Labor: Workers’ Movements and Globalization Since 1870 (Cambridge: Cambridge University Press, 2003); Peter Evans, “Is an Alternative Globalization Possible?” Politics &amp;amp; Society 36, no. 2 (2008): 271-305; Ayse Bugra and Kaan Agartan, eds., Reading Karl Polanyi for the 21 st Century (New York: Palgrave, 2007). 24. See Polanyi, The Great Transformation. 25. See Burawoy, “Sociological Marxism,” 213. 26. See Michael Burawoy, “From Polanyi to Pollyanna: The False Optimism of Global Labor Studies,” Global Labour Journal 1, no. 2 (2010): 308. 27. See Andrew G. Walder, “Political Sociology and Social Movements,” Annual Review of Sociology 35 (2009): 393-412. 28. Though in his late writings, Marx himself backed away from this position. See Theodore Shanin, Late Marx and the Russian Road: Marx and the Peripheries of Capitalism (New York: Monthly Review Press, 1983). 29. See Vladimir I. Lenin, The Development of Capitalism in Russia (Moscow: Progress Publishers, 1967); Karl Kautsky, The Agrarian Question (London: Zwan Publications, 1988). 30. See Barrington Moore, Social Origins of Dictatorship and Democracy: Lord and Peasant in the Making of the Modern World (Boston: Beacon Press, 1966); Eric Wolf, Peasant Wars of the Twentieth Century (Norman, OK: University of Oklahoma Press, 1999); Jeffrey Paige,","page":"351-394","publisher-place":"Johns Hopkins University, United States","title":"The Politics of Dispossession: Theorizing India's \"Land Wars\"","type":"article-journal","volume":"41"},"uris":["http://www.mendeley.com/documents/?uuid=2100f31a-6162-4a8f-ad9b-b504ab7ebc43"]}],"mendeley":{"formattedCitation":"(Levien, 2013)","plainTextFormattedCitation":"(Levien, 2013)","previouslyFormattedCitation":"(Levien, 2013)"},"properties":{"noteIndex":0},"schema":"https://github.com/citation-style-language/schema/raw/master/csl-citation.json"}</w:instrText>
      </w:r>
      <w:r w:rsidRPr="0037337F">
        <w:rPr>
          <w:rFonts w:ascii="Times New Roman" w:hAnsi="Times New Roman" w:cs="Times New Roman"/>
          <w:sz w:val="24"/>
          <w:szCs w:val="24"/>
        </w:rPr>
        <w:fldChar w:fldCharType="separate"/>
      </w:r>
      <w:r w:rsidRPr="0037337F">
        <w:rPr>
          <w:rFonts w:ascii="Times New Roman" w:hAnsi="Times New Roman" w:cs="Times New Roman"/>
          <w:noProof/>
          <w:sz w:val="24"/>
          <w:szCs w:val="24"/>
        </w:rPr>
        <w:t>(Levien, 2013)</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w:t>
      </w:r>
    </w:p>
    <w:p w14:paraId="7112717F" w14:textId="791A3306" w:rsidR="000663AA" w:rsidRDefault="000663AA" w:rsidP="000663AA">
      <w:pPr>
        <w:pStyle w:val="ListParagraph"/>
        <w:tabs>
          <w:tab w:val="left" w:pos="426"/>
        </w:tabs>
        <w:spacing w:line="240" w:lineRule="auto"/>
        <w:ind w:left="0"/>
        <w:jc w:val="both"/>
        <w:rPr>
          <w:rFonts w:ascii="Times New Roman" w:hAnsi="Times New Roman" w:cs="Times New Roman"/>
          <w:b/>
          <w:bCs/>
          <w:sz w:val="24"/>
          <w:szCs w:val="24"/>
        </w:rPr>
      </w:pPr>
    </w:p>
    <w:p w14:paraId="7D245421" w14:textId="77777777" w:rsidR="00353110" w:rsidRDefault="00353110" w:rsidP="000663AA">
      <w:pPr>
        <w:pStyle w:val="ListParagraph"/>
        <w:tabs>
          <w:tab w:val="left" w:pos="426"/>
        </w:tabs>
        <w:spacing w:line="240" w:lineRule="auto"/>
        <w:ind w:left="0"/>
        <w:jc w:val="both"/>
        <w:rPr>
          <w:rFonts w:ascii="Times New Roman" w:hAnsi="Times New Roman" w:cs="Times New Roman"/>
          <w:b/>
          <w:bCs/>
          <w:sz w:val="24"/>
          <w:szCs w:val="24"/>
        </w:rPr>
      </w:pPr>
    </w:p>
    <w:p w14:paraId="195EDFFC" w14:textId="2A9A3619" w:rsidR="00197B65" w:rsidRPr="00353110" w:rsidRDefault="00353110" w:rsidP="00353110">
      <w:pPr>
        <w:tabs>
          <w:tab w:val="left" w:pos="426"/>
        </w:tabs>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RESEARCH METHODS</w:t>
      </w:r>
    </w:p>
    <w:p w14:paraId="67C37A05" w14:textId="253C0345" w:rsidR="00197B65" w:rsidRPr="0037337F" w:rsidRDefault="008218B0" w:rsidP="000663AA">
      <w:pPr>
        <w:spacing w:line="240" w:lineRule="auto"/>
        <w:ind w:firstLine="425"/>
        <w:jc w:val="both"/>
        <w:rPr>
          <w:rFonts w:ascii="Times New Roman" w:hAnsi="Times New Roman" w:cs="Times New Roman"/>
          <w:sz w:val="24"/>
          <w:szCs w:val="24"/>
          <w:lang w:val="id-ID"/>
        </w:rPr>
      </w:pPr>
      <w:r w:rsidRPr="0037337F">
        <w:rPr>
          <w:rFonts w:ascii="Times New Roman" w:hAnsi="Times New Roman" w:cs="Times New Roman"/>
          <w:sz w:val="24"/>
          <w:szCs w:val="24"/>
        </w:rPr>
        <w:lastRenderedPageBreak/>
        <w:t xml:space="preserve">This study used </w:t>
      </w:r>
      <w:r w:rsidR="001044BB" w:rsidRPr="001044BB">
        <w:rPr>
          <w:rFonts w:ascii="Times New Roman" w:hAnsi="Times New Roman" w:cs="Times New Roman"/>
          <w:sz w:val="24"/>
          <w:szCs w:val="24"/>
        </w:rPr>
        <w:t xml:space="preserve">Systematic Literature Review (SLR) method with a mixture of qualitative and quantitative approaches was used to conduct this research </w:t>
      </w:r>
      <w:r w:rsidRPr="0037337F">
        <w:rPr>
          <w:rFonts w:ascii="Times New Roman" w:hAnsi="Times New Roman" w:cs="Times New Roman"/>
          <w:sz w:val="24"/>
          <w:szCs w:val="24"/>
        </w:rPr>
        <w:t xml:space="preserve">to analyze the data obtained from 289 articles on farmers’ social movements sourced from the Scopus database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{"citationItems":[{"id":"ITEM-1","itemData":{"DOI":"10.1080/13683500.2017.1406900","ISSN":"13683500","abstract":"The existing literature mapping the state of mixed methods research in tourism does not provide in-depth information concerning the number and type of mixed methods studies published in tourism, or the paradigmatic beliefs informing the mix of quantitative and qualitative studies in the same project. By conducting a systematic review of articles published between 2005 and 2016 in tourism journals, this work seeks to answer four main research questions: (1) how have different tourism scholars employed mixed methods in their studies?; (2) what approaches have been utilised in mixed methods studies?; (3) how are paradigm(s) conceptualised in mixed method designs?; and (4) how is reflexivity operationalised in mixed method designs? Overall, the findings show that the majority of mixed methods tourism studies have not declared their epistemological, ontological and axiological stances. Also, the studies tended to privilege sequential mixes over concurrent approaches, and reflexivity was rarely contemplated.","author":[{"dropping-particle":"","family":"Khoo-Lattimore","given":"Catheryn","non-dropping-particle":"","parse-names":false,"suffix":""},{"dropping-particle":"","family":"Mura","given":"Paolo","non-dropping-particle":"","parse-names":false,"suffix":""},{"dropping-particle":"","family":"Yung","given":"Ryan","non-dropping-particle":"","parse-names":false,"suffix":""}],"container-title":"Current Issues in Tourism","id":"ITEM-1","issue":"13","issued":{"date-parts":[["2019"]]},"page":"1531-1550","publisher":"Taylor &amp; Francis","title":"The time has come: a systematic literature review of mixed methods research in tourism","type":"article-journal","volume":"22"},"uris":["http://www.mendeley.com/documents/?uuid=491d466e-4b16-4e23-8eab-cc689f2145ab"]}],"mendeley":{"formattedCitation":"(Khoo-Lattimore, Mura and Yung, 2019)","plainTextFormattedCitation":"(Khoo-Lattimore, Mura and Yung, 2019)","previouslyFormattedCitation":"(Khoo-Lattimore, Mura and Yung, 2019)"},"properties":{"noteIndex":0},"schema":"https://github.com/citation-style-language/schema/raw/master/csl-citation.json"}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(Khoo-Lattimore, Mura and Yung, 2019)</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A qualitative approach is used to layout topics and themes as well as to conceptualize the concept based on previous studies</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{"citationItems":[{"id":"ITEM-1","itemData":{"DOI":"10.1177/1468794106058867","ISSN":"14687941","abstract":"Systematic review has developed as a specific methodology for searching for, appraising and synthesizing findings of primary studies, and has rapidly become a cornerstone of the evidence-based practice and policy movement. Qualitative research has traditionally been excluded from systematic reviews, and much effort is now being invested in resolving the daunting methodological and epistemological challenges associated with trying to move towards more inclusive forms of review. We describe our experiences, as a very diverse multidisciplinary group, in attempting to incorporate qualitative research in a systematic review of support for breastfeeding. We show how every stage of the review process, from asking the review question through to searching for and sampling the evidence, appraising the evidence and producing a synthesis, provoked profound questions about whether a review that includes qualitative research can remain consistent with the frame offered by current systematic review methodology. We conclude that more debate and dialogue between the different communities that wish to develop review methodology is needed, and that attempts to impose dominant views about the appropriate means of conducting reviews of qualitative research should be resisted so that innovation can be fostered. Copyright © 2006 SAGE Publications.","author":[{"dropping-particle":"","family":"Dixon-Woods","given":"Mary","non-dropping-particle":"","parse-names":false,"suffix":""},{"dropping-particle":"","family":"Bonas","given":"Sheila","non-dropping-particle":"","parse-names":false,"suffix":""},{"dropping-particle":"","family":"Booth","given":"Andrew","non-dropping-particle":"","parse-names":false,"suffix":""},{"dropping-particle":"","family":"Jones","given":"David R.","non-dropping-particle":"","parse-names":false,"suffix":""},{"dropping-particle":"","family":"Miller","given":"Tina","non-dropping-particle":"","parse-names":false,"suffix":""},{"dropping-particle":"","family":"Sutton","given":"Alex J.","non-dropping-particle":"","parse-names":false,"suffix":""},{"dropping-particle":"","family":"Shaw","given":"Rachel L.","non-dropping-particle":"","parse-names":false,"suffix":""},{"dropping-particle":"","family":"Smith","given":"Jonathan A.","non-dropping-particle":"","parse-names":false,"suffix":""},{"dropping-particle":"","family":"Young","given":"Bridget","non-dropping-particle":"","parse-names":false,"suffix":""}],"container-title":"Qualitative Research","id":"ITEM-1","issue":"1","issued":{"date-parts":[["2006"]]},"page":"27-44","title":"How can systematic reviews incorporate qualitative research? A critical perspective","type":"article-journal","volume":"6"},"uris":["http://www.mendeley.com/documents/?uuid=36534a56-1dd2-45df-ac78-7ca6dc414b70"]}],"mendeley":{"formattedCitation":"(Dixon-Woods &lt;i&gt;et al.&lt;/i&gt;, 2006)","plainTextFormattedCitation":"(Dixon-Woods et al., 2006)","previouslyFormattedCitation":"(Dixon-Woods &lt;i&gt;et al.&lt;/i&gt;, 2006)"},"properties":{"noteIndex":0},"schema":"https://github.com/citation-style-language/schema/raw/master/csl-citation.json"}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 xml:space="preserve">(Dixon-Woods </w:t>
      </w:r>
      <w:r w:rsidR="0037337F" w:rsidRPr="0037337F">
        <w:rPr>
          <w:rFonts w:ascii="Times New Roman" w:hAnsi="Times New Roman" w:cs="Times New Roman"/>
          <w:i/>
          <w:noProof/>
          <w:sz w:val="24"/>
          <w:szCs w:val="24"/>
        </w:rPr>
        <w:t>et al.</w:t>
      </w:r>
      <w:r w:rsidR="0037337F" w:rsidRPr="0037337F">
        <w:rPr>
          <w:rFonts w:ascii="Times New Roman" w:hAnsi="Times New Roman" w:cs="Times New Roman"/>
          <w:noProof/>
          <w:sz w:val="24"/>
          <w:szCs w:val="24"/>
        </w:rPr>
        <w:t>, 2006)</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xml:space="preserve">. Meanwhile, a quantitative approach is used to strengthen the concept focused on measuring the level of linkage between topics, sub-topics, issues, and study objectives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{"citationItems":[{"id":"ITEM-1","itemData":{"DOI":"10.1016/j.techfore.2016.08.031","ISSN":"00401625","abstract":"This review paper systematically queries the Sustainability Transitions literature to unpack the concept of ‘experimentation’. We define an experiment as an inclusive, practice-based and challenge-led initiative, which is designed to promote system innovation through social learning under conditions of uncertainty and ambiguity. A distinction is made between various terms (niche experiments, bounded socio-technical experiments, transition experiments, sustainability experiments and grassroots experiments), each with their own theoretical backgrounds and discursive and empirical focal points. Observed patterns and trends in the literature are discussed, as well as promising lines of enquiry for further exploration of- and a reflection on experimenting for sustainability transitions in the context of the welfare state.","author":[{"dropping-particle":"","family":"Sengers","given":"Frans","non-dropping-particle":"","parse-names":false,"suffix":""},{"dropping-particle":"","family":"Wieczorek","given":"Anna J.","non-dropping-particle":"","parse-names":false,"suffix":""},{"dropping-particle":"","family":"Raven","given":"Rob","non-dropping-particle":"","parse-names":false,"suffix":""}],"container-title":"Technological Forecasting and Social Change","id":"ITEM-1","issue":"September","issued":{"date-parts":[["2019"]]},"page":"153-164","publisher":"Elsevier Inc.","title":"Experimenting for sustainability transitions: A systematic literature review","type":"article-journal","volume":"145"},"uris":["http://www.mendeley.com/documents/?uuid=7f019c29-c7b3-496a-91bf-9499180edd53"]}],"mendeley":{"formattedCitation":"(Sengers, Wieczorek and Raven, 2019)","plainTextFormattedCitation":"(Sengers, Wieczorek and Raven, 2019)","previouslyFormattedCitation":"(Sengers, Wieczorek and Raven, 2019)"},"properties":{"noteIndex":0},"schema":"https://github.com/citation-style-language/schema/raw/master/csl-citation.json"}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(Sengers, Wieczorek and Raven, 2019)</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xml:space="preserve">. The linkage was measured using correlation, coherence, and coherence tests with the Jaccard Index, which is similar to the concepts, sub-concepts, topics, sub-topics, and study issues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{"citationItems":[{"id":"ITEM-1","itemData":{"DOI":"10.1109/ACCESS.2018.2874096","ISSN":"21693536","abstract":"Requirements engineering (RE) is a critical process in software development which faces important risks when performed in a global software development (GSD) setting. Some of these risks are specific to GSD, while others also appear in co-localized environments but are aggravated in GSD. A systematic literature review (SLR) has been conducted to identify the risks to RE that occur in GSD, along with the safeguards with which to manage these risks. Inspired by a grounded theory approach, risks and safeguards have been elicited and grouped by means of collaborative tagging and cluster analysis techniques, and then bivariate correlation tests have been applied to measure the association between these risks and safeguards. The results of the SLR include the identification of a great variety of risks to RE in GSD (218), along with a large number of safeguards (146 in total). Starting from these results, a risks and safeguards repository that encompasses the entire state of the art on RE in GSD has been produced and is now publicly available. This repository can be used as a growing knowledge base by any organization interested in carrying out RE in GSD. The objective is to assist those organizations that are inexperienced in GSD to handle the problems that may arise when involved in a global development. The most common risks identified in the literature are related to: 1) knowledge sharing; 2) client and vendor relationships; 3) problems with process definition; and 4) communication problems. It was also found that in the literature, the risks related to management and project coordination, knowledge management and awareness, socio-cultural differences, and client-vendor distance are the ones most lacking in proposed safeguards; these are therefore concerns to which more attention should be paid.","author":[{"dropping-particle":"","family":"Nicolas","given":"Joaquin","non-dropping-particle":"","parse-names":false,"suffix":""},{"dropping-particle":"","family":"Carrillo De Gea","given":"Juan M.","non-dropping-particle":"","parse-names":false,"suffix":""},{"dropping-particle":"","family":"Nicolas","given":"Bernabe","non-dropping-particle":"","parse-names":false,"suffix":""},{"dropping-particle":"","family":"Fernandez-Aleman","given":"Jose L.","non-dropping-particle":"","parse-names":false,"suffix":""},{"dropping-particle":"","family":"Toval","given":"Ambrosio","non-dropping-particle":"","parse-names":false,"suffix":""}],"container-title":"IEEE Access","id":"ITEM-1","issued":{"date-parts":[["2018"]]},"page":"59628-59656","title":"On the risks and safeguards for requirements engineering in global software development: Systematic literature review and quantitative assessment","type":"article-journal","volume":"6"},"uris":["http://www.mendeley.com/documents/?uuid=bc6a5740-686c-46c8-b4be-0e29573543ad"]}],"mendeley":{"formattedCitation":"(Nicolas &lt;i&gt;et al.&lt;/i&gt;, 2018)","plainTextFormattedCitation":"(Nicolas et al., 2018)","previouslyFormattedCitation":"(Nicolas &lt;i&gt;et al.&lt;/i&gt;, 2018)"},"properties":{"noteIndex":0},"schema":"https://github.com/citation-style-language/schema/raw/master/csl-citation.json"}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 xml:space="preserve">(Nicolas </w:t>
      </w:r>
      <w:r w:rsidR="0037337F" w:rsidRPr="0037337F">
        <w:rPr>
          <w:rFonts w:ascii="Times New Roman" w:hAnsi="Times New Roman" w:cs="Times New Roman"/>
          <w:i/>
          <w:noProof/>
          <w:sz w:val="24"/>
          <w:szCs w:val="24"/>
        </w:rPr>
        <w:t>et al.</w:t>
      </w:r>
      <w:r w:rsidR="0037337F" w:rsidRPr="0037337F">
        <w:rPr>
          <w:rFonts w:ascii="Times New Roman" w:hAnsi="Times New Roman" w:cs="Times New Roman"/>
          <w:noProof/>
          <w:sz w:val="24"/>
          <w:szCs w:val="24"/>
        </w:rPr>
        <w:t>, 2018)</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xml:space="preserve">. The use of a mixed approach in this study allows the concept to be well-formulated which describes farmers structured and systematic social movement strategies </w:t>
      </w:r>
      <w:r w:rsidRPr="0037337F">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{"citationItems":[{"id":"ITEM-1","itemData":{"DOI":"10.1080/13683500.2017.1406900","ISSN":"13683500","abstract":"The existing literature mapping the state of mixed methods research in tourism does not provide in-depth information concerning the number and type of mixed methods studies published in tourism, or the paradigmatic beliefs informing the mix of quantitative and qualitative studies in the same project. By conducting a systematic review of articles published between 2005 and 2016 in tourism journals, this work seeks to answer four main research questions: (1) how have different tourism scholars employed mixed methods in their studies?; (2) what approaches have been utilised in mixed methods studies?; (3) how are paradigm(s) conceptualised in mixed method designs?; and (4) how is reflexivity operationalised in mixed method designs? Overall, the findings show that the majority of mixed methods tourism studies have not declared their epistemological, ontological and axiological stances. Also, the studies tended to privilege sequential mixes over concurrent approaches, and reflexivity was rarely contemplated.","author":[{"dropping-particle":"","family":"Khoo-Lattimore","given":"Catheryn","non-dropping-particle":"","parse-names":false,"suffix":""},{"dropping-particle":"","family":"Mura","given":"Paolo","non-dropping-particle":"","parse-names":false,"suffix":""},{"dropping-particle":"","family":"Yung","given":"Ryan","non-dropping-particle":"","parse-names":false,"suffix":""}],"container-title":"Current Issues in Tourism","id":"ITEM-1","issue":"13","issued":{"date-parts":[["2019"]]},"page":"1531-1550","publisher":"Taylor &amp; Francis","title":"The time has come: a systematic literature review of mixed methods research in tourism","type":"article-journal","volume":"22"},"uris":["http://www.mendeley.com/documents/?uuid=491d466e-4b16-4e23-8eab-cc689f2145ab"]}],"mendeley":{"formattedCitation":"(Khoo-Lattimore, Mura and Yung, 2019)","plainTextFormattedCitation":"(Khoo-Lattimore, Mura and Yung, 2019)","previouslyFormattedCitation":"(Khoo-Lattimore, Mura and Yung, 2019)"},"properties":{"noteIndex":0},"schema":"https://github.com/citation-style-language/schema/raw/master/csl-citation.json"}</w:instrText>
      </w:r>
      <w:r w:rsidRPr="0037337F">
        <w:rPr>
          <w:rFonts w:ascii="Times New Roman" w:hAnsi="Times New Roman" w:cs="Times New Roman"/>
          <w:sz w:val="24"/>
          <w:szCs w:val="24"/>
        </w:rPr>
        <w:fldChar w:fldCharType="separate"/>
      </w:r>
      <w:r w:rsidR="0037337F" w:rsidRPr="0037337F">
        <w:rPr>
          <w:rFonts w:ascii="Times New Roman" w:hAnsi="Times New Roman" w:cs="Times New Roman"/>
          <w:noProof/>
          <w:sz w:val="24"/>
          <w:szCs w:val="24"/>
        </w:rPr>
        <w:t>(Khoo-Lattimore, Mura and Yung, 2019)</w:t>
      </w:r>
      <w:r w:rsidRPr="0037337F">
        <w:rPr>
          <w:rFonts w:ascii="Times New Roman" w:hAnsi="Times New Roman" w:cs="Times New Roman"/>
          <w:sz w:val="24"/>
          <w:szCs w:val="24"/>
        </w:rPr>
        <w:fldChar w:fldCharType="end"/>
      </w:r>
      <w:r w:rsidRPr="0037337F">
        <w:rPr>
          <w:rFonts w:ascii="Times New Roman" w:hAnsi="Times New Roman" w:cs="Times New Roman"/>
          <w:sz w:val="24"/>
          <w:szCs w:val="24"/>
        </w:rPr>
        <w:t xml:space="preserve">. </w:t>
      </w:r>
    </w:p>
    <w:p w14:paraId="512D09DA" w14:textId="77777777" w:rsidR="00197B65" w:rsidRPr="0037337F" w:rsidRDefault="008218B0" w:rsidP="000663AA">
      <w:pPr>
        <w:spacing w:line="240" w:lineRule="auto"/>
        <w:ind w:firstLine="425"/>
        <w:jc w:val="both"/>
        <w:rPr>
          <w:rFonts w:ascii="Times New Roman" w:hAnsi="Times New Roman" w:cs="Times New Roman"/>
          <w:sz w:val="24"/>
          <w:szCs w:val="24"/>
          <w:lang w:val="id-ID"/>
        </w:rPr>
      </w:pPr>
      <w:r w:rsidRPr="0037337F">
        <w:rPr>
          <w:rFonts w:ascii="Times New Roman" w:hAnsi="Times New Roman" w:cs="Times New Roman"/>
          <w:sz w:val="24"/>
          <w:szCs w:val="24"/>
        </w:rPr>
        <w:t>This research consists of the article identification, selection, and content analysis stages, which are carried out systematically and sequentially. Furthermore, the stages are interrelated with each other which support the collection of articles used as a unit of analysis to produce in-depth research findings capable of providing answers to the following research question, namely: (1) How is the distribution and clustering concept of the study? (2) How is the relationship between the concepts? (3) What is the level of correlation and coherence of the concept? and (4) What is the concept of the study on farmers’ social movement? The three stages of the research implementation are shown in Figure 1.</w:t>
      </w:r>
    </w:p>
    <w:p w14:paraId="47DFC996" w14:textId="77777777" w:rsidR="00197B65" w:rsidRPr="0037337F" w:rsidRDefault="008218B0" w:rsidP="000663AA">
      <w:pPr>
        <w:pStyle w:val="ListParagraph"/>
        <w:tabs>
          <w:tab w:val="left" w:pos="426"/>
        </w:tabs>
        <w:spacing w:line="240" w:lineRule="auto"/>
        <w:ind w:left="426" w:hanging="426"/>
        <w:jc w:val="center"/>
        <w:rPr>
          <w:rFonts w:ascii="Times New Roman" w:hAnsi="Times New Roman" w:cs="Times New Roman"/>
          <w:b/>
          <w:bCs/>
          <w:sz w:val="24"/>
          <w:szCs w:val="24"/>
          <w:lang w:val="id-ID"/>
        </w:rPr>
      </w:pPr>
      <w:r w:rsidRPr="0037337F">
        <w:rPr>
          <w:rFonts w:ascii="Times New Roman" w:hAnsi="Times New Roman" w:cs="Times New Roman"/>
          <w:noProof/>
          <w:sz w:val="24"/>
          <w:szCs w:val="24"/>
        </w:rPr>
        <w:drawing>
          <wp:inline distT="0" distB="0" distL="0" distR="0" wp14:anchorId="52D0DFEA" wp14:editId="284AB981">
            <wp:extent cx="5901163" cy="3896139"/>
            <wp:effectExtent l="0" t="0" r="444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23630" cy="3910973"/>
                    </a:xfrm>
                    <a:prstGeom prst="rect">
                      <a:avLst/>
                    </a:prstGeom>
                    <a:noFill/>
                    <a:ln>
                      <a:noFill/>
                    </a:ln>
                  </pic:spPr>
                </pic:pic>
              </a:graphicData>
            </a:graphic>
          </wp:inline>
        </w:drawing>
      </w:r>
    </w:p>
    <w:p w14:paraId="6F454DB7" w14:textId="399F946F" w:rsidR="00197B65" w:rsidRPr="0037337F" w:rsidRDefault="008218B0" w:rsidP="00353110">
      <w:pPr>
        <w:spacing w:line="240" w:lineRule="auto"/>
        <w:jc w:val="center"/>
        <w:rPr>
          <w:rFonts w:ascii="Times New Roman" w:hAnsi="Times New Roman" w:cs="Times New Roman"/>
          <w:b/>
          <w:bCs/>
          <w:sz w:val="24"/>
          <w:szCs w:val="24"/>
        </w:rPr>
      </w:pPr>
      <w:r w:rsidRPr="0037337F">
        <w:rPr>
          <w:rFonts w:ascii="Times New Roman" w:hAnsi="Times New Roman" w:cs="Times New Roman"/>
          <w:b/>
          <w:bCs/>
          <w:sz w:val="24"/>
          <w:szCs w:val="24"/>
        </w:rPr>
        <w:t>Fig</w:t>
      </w:r>
      <w:r w:rsidR="000663AA">
        <w:rPr>
          <w:rFonts w:ascii="Times New Roman" w:hAnsi="Times New Roman" w:cs="Times New Roman"/>
          <w:b/>
          <w:bCs/>
          <w:sz w:val="24"/>
          <w:szCs w:val="24"/>
        </w:rPr>
        <w:t xml:space="preserve">ure </w:t>
      </w:r>
      <w:r w:rsidR="00BC521B">
        <w:rPr>
          <w:rFonts w:ascii="Times New Roman" w:hAnsi="Times New Roman" w:cs="Times New Roman"/>
          <w:b/>
          <w:bCs/>
          <w:sz w:val="24"/>
          <w:szCs w:val="24"/>
        </w:rPr>
        <w:t xml:space="preserve">1. </w:t>
      </w:r>
      <w:r w:rsidRPr="0037337F">
        <w:rPr>
          <w:rFonts w:ascii="Times New Roman" w:hAnsi="Times New Roman" w:cs="Times New Roman"/>
          <w:sz w:val="24"/>
          <w:szCs w:val="24"/>
        </w:rPr>
        <w:t>Research stages</w:t>
      </w:r>
    </w:p>
    <w:p w14:paraId="50C35798" w14:textId="6EF8F1DA" w:rsidR="00197B65" w:rsidRDefault="008218B0" w:rsidP="00B9647D">
      <w:pPr>
        <w:spacing w:line="240" w:lineRule="auto"/>
        <w:ind w:firstLine="425"/>
        <w:jc w:val="both"/>
        <w:rPr>
          <w:rFonts w:ascii="Times New Roman" w:hAnsi="Times New Roman" w:cs="Times New Roman"/>
          <w:sz w:val="24"/>
          <w:szCs w:val="24"/>
        </w:rPr>
      </w:pPr>
      <w:r w:rsidRPr="0037337F">
        <w:rPr>
          <w:rFonts w:ascii="Times New Roman" w:hAnsi="Times New Roman" w:cs="Times New Roman"/>
          <w:sz w:val="24"/>
          <w:szCs w:val="24"/>
        </w:rPr>
        <w:lastRenderedPageBreak/>
        <w:t>The first stage is article identification, which is related to article search activities by subscribing to Scopus, entering the keyword "Farmers Social Movement" in the document search column of the database, running the article search engine to produce the total document as a whole, limiting the number of documents based on the type, source of articles (journal), and language used (English), as well as the implementation of "Limit to" article limitation menu. The second stage is the selection process, namely activities related to collecting articles used as a unit of review analysis which is carried out based on the relevance of the theme and title, the ease of access (open access), the readability of the text in the article content, and the types of files analyzed with content analysis software. The third stage is the analysis of the article content using content analysis software, such as VOSVIEWER and NVivo 12. The purpose of using VOSVIEWER is to produce qualitative data on the concepts, topics, and issues associated with the study. The purpose of using NVivo 12 is to generate data on the relationship and coefficient of concepts, topics, and issues in the related study.</w:t>
      </w:r>
    </w:p>
    <w:p w14:paraId="685C053C" w14:textId="063E70D0" w:rsidR="000663AA" w:rsidRDefault="000663AA" w:rsidP="000663AA">
      <w:pPr>
        <w:pStyle w:val="ListParagraph"/>
        <w:tabs>
          <w:tab w:val="left" w:pos="426"/>
        </w:tabs>
        <w:spacing w:line="240" w:lineRule="auto"/>
        <w:ind w:left="0"/>
        <w:jc w:val="both"/>
        <w:rPr>
          <w:rFonts w:ascii="Times New Roman" w:hAnsi="Times New Roman" w:cs="Times New Roman"/>
          <w:b/>
          <w:bCs/>
          <w:sz w:val="24"/>
          <w:szCs w:val="24"/>
        </w:rPr>
      </w:pPr>
    </w:p>
    <w:p w14:paraId="247A9CC1" w14:textId="0EDC4CA4" w:rsidR="00B9647D" w:rsidRDefault="00B9647D" w:rsidP="000663AA">
      <w:pPr>
        <w:pStyle w:val="ListParagraph"/>
        <w:tabs>
          <w:tab w:val="left" w:pos="426"/>
        </w:tabs>
        <w:spacing w:line="240" w:lineRule="auto"/>
        <w:ind w:left="0"/>
        <w:jc w:val="both"/>
        <w:rPr>
          <w:rFonts w:ascii="Times New Roman" w:hAnsi="Times New Roman" w:cs="Times New Roman"/>
          <w:b/>
          <w:bCs/>
          <w:sz w:val="24"/>
          <w:szCs w:val="24"/>
        </w:rPr>
      </w:pPr>
    </w:p>
    <w:p w14:paraId="3474EFB8" w14:textId="051D2BE8" w:rsidR="00B9647D" w:rsidRDefault="00B9647D" w:rsidP="000663AA">
      <w:pPr>
        <w:pStyle w:val="ListParagraph"/>
        <w:tabs>
          <w:tab w:val="left" w:pos="426"/>
        </w:tabs>
        <w:spacing w:line="240" w:lineRule="auto"/>
        <w:ind w:left="0"/>
        <w:jc w:val="both"/>
        <w:rPr>
          <w:rFonts w:ascii="Times New Roman" w:hAnsi="Times New Roman" w:cs="Times New Roman"/>
          <w:b/>
          <w:bCs/>
          <w:sz w:val="24"/>
          <w:szCs w:val="24"/>
        </w:rPr>
      </w:pPr>
    </w:p>
    <w:p w14:paraId="4B2A1063" w14:textId="2EB0FD27" w:rsidR="00B9647D" w:rsidRDefault="00353110" w:rsidP="000663AA">
      <w:pPr>
        <w:pStyle w:val="ListParagraph"/>
        <w:tabs>
          <w:tab w:val="left" w:pos="426"/>
        </w:tabs>
        <w:spacing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FINDINGS DISCUSSION</w:t>
      </w:r>
    </w:p>
    <w:p w14:paraId="4E2FB2B4" w14:textId="77777777" w:rsidR="00197B65" w:rsidRPr="00353110" w:rsidRDefault="008218B0" w:rsidP="000663AA">
      <w:pPr>
        <w:spacing w:line="240" w:lineRule="auto"/>
        <w:jc w:val="both"/>
        <w:rPr>
          <w:rFonts w:ascii="Times New Roman" w:hAnsi="Times New Roman" w:cs="Times New Roman"/>
          <w:b/>
          <w:bCs/>
          <w:sz w:val="24"/>
          <w:szCs w:val="24"/>
        </w:rPr>
      </w:pPr>
      <w:r w:rsidRPr="00353110">
        <w:rPr>
          <w:rFonts w:ascii="Times New Roman" w:hAnsi="Times New Roman" w:cs="Times New Roman"/>
          <w:b/>
          <w:bCs/>
          <w:sz w:val="24"/>
          <w:szCs w:val="24"/>
        </w:rPr>
        <w:t xml:space="preserve">Bibliometrics Analysis </w:t>
      </w:r>
    </w:p>
    <w:p w14:paraId="16E773F1" w14:textId="77777777" w:rsidR="00197B65" w:rsidRPr="0037337F" w:rsidRDefault="008218B0" w:rsidP="000663AA">
      <w:pPr>
        <w:spacing w:line="240" w:lineRule="auto"/>
        <w:ind w:firstLine="425"/>
        <w:jc w:val="both"/>
        <w:rPr>
          <w:rFonts w:ascii="Times New Roman" w:hAnsi="Times New Roman" w:cs="Times New Roman"/>
          <w:sz w:val="24"/>
          <w:szCs w:val="24"/>
          <w:lang w:val="id-ID"/>
        </w:rPr>
      </w:pPr>
      <w:r w:rsidRPr="0037337F">
        <w:rPr>
          <w:rFonts w:ascii="Times New Roman" w:hAnsi="Times New Roman" w:cs="Times New Roman"/>
          <w:sz w:val="24"/>
          <w:szCs w:val="24"/>
        </w:rPr>
        <w:t>A total of 307 scientific publications consisting of 212 articles from various scientific journals, 36 books, 31 book chapters, 22 reviews, 4 editorials, and 4 conference papers were published in Scopus indexed publishers as shown in Figure 2. This data shows that it is based on conceptual and field studies compared to publications in the form of books, chapters, and reviews. The data also confirms that previous studies revealed more of the problems that occur in the field relating to issues of agricultural governance, and policies. Further problems are associated with the role of actors, conservation, and other problems in the agricultural sector, which are the object of this study.</w:t>
      </w:r>
    </w:p>
    <w:p w14:paraId="4857A224" w14:textId="77777777" w:rsidR="00197B65" w:rsidRPr="0037337F" w:rsidRDefault="008218B0" w:rsidP="00353110">
      <w:pPr>
        <w:spacing w:line="240" w:lineRule="auto"/>
        <w:jc w:val="center"/>
        <w:rPr>
          <w:rFonts w:ascii="Times New Roman" w:hAnsi="Times New Roman" w:cs="Times New Roman"/>
          <w:sz w:val="24"/>
          <w:szCs w:val="24"/>
          <w:lang w:val="id-ID"/>
        </w:rPr>
      </w:pPr>
      <w:r w:rsidRPr="0037337F">
        <w:rPr>
          <w:rFonts w:ascii="Times New Roman" w:hAnsi="Times New Roman" w:cs="Times New Roman"/>
          <w:b/>
          <w:noProof/>
          <w:sz w:val="24"/>
          <w:szCs w:val="24"/>
        </w:rPr>
        <w:lastRenderedPageBreak/>
        <w:drawing>
          <wp:inline distT="0" distB="0" distL="0" distR="0" wp14:anchorId="327DC051" wp14:editId="3ECA5EDD">
            <wp:extent cx="4843780" cy="32803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4850200" cy="3284684"/>
                    </a:xfrm>
                    <a:prstGeom prst="rect">
                      <a:avLst/>
                    </a:prstGeom>
                    <a:noFill/>
                    <a:ln>
                      <a:noFill/>
                    </a:ln>
                  </pic:spPr>
                </pic:pic>
              </a:graphicData>
            </a:graphic>
          </wp:inline>
        </w:drawing>
      </w:r>
    </w:p>
    <w:p w14:paraId="64F424C1" w14:textId="74B275DF" w:rsidR="00197B65" w:rsidRPr="0037337F" w:rsidRDefault="008218B0" w:rsidP="00353110">
      <w:pPr>
        <w:spacing w:line="240" w:lineRule="auto"/>
        <w:jc w:val="center"/>
        <w:rPr>
          <w:rFonts w:ascii="Times New Roman" w:hAnsi="Times New Roman" w:cs="Times New Roman"/>
          <w:sz w:val="24"/>
          <w:szCs w:val="24"/>
        </w:rPr>
      </w:pPr>
      <w:r w:rsidRPr="0037337F">
        <w:rPr>
          <w:rFonts w:ascii="Times New Roman" w:hAnsi="Times New Roman" w:cs="Times New Roman"/>
          <w:b/>
          <w:bCs/>
          <w:sz w:val="24"/>
          <w:szCs w:val="24"/>
        </w:rPr>
        <w:t>Fi</w:t>
      </w:r>
      <w:r w:rsidR="00BC521B">
        <w:rPr>
          <w:rFonts w:ascii="Times New Roman" w:hAnsi="Times New Roman" w:cs="Times New Roman"/>
          <w:b/>
          <w:bCs/>
          <w:sz w:val="24"/>
          <w:szCs w:val="24"/>
        </w:rPr>
        <w:t>g</w:t>
      </w:r>
      <w:r w:rsidR="000663AA">
        <w:rPr>
          <w:rFonts w:ascii="Times New Roman" w:hAnsi="Times New Roman" w:cs="Times New Roman"/>
          <w:b/>
          <w:bCs/>
          <w:sz w:val="24"/>
          <w:szCs w:val="24"/>
        </w:rPr>
        <w:t>ure</w:t>
      </w:r>
      <w:r w:rsidRPr="0037337F">
        <w:rPr>
          <w:rFonts w:ascii="Times New Roman" w:hAnsi="Times New Roman" w:cs="Times New Roman"/>
          <w:b/>
          <w:bCs/>
          <w:sz w:val="24"/>
          <w:szCs w:val="24"/>
        </w:rPr>
        <w:t xml:space="preserve"> 2</w:t>
      </w:r>
      <w:r w:rsidR="00BC521B">
        <w:rPr>
          <w:rFonts w:ascii="Times New Roman" w:hAnsi="Times New Roman" w:cs="Times New Roman"/>
          <w:b/>
          <w:bCs/>
          <w:sz w:val="24"/>
          <w:szCs w:val="24"/>
        </w:rPr>
        <w:t>.</w:t>
      </w:r>
      <w:r w:rsidRPr="0037337F">
        <w:rPr>
          <w:rFonts w:ascii="Times New Roman" w:hAnsi="Times New Roman" w:cs="Times New Roman"/>
          <w:sz w:val="24"/>
          <w:szCs w:val="24"/>
        </w:rPr>
        <w:t xml:space="preserve"> Documents by type of publication</w:t>
      </w:r>
    </w:p>
    <w:p w14:paraId="0532EC9D" w14:textId="77777777" w:rsidR="00197B65" w:rsidRPr="0037337F" w:rsidRDefault="008218B0" w:rsidP="000663AA">
      <w:pPr>
        <w:spacing w:line="240" w:lineRule="auto"/>
        <w:ind w:firstLine="425"/>
        <w:jc w:val="both"/>
        <w:rPr>
          <w:rFonts w:ascii="Times New Roman" w:hAnsi="Times New Roman" w:cs="Times New Roman"/>
          <w:b/>
          <w:bCs/>
          <w:sz w:val="24"/>
          <w:szCs w:val="24"/>
          <w:lang w:val="id-ID"/>
        </w:rPr>
      </w:pPr>
      <w:r w:rsidRPr="0037337F">
        <w:rPr>
          <w:rFonts w:ascii="Times New Roman" w:hAnsi="Times New Roman" w:cs="Times New Roman"/>
          <w:sz w:val="24"/>
          <w:szCs w:val="24"/>
        </w:rPr>
        <w:t>The gap in the number of publications between articles and other types of educational studies reveals that the research have not received serious attention from a number of scholars to compile references, both theoretically, conceptually, and practically. Another finding from these data is that conference studies are still not part of the tradition of authors and scholars, which shows that the dissemination of research results on issues or problems related to the social movement of farmers has not been widely conducted. Therefore, the latest research findings have not been widely utilized. Furthermore, this topic has not been disclosed and accessed by authors, scholars, and practitioners in the field of agricultural sector governance.</w:t>
      </w:r>
    </w:p>
    <w:p w14:paraId="0DABF71D" w14:textId="77777777" w:rsidR="00197B65" w:rsidRPr="0037337F" w:rsidRDefault="008218B0" w:rsidP="000663AA">
      <w:pPr>
        <w:spacing w:line="240" w:lineRule="auto"/>
        <w:ind w:firstLine="425"/>
        <w:jc w:val="both"/>
        <w:rPr>
          <w:rFonts w:ascii="Times New Roman" w:hAnsi="Times New Roman" w:cs="Times New Roman"/>
          <w:b/>
          <w:bCs/>
          <w:sz w:val="24"/>
          <w:szCs w:val="24"/>
        </w:rPr>
      </w:pPr>
      <w:r w:rsidRPr="0037337F">
        <w:rPr>
          <w:rFonts w:ascii="Times New Roman" w:hAnsi="Times New Roman" w:cs="Times New Roman"/>
          <w:sz w:val="24"/>
          <w:szCs w:val="24"/>
        </w:rPr>
        <w:t>Although there are gaps in the publication of articles, generally, this topic shows a positive trend, such as an increase in the yearly number of documents, which fluctuated, from 1-6, 10-15, 29, 17-19, 22, 12, 18 and 12 between 1971-2006, 2007-2009, 2010, 2011- 2017, 2015, 2016, 2017-2019, and 2020, respectively as shown in Figure 3.</w:t>
      </w:r>
      <w:r w:rsidRPr="0037337F">
        <w:rPr>
          <w:rFonts w:ascii="Times New Roman" w:hAnsi="Times New Roman" w:cs="Times New Roman"/>
          <w:sz w:val="24"/>
          <w:szCs w:val="24"/>
          <w:lang w:val="id-ID"/>
        </w:rPr>
        <w:t xml:space="preserve"> The fluctuation in the number of published documents shows that th</w:t>
      </w:r>
      <w:r w:rsidRPr="0037337F">
        <w:rPr>
          <w:rFonts w:ascii="Times New Roman" w:hAnsi="Times New Roman" w:cs="Times New Roman"/>
          <w:sz w:val="24"/>
          <w:szCs w:val="24"/>
        </w:rPr>
        <w:t>is</w:t>
      </w:r>
      <w:r w:rsidRPr="0037337F">
        <w:rPr>
          <w:rFonts w:ascii="Times New Roman" w:hAnsi="Times New Roman" w:cs="Times New Roman"/>
          <w:sz w:val="24"/>
          <w:szCs w:val="24"/>
          <w:lang w:val="id-ID"/>
        </w:rPr>
        <w:t xml:space="preserve"> study has not received </w:t>
      </w:r>
      <w:r w:rsidRPr="0037337F">
        <w:rPr>
          <w:rFonts w:ascii="Times New Roman" w:hAnsi="Times New Roman" w:cs="Times New Roman"/>
          <w:sz w:val="24"/>
          <w:szCs w:val="24"/>
        </w:rPr>
        <w:t>adequate</w:t>
      </w:r>
      <w:r w:rsidRPr="0037337F">
        <w:rPr>
          <w:rFonts w:ascii="Times New Roman" w:hAnsi="Times New Roman" w:cs="Times New Roman"/>
          <w:sz w:val="24"/>
          <w:szCs w:val="24"/>
          <w:lang w:val="id-ID"/>
        </w:rPr>
        <w:t xml:space="preserve"> attention from scholars, </w:t>
      </w:r>
      <w:r w:rsidRPr="0037337F">
        <w:rPr>
          <w:rFonts w:ascii="Times New Roman" w:hAnsi="Times New Roman" w:cs="Times New Roman"/>
          <w:sz w:val="24"/>
          <w:szCs w:val="24"/>
        </w:rPr>
        <w:t>authors</w:t>
      </w:r>
      <w:r w:rsidRPr="0037337F">
        <w:rPr>
          <w:rFonts w:ascii="Times New Roman" w:hAnsi="Times New Roman" w:cs="Times New Roman"/>
          <w:sz w:val="24"/>
          <w:szCs w:val="24"/>
          <w:lang w:val="id-ID"/>
        </w:rPr>
        <w:t>, and practitioners, as a conceptual framework for the development of scientific publications that discuss</w:t>
      </w:r>
      <w:r w:rsidRPr="0037337F">
        <w:rPr>
          <w:rFonts w:ascii="Times New Roman" w:hAnsi="Times New Roman" w:cs="Times New Roman"/>
          <w:sz w:val="24"/>
          <w:szCs w:val="24"/>
        </w:rPr>
        <w:t>es</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t>their various</w:t>
      </w:r>
      <w:r w:rsidRPr="0037337F">
        <w:rPr>
          <w:rFonts w:ascii="Times New Roman" w:hAnsi="Times New Roman" w:cs="Times New Roman"/>
          <w:sz w:val="24"/>
          <w:szCs w:val="24"/>
          <w:lang w:val="id-ID"/>
        </w:rPr>
        <w:t xml:space="preserve"> issues.</w:t>
      </w:r>
    </w:p>
    <w:p w14:paraId="1933D03B" w14:textId="77777777" w:rsidR="00197B65" w:rsidRPr="0037337F" w:rsidRDefault="008218B0" w:rsidP="000663AA">
      <w:pPr>
        <w:spacing w:line="240" w:lineRule="auto"/>
        <w:jc w:val="both"/>
        <w:rPr>
          <w:rFonts w:ascii="Times New Roman" w:hAnsi="Times New Roman" w:cs="Times New Roman"/>
          <w:sz w:val="24"/>
          <w:szCs w:val="24"/>
          <w:lang w:val="id-ID"/>
        </w:rPr>
      </w:pPr>
      <w:r w:rsidRPr="0037337F">
        <w:rPr>
          <w:rFonts w:ascii="Times New Roman" w:hAnsi="Times New Roman" w:cs="Times New Roman"/>
          <w:b/>
          <w:noProof/>
          <w:sz w:val="24"/>
          <w:szCs w:val="24"/>
        </w:rPr>
        <w:lastRenderedPageBreak/>
        <w:drawing>
          <wp:inline distT="0" distB="0" distL="0" distR="0" wp14:anchorId="63EFAE7A" wp14:editId="7D056DE3">
            <wp:extent cx="5732780" cy="434721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5732780" cy="4347210"/>
                    </a:xfrm>
                    <a:prstGeom prst="rect">
                      <a:avLst/>
                    </a:prstGeom>
                    <a:noFill/>
                    <a:ln>
                      <a:noFill/>
                    </a:ln>
                  </pic:spPr>
                </pic:pic>
              </a:graphicData>
            </a:graphic>
          </wp:inline>
        </w:drawing>
      </w:r>
    </w:p>
    <w:p w14:paraId="73C81FDA" w14:textId="7A0F2157" w:rsidR="00197B65" w:rsidRPr="0037337F" w:rsidRDefault="008218B0" w:rsidP="00353110">
      <w:pPr>
        <w:spacing w:line="240" w:lineRule="auto"/>
        <w:jc w:val="center"/>
        <w:rPr>
          <w:rFonts w:ascii="Times New Roman" w:hAnsi="Times New Roman" w:cs="Times New Roman"/>
          <w:b/>
          <w:bCs/>
          <w:sz w:val="24"/>
          <w:szCs w:val="24"/>
        </w:rPr>
      </w:pPr>
      <w:r w:rsidRPr="0037337F">
        <w:rPr>
          <w:rFonts w:ascii="Times New Roman" w:hAnsi="Times New Roman" w:cs="Times New Roman"/>
          <w:b/>
          <w:bCs/>
          <w:sz w:val="24"/>
          <w:szCs w:val="24"/>
        </w:rPr>
        <w:t>Fig</w:t>
      </w:r>
      <w:r w:rsidR="000663AA">
        <w:rPr>
          <w:rFonts w:ascii="Times New Roman" w:hAnsi="Times New Roman" w:cs="Times New Roman"/>
          <w:b/>
          <w:bCs/>
          <w:sz w:val="24"/>
          <w:szCs w:val="24"/>
        </w:rPr>
        <w:t>ure 3.</w:t>
      </w:r>
      <w:r w:rsidRPr="0037337F">
        <w:rPr>
          <w:rFonts w:ascii="Times New Roman" w:hAnsi="Times New Roman" w:cs="Times New Roman"/>
          <w:b/>
          <w:bCs/>
          <w:sz w:val="24"/>
          <w:szCs w:val="24"/>
        </w:rPr>
        <w:t xml:space="preserve"> </w:t>
      </w:r>
      <w:r w:rsidRPr="0037337F">
        <w:rPr>
          <w:rFonts w:ascii="Times New Roman" w:hAnsi="Times New Roman" w:cs="Times New Roman"/>
          <w:sz w:val="24"/>
          <w:szCs w:val="24"/>
        </w:rPr>
        <w:t>Publication Trends "Farmers Social Movement"</w:t>
      </w:r>
    </w:p>
    <w:p w14:paraId="5F7AE5C7" w14:textId="77777777" w:rsidR="00197B65" w:rsidRPr="0037337F" w:rsidRDefault="008218B0" w:rsidP="000663AA">
      <w:pPr>
        <w:spacing w:line="240" w:lineRule="auto"/>
        <w:ind w:firstLine="425"/>
        <w:jc w:val="both"/>
        <w:rPr>
          <w:rFonts w:ascii="Times New Roman" w:hAnsi="Times New Roman" w:cs="Times New Roman"/>
          <w:sz w:val="24"/>
          <w:szCs w:val="24"/>
          <w:lang w:val="id-ID"/>
        </w:rPr>
      </w:pPr>
      <w:r w:rsidRPr="0037337F">
        <w:rPr>
          <w:rFonts w:ascii="Times New Roman" w:hAnsi="Times New Roman" w:cs="Times New Roman"/>
          <w:sz w:val="24"/>
          <w:szCs w:val="24"/>
        </w:rPr>
        <w:t xml:space="preserve">Developed countries, such as the United States (111 documents), the United Kingdom (34 documents), and Canada (24 documents) are concerned on the study of farmers' social movements. Other countries that have also paid important attention to problems in the agricultural sector are Brazil (16 documents), Netherlands (15 documents), India (13 documents), Italy (13 documents), Spain (13 documents), and Australia (13 documents), as shown in figure 3. These countries pay serious attention to research, publication, and dissemination of reports focused on agricultural issues related to governance, agroecology, conservation, sustainable environment, production, and sustainable ecosystems. India is one country that also focuses on issues of farmers' rights, resistance, social movements, networks, land grabbing, and other sociological issues. The attentions of this country to these sociological issues are inseparable from the problems of its farmers, which are related to the state appropriation of farmers’ land, injustice, and poverty. Sociological issues are also widely discussed and studied by other countries such as Sweden, China, Germany, Mexico, Ireland, Colombia, Czech Republic, France, Poland, Denmark, New Zealand, Norway, Switzerland, Austria, Finland, Indonesia, Israel, South Africa, Barbados, Belgium, Chile, Hungary, Kiribati, Malawi, Nigeria, Portugal, and Thailand. </w:t>
      </w:r>
    </w:p>
    <w:p w14:paraId="08CDFF9A" w14:textId="77777777" w:rsidR="00197B65" w:rsidRPr="0037337F" w:rsidRDefault="008218B0" w:rsidP="00353110">
      <w:pPr>
        <w:spacing w:line="240" w:lineRule="auto"/>
        <w:jc w:val="center"/>
        <w:rPr>
          <w:rFonts w:ascii="Times New Roman" w:hAnsi="Times New Roman" w:cs="Times New Roman"/>
          <w:sz w:val="24"/>
          <w:szCs w:val="24"/>
          <w:lang w:val="id-ID"/>
        </w:rPr>
      </w:pPr>
      <w:r w:rsidRPr="0037337F">
        <w:rPr>
          <w:rFonts w:ascii="Times New Roman" w:hAnsi="Times New Roman" w:cs="Times New Roman"/>
          <w:b/>
          <w:noProof/>
          <w:sz w:val="24"/>
          <w:szCs w:val="24"/>
        </w:rPr>
        <w:lastRenderedPageBreak/>
        <w:drawing>
          <wp:inline distT="0" distB="0" distL="0" distR="0" wp14:anchorId="54558910" wp14:editId="2EA39A23">
            <wp:extent cx="4612365" cy="56661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4619243" cy="5674554"/>
                    </a:xfrm>
                    <a:prstGeom prst="rect">
                      <a:avLst/>
                    </a:prstGeom>
                    <a:noFill/>
                    <a:ln>
                      <a:noFill/>
                    </a:ln>
                  </pic:spPr>
                </pic:pic>
              </a:graphicData>
            </a:graphic>
          </wp:inline>
        </w:drawing>
      </w:r>
    </w:p>
    <w:p w14:paraId="61D37788" w14:textId="29AC6B9E" w:rsidR="00197B65" w:rsidRPr="0037337F" w:rsidRDefault="008218B0" w:rsidP="00353110">
      <w:pPr>
        <w:spacing w:line="240" w:lineRule="auto"/>
        <w:jc w:val="center"/>
        <w:rPr>
          <w:rFonts w:ascii="Times New Roman" w:hAnsi="Times New Roman" w:cs="Times New Roman"/>
          <w:b/>
          <w:bCs/>
          <w:sz w:val="24"/>
          <w:szCs w:val="24"/>
        </w:rPr>
      </w:pPr>
      <w:r w:rsidRPr="0037337F">
        <w:rPr>
          <w:rFonts w:ascii="Times New Roman" w:hAnsi="Times New Roman" w:cs="Times New Roman"/>
          <w:b/>
          <w:bCs/>
          <w:sz w:val="24"/>
          <w:szCs w:val="24"/>
        </w:rPr>
        <w:t>Fig</w:t>
      </w:r>
      <w:r w:rsidR="000663AA">
        <w:rPr>
          <w:rFonts w:ascii="Times New Roman" w:hAnsi="Times New Roman" w:cs="Times New Roman"/>
          <w:b/>
          <w:bCs/>
          <w:sz w:val="24"/>
          <w:szCs w:val="24"/>
        </w:rPr>
        <w:t>ure</w:t>
      </w:r>
      <w:r w:rsidRPr="0037337F">
        <w:rPr>
          <w:rFonts w:ascii="Times New Roman" w:hAnsi="Times New Roman" w:cs="Times New Roman"/>
          <w:b/>
          <w:bCs/>
          <w:sz w:val="24"/>
          <w:szCs w:val="24"/>
        </w:rPr>
        <w:t xml:space="preserve"> 4</w:t>
      </w:r>
      <w:r w:rsidR="00BC521B">
        <w:rPr>
          <w:rFonts w:ascii="Times New Roman" w:hAnsi="Times New Roman" w:cs="Times New Roman"/>
          <w:b/>
          <w:bCs/>
          <w:sz w:val="24"/>
          <w:szCs w:val="24"/>
        </w:rPr>
        <w:t>.</w:t>
      </w:r>
      <w:r w:rsidRPr="0037337F">
        <w:rPr>
          <w:rFonts w:ascii="Times New Roman" w:hAnsi="Times New Roman" w:cs="Times New Roman"/>
          <w:b/>
          <w:bCs/>
          <w:sz w:val="24"/>
          <w:szCs w:val="24"/>
        </w:rPr>
        <w:t xml:space="preserve"> </w:t>
      </w:r>
      <w:r w:rsidRPr="0037337F">
        <w:rPr>
          <w:rFonts w:ascii="Times New Roman" w:hAnsi="Times New Roman" w:cs="Times New Roman"/>
          <w:sz w:val="24"/>
          <w:szCs w:val="24"/>
        </w:rPr>
        <w:t>Publication "Farmers Social Movement" by country</w:t>
      </w:r>
    </w:p>
    <w:p w14:paraId="089D8C47" w14:textId="77777777" w:rsidR="00197B65" w:rsidRPr="0037337F" w:rsidRDefault="008218B0" w:rsidP="000663AA">
      <w:pPr>
        <w:spacing w:line="240" w:lineRule="auto"/>
        <w:ind w:firstLine="425"/>
        <w:jc w:val="both"/>
        <w:rPr>
          <w:rFonts w:ascii="Times New Roman" w:hAnsi="Times New Roman" w:cs="Times New Roman"/>
          <w:sz w:val="24"/>
          <w:szCs w:val="24"/>
        </w:rPr>
      </w:pPr>
      <w:r w:rsidRPr="0037337F">
        <w:rPr>
          <w:rFonts w:ascii="Times New Roman" w:hAnsi="Times New Roman" w:cs="Times New Roman"/>
          <w:sz w:val="24"/>
          <w:szCs w:val="24"/>
        </w:rPr>
        <w:t xml:space="preserve">Five clusters of scholars have contributed significantly to the production of scientific publications on this study. The first cluster comprises of Herring J.R, Svia V., Scones I., and Scoot J.C. The second is Mukherji R., Joshi, S., Gupta, D., Omvedt, G., Chatterjee, P., Escobar, A, and Marx, K. The third is Kneafsey, Moore, O, Allen, P, Guthman. , J., Altieri, MA, Mcmichael, P, Miller, D, and Mooney, PH. The fourth is Harvey, D, Barnhurst, KG, and Neveu, E. And the fifth is Doylet, T, Smith, J, Malucci, A, Tilly, C, Rootes, C, Diani, M, Mcadam, D, Pinard, M, Snow, DA, Opp, KD, Sabucedo, JM, and Hunt, SA, as shown in Figure 4. The five clusters of writers are a collection of scholars and authors that play an active role in carrying out research activities and scientific publications on various farming related issues. Furthermore, the five clusters have different objects of study and orientation tailored to the discipline and expertise of each author. Although there are differences in the object and orientation, each cluster has a relationship with one another. </w:t>
      </w:r>
    </w:p>
    <w:p w14:paraId="1F1B3A8A" w14:textId="77777777" w:rsidR="00197B65" w:rsidRPr="0037337F" w:rsidRDefault="008218B0" w:rsidP="00353110">
      <w:pPr>
        <w:spacing w:line="240" w:lineRule="auto"/>
        <w:jc w:val="center"/>
        <w:rPr>
          <w:rFonts w:ascii="Times New Roman" w:hAnsi="Times New Roman" w:cs="Times New Roman"/>
          <w:sz w:val="24"/>
          <w:szCs w:val="24"/>
          <w:lang w:val="id-ID"/>
        </w:rPr>
      </w:pPr>
      <w:r w:rsidRPr="0037337F">
        <w:rPr>
          <w:rFonts w:ascii="Times New Roman" w:hAnsi="Times New Roman" w:cs="Times New Roman"/>
          <w:noProof/>
          <w:sz w:val="24"/>
          <w:szCs w:val="24"/>
        </w:rPr>
        <w:lastRenderedPageBreak/>
        <w:drawing>
          <wp:inline distT="0" distB="0" distL="0" distR="0" wp14:anchorId="4665D734" wp14:editId="4BFDC054">
            <wp:extent cx="5732780" cy="3728085"/>
            <wp:effectExtent l="0" t="0" r="127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2780" cy="3728085"/>
                    </a:xfrm>
                    <a:prstGeom prst="rect">
                      <a:avLst/>
                    </a:prstGeom>
                    <a:noFill/>
                    <a:ln>
                      <a:noFill/>
                    </a:ln>
                  </pic:spPr>
                </pic:pic>
              </a:graphicData>
            </a:graphic>
          </wp:inline>
        </w:drawing>
      </w:r>
    </w:p>
    <w:p w14:paraId="72A18331" w14:textId="683D6823" w:rsidR="00197B65" w:rsidRPr="0037337F" w:rsidRDefault="008218B0" w:rsidP="00353110">
      <w:pPr>
        <w:spacing w:line="240" w:lineRule="auto"/>
        <w:jc w:val="center"/>
        <w:rPr>
          <w:rFonts w:ascii="Times New Roman" w:hAnsi="Times New Roman" w:cs="Times New Roman"/>
          <w:b/>
          <w:bCs/>
          <w:sz w:val="24"/>
          <w:szCs w:val="24"/>
        </w:rPr>
      </w:pPr>
      <w:r w:rsidRPr="0037337F">
        <w:rPr>
          <w:rFonts w:ascii="Times New Roman" w:hAnsi="Times New Roman" w:cs="Times New Roman"/>
          <w:b/>
          <w:bCs/>
          <w:sz w:val="24"/>
          <w:szCs w:val="24"/>
        </w:rPr>
        <w:t>Fig</w:t>
      </w:r>
      <w:r w:rsidR="000663AA">
        <w:rPr>
          <w:rFonts w:ascii="Times New Roman" w:hAnsi="Times New Roman" w:cs="Times New Roman"/>
          <w:b/>
          <w:bCs/>
          <w:sz w:val="24"/>
          <w:szCs w:val="24"/>
        </w:rPr>
        <w:t>ure</w:t>
      </w:r>
      <w:r w:rsidRPr="0037337F">
        <w:rPr>
          <w:rFonts w:ascii="Times New Roman" w:hAnsi="Times New Roman" w:cs="Times New Roman"/>
          <w:b/>
          <w:bCs/>
          <w:sz w:val="24"/>
          <w:szCs w:val="24"/>
        </w:rPr>
        <w:t xml:space="preserve"> 5</w:t>
      </w:r>
      <w:r w:rsidR="00BC521B">
        <w:rPr>
          <w:rFonts w:ascii="Times New Roman" w:hAnsi="Times New Roman" w:cs="Times New Roman"/>
          <w:b/>
          <w:bCs/>
          <w:sz w:val="24"/>
          <w:szCs w:val="24"/>
        </w:rPr>
        <w:t>.</w:t>
      </w:r>
      <w:r w:rsidRPr="0037337F">
        <w:rPr>
          <w:rFonts w:ascii="Times New Roman" w:hAnsi="Times New Roman" w:cs="Times New Roman"/>
          <w:b/>
          <w:bCs/>
          <w:sz w:val="24"/>
          <w:szCs w:val="24"/>
        </w:rPr>
        <w:t xml:space="preserve"> </w:t>
      </w:r>
      <w:r w:rsidRPr="0037337F">
        <w:rPr>
          <w:rFonts w:ascii="Times New Roman" w:hAnsi="Times New Roman" w:cs="Times New Roman"/>
          <w:sz w:val="24"/>
          <w:szCs w:val="24"/>
        </w:rPr>
        <w:t>Authorship "Farmers Social Movement."</w:t>
      </w:r>
    </w:p>
    <w:p w14:paraId="3932DE72" w14:textId="77777777" w:rsidR="00197B65" w:rsidRPr="0037337F" w:rsidRDefault="008218B0" w:rsidP="000663AA">
      <w:pPr>
        <w:spacing w:line="240" w:lineRule="auto"/>
        <w:ind w:firstLine="425"/>
        <w:jc w:val="both"/>
        <w:rPr>
          <w:rFonts w:ascii="Times New Roman" w:hAnsi="Times New Roman" w:cs="Times New Roman"/>
          <w:b/>
          <w:bCs/>
          <w:i/>
          <w:iCs/>
          <w:sz w:val="24"/>
          <w:szCs w:val="24"/>
        </w:rPr>
      </w:pPr>
      <w:r w:rsidRPr="0037337F">
        <w:rPr>
          <w:rFonts w:ascii="Times New Roman" w:hAnsi="Times New Roman" w:cs="Times New Roman"/>
          <w:sz w:val="24"/>
          <w:szCs w:val="24"/>
        </w:rPr>
        <w:t>The first cluster indicates that this study focuses on farmers’ socio-political movement, agricultural development and production, environmental conservation, economy, agriculture and sustainable environment. Herring JR is the author with the most produced scientific publications on these issues. Herring JR’s publications have been quoted by many other authors, including those from other clusters. The focus of the second cluster study is related to issues of socio-political movements, farmers’ ideology, and resistance to the state. The focus of the third cluster study is related to the issue of agroecology, namely agricultural governance that is environmentally sustainable and based on collaboration, synergy, and a network of stakeholders in carrying out agricultural policy governance activities. The focus of the fourth cluster study is related to the concepts of the farmers’ social movement, which includes strategies, forms, and models in fighting for their rights, aspirations, and demands from the state. The focus of the fifth cluster study is related to the process and dynamics of farmers.</w:t>
      </w:r>
    </w:p>
    <w:p w14:paraId="6D0AFA56" w14:textId="77777777" w:rsidR="00784B6E" w:rsidRDefault="00784B6E" w:rsidP="000663AA">
      <w:pPr>
        <w:spacing w:line="240" w:lineRule="auto"/>
        <w:jc w:val="both"/>
        <w:rPr>
          <w:rFonts w:ascii="Times New Roman" w:hAnsi="Times New Roman" w:cs="Times New Roman"/>
          <w:b/>
          <w:bCs/>
          <w:i/>
          <w:iCs/>
          <w:sz w:val="24"/>
          <w:szCs w:val="24"/>
        </w:rPr>
      </w:pPr>
    </w:p>
    <w:p w14:paraId="6F8C87C3" w14:textId="3A167213" w:rsidR="00197B65" w:rsidRPr="00353110" w:rsidRDefault="008218B0" w:rsidP="000663AA">
      <w:pPr>
        <w:spacing w:line="240" w:lineRule="auto"/>
        <w:jc w:val="both"/>
        <w:rPr>
          <w:rFonts w:ascii="Times New Roman" w:hAnsi="Times New Roman" w:cs="Times New Roman"/>
          <w:b/>
          <w:bCs/>
          <w:sz w:val="24"/>
          <w:szCs w:val="24"/>
        </w:rPr>
      </w:pPr>
      <w:r w:rsidRPr="00353110">
        <w:rPr>
          <w:rFonts w:ascii="Times New Roman" w:hAnsi="Times New Roman" w:cs="Times New Roman"/>
          <w:b/>
          <w:bCs/>
          <w:sz w:val="24"/>
          <w:szCs w:val="24"/>
        </w:rPr>
        <w:t>Dominant Concepts and Issues in the Study of Farmers Social Movement</w:t>
      </w:r>
    </w:p>
    <w:p w14:paraId="7D41478F" w14:textId="5932AFD3" w:rsidR="00197B65" w:rsidRDefault="008218B0" w:rsidP="000663AA">
      <w:pPr>
        <w:spacing w:line="240" w:lineRule="auto"/>
        <w:ind w:firstLine="425"/>
        <w:jc w:val="both"/>
        <w:rPr>
          <w:rFonts w:ascii="Times New Roman" w:hAnsi="Times New Roman" w:cs="Times New Roman"/>
          <w:sz w:val="24"/>
          <w:szCs w:val="24"/>
        </w:rPr>
      </w:pPr>
      <w:r w:rsidRPr="0037337F">
        <w:rPr>
          <w:rFonts w:ascii="Times New Roman" w:hAnsi="Times New Roman" w:cs="Times New Roman"/>
          <w:sz w:val="24"/>
          <w:szCs w:val="24"/>
        </w:rPr>
        <w:t xml:space="preserve">Based on the content analysis results of 289 studies using Vosviewer, the dominant concepts and issues in this study, which consist of the movement, governance, power, networks, processes, challenges and movement systems, development, actor relations, political influence, behavior and collective awareness, movement effectiveness, the role of decision-makers, the impact of the movement, dynamics and conflicts, the role of actors, civil society, resistance and power, justice, conservation, initiatives and innovations, and activist movements, are shown in Figure 6. A number of these dominant concepts and issues have been the center of attention in previous studies, </w:t>
      </w:r>
      <w:r w:rsidRPr="0037337F">
        <w:rPr>
          <w:rFonts w:ascii="Times New Roman" w:hAnsi="Times New Roman" w:cs="Times New Roman"/>
          <w:sz w:val="24"/>
          <w:szCs w:val="24"/>
        </w:rPr>
        <w:lastRenderedPageBreak/>
        <w:t>which illustrate the study’s objective related to agricultural governance. Furthermore, this</w:t>
      </w:r>
      <w:r w:rsidRPr="0037337F">
        <w:rPr>
          <w:rFonts w:ascii="Times New Roman" w:hAnsi="Times New Roman" w:cs="Times New Roman"/>
          <w:sz w:val="24"/>
          <w:szCs w:val="24"/>
          <w:lang w:val="id-ID"/>
        </w:rPr>
        <w:t xml:space="preserve"> involv</w:t>
      </w:r>
      <w:r w:rsidRPr="0037337F">
        <w:rPr>
          <w:rFonts w:ascii="Times New Roman" w:hAnsi="Times New Roman" w:cs="Times New Roman"/>
          <w:sz w:val="24"/>
          <w:szCs w:val="24"/>
        </w:rPr>
        <w:t>es</w:t>
      </w:r>
      <w:r w:rsidRPr="0037337F">
        <w:rPr>
          <w:rFonts w:ascii="Times New Roman" w:hAnsi="Times New Roman" w:cs="Times New Roman"/>
          <w:sz w:val="24"/>
          <w:szCs w:val="24"/>
          <w:lang w:val="id-ID"/>
        </w:rPr>
        <w:t xml:space="preserve"> many actors </w:t>
      </w:r>
      <w:r w:rsidRPr="0037337F">
        <w:rPr>
          <w:rFonts w:ascii="Times New Roman" w:hAnsi="Times New Roman" w:cs="Times New Roman"/>
          <w:sz w:val="24"/>
          <w:szCs w:val="24"/>
        </w:rPr>
        <w:t>that</w:t>
      </w:r>
      <w:r w:rsidRPr="0037337F">
        <w:rPr>
          <w:rFonts w:ascii="Times New Roman" w:hAnsi="Times New Roman" w:cs="Times New Roman"/>
          <w:sz w:val="24"/>
          <w:szCs w:val="24"/>
          <w:lang w:val="id-ID"/>
        </w:rPr>
        <w:t xml:space="preserve"> communicate to build political networks and power in influencing decision-making processes that impact the agricultural sector, including conservation, agroecology, land use, forests, rural areas, and the development of tourism.</w:t>
      </w:r>
      <w:r w:rsidRPr="0037337F">
        <w:rPr>
          <w:rFonts w:ascii="Times New Roman" w:hAnsi="Times New Roman" w:cs="Times New Roman"/>
          <w:sz w:val="24"/>
          <w:szCs w:val="24"/>
        </w:rPr>
        <w:t xml:space="preserve"> </w:t>
      </w:r>
    </w:p>
    <w:p w14:paraId="089011CA" w14:textId="77777777" w:rsidR="00784B6E" w:rsidRPr="0037337F" w:rsidRDefault="00784B6E" w:rsidP="000663AA">
      <w:pPr>
        <w:spacing w:line="240" w:lineRule="auto"/>
        <w:ind w:firstLine="425"/>
        <w:jc w:val="both"/>
        <w:rPr>
          <w:rFonts w:ascii="Times New Roman" w:hAnsi="Times New Roman" w:cs="Times New Roman"/>
          <w:sz w:val="24"/>
          <w:szCs w:val="24"/>
        </w:rPr>
      </w:pPr>
    </w:p>
    <w:p w14:paraId="4C6345BD" w14:textId="77777777" w:rsidR="00197B65" w:rsidRPr="0037337F" w:rsidRDefault="008218B0" w:rsidP="00353110">
      <w:pPr>
        <w:spacing w:line="240" w:lineRule="auto"/>
        <w:jc w:val="center"/>
        <w:rPr>
          <w:rFonts w:ascii="Times New Roman" w:hAnsi="Times New Roman" w:cs="Times New Roman"/>
          <w:sz w:val="24"/>
          <w:szCs w:val="24"/>
          <w:lang w:val="id-ID"/>
        </w:rPr>
      </w:pPr>
      <w:r w:rsidRPr="0037337F">
        <w:rPr>
          <w:rFonts w:ascii="Times New Roman" w:hAnsi="Times New Roman" w:cs="Times New Roman"/>
          <w:noProof/>
          <w:sz w:val="24"/>
          <w:szCs w:val="24"/>
        </w:rPr>
        <w:drawing>
          <wp:inline distT="0" distB="0" distL="0" distR="0" wp14:anchorId="60C83992" wp14:editId="62DAA5C9">
            <wp:extent cx="5357495" cy="348828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73916" cy="3498976"/>
                    </a:xfrm>
                    <a:prstGeom prst="rect">
                      <a:avLst/>
                    </a:prstGeom>
                    <a:noFill/>
                    <a:ln>
                      <a:noFill/>
                    </a:ln>
                  </pic:spPr>
                </pic:pic>
              </a:graphicData>
            </a:graphic>
          </wp:inline>
        </w:drawing>
      </w:r>
    </w:p>
    <w:p w14:paraId="17774931" w14:textId="2558F2D5" w:rsidR="00197B65" w:rsidRPr="0037337F" w:rsidRDefault="008218B0" w:rsidP="00353110">
      <w:pPr>
        <w:spacing w:line="240" w:lineRule="auto"/>
        <w:jc w:val="center"/>
        <w:rPr>
          <w:rFonts w:ascii="Times New Roman" w:hAnsi="Times New Roman" w:cs="Times New Roman"/>
          <w:sz w:val="24"/>
          <w:szCs w:val="24"/>
        </w:rPr>
      </w:pPr>
      <w:r w:rsidRPr="0037337F">
        <w:rPr>
          <w:rFonts w:ascii="Times New Roman" w:hAnsi="Times New Roman" w:cs="Times New Roman"/>
          <w:b/>
          <w:bCs/>
          <w:sz w:val="24"/>
          <w:szCs w:val="24"/>
        </w:rPr>
        <w:t>Fig</w:t>
      </w:r>
      <w:r w:rsidR="000663AA">
        <w:rPr>
          <w:rFonts w:ascii="Times New Roman" w:hAnsi="Times New Roman" w:cs="Times New Roman"/>
          <w:b/>
          <w:bCs/>
          <w:sz w:val="24"/>
          <w:szCs w:val="24"/>
        </w:rPr>
        <w:t>ure</w:t>
      </w:r>
      <w:r w:rsidR="00BC521B">
        <w:rPr>
          <w:rFonts w:ascii="Times New Roman" w:hAnsi="Times New Roman" w:cs="Times New Roman"/>
          <w:b/>
          <w:bCs/>
          <w:sz w:val="24"/>
          <w:szCs w:val="24"/>
        </w:rPr>
        <w:t xml:space="preserve"> </w:t>
      </w:r>
      <w:r w:rsidRPr="0037337F">
        <w:rPr>
          <w:rFonts w:ascii="Times New Roman" w:hAnsi="Times New Roman" w:cs="Times New Roman"/>
          <w:b/>
          <w:bCs/>
          <w:sz w:val="24"/>
          <w:szCs w:val="24"/>
        </w:rPr>
        <w:t>6</w:t>
      </w:r>
      <w:r w:rsidR="00BC521B">
        <w:rPr>
          <w:rFonts w:ascii="Times New Roman" w:hAnsi="Times New Roman" w:cs="Times New Roman"/>
          <w:b/>
          <w:bCs/>
          <w:sz w:val="24"/>
          <w:szCs w:val="24"/>
        </w:rPr>
        <w:t xml:space="preserve">. </w:t>
      </w:r>
      <w:r w:rsidRPr="0037337F">
        <w:rPr>
          <w:rFonts w:ascii="Times New Roman" w:hAnsi="Times New Roman" w:cs="Times New Roman"/>
          <w:sz w:val="24"/>
          <w:szCs w:val="24"/>
        </w:rPr>
        <w:t>The dominant concept in the study "Farmers Social Movement."</w:t>
      </w:r>
    </w:p>
    <w:p w14:paraId="563F94FF" w14:textId="77777777" w:rsidR="00197B65" w:rsidRPr="0037337F" w:rsidRDefault="008218B0" w:rsidP="000663AA">
      <w:pPr>
        <w:spacing w:line="240" w:lineRule="auto"/>
        <w:ind w:firstLine="425"/>
        <w:jc w:val="both"/>
        <w:rPr>
          <w:rFonts w:ascii="Times New Roman" w:hAnsi="Times New Roman" w:cs="Times New Roman"/>
          <w:sz w:val="24"/>
          <w:szCs w:val="24"/>
          <w:lang w:val="id-ID"/>
        </w:rPr>
      </w:pPr>
      <w:r w:rsidRPr="0037337F">
        <w:rPr>
          <w:rFonts w:ascii="Times New Roman" w:hAnsi="Times New Roman" w:cs="Times New Roman"/>
          <w:sz w:val="24"/>
          <w:szCs w:val="24"/>
        </w:rPr>
        <w:t xml:space="preserve">Based on the dominant concepts and issues previously mentioned, this study is related to the disciplines of political sociology, environmental, and agricultural sciences. Concepts and issues directly related to the discipline of sociology, include social movements, conflict dynamics, the role of actors, civil society movements, power, political networks and influence, resistance, justice, communication, actor relations, and challenges. A number of these concepts and issues are the object of study which are part of the discipline of sociology widely used to explain cases of farmers’ community resistance to the state in various cases. Some of these cases include the expropriation of farmers land by the state, discriminating their rights to state policies, and the state's neglect of their needs and aspirations. In the context of environmental science, this study is related to the concepts and issues of conservation of agricultural areas, sustainable environment, conservation of protected areas, forestry, and environmental crisis management. Concepts and issues in this study are also related to agricultural science, namely biotechnology, agroecology, consumerism, rice fields, and rural areas. The linkage of this study with the discipline of agricultural science is a unified system that clearly shows that the object is directly related to agricultural problems in rural areas. </w:t>
      </w:r>
    </w:p>
    <w:p w14:paraId="6043DD51" w14:textId="77777777" w:rsidR="00197B65" w:rsidRPr="0037337F" w:rsidRDefault="008218B0" w:rsidP="000663AA">
      <w:pPr>
        <w:spacing w:line="240" w:lineRule="auto"/>
        <w:ind w:firstLine="425"/>
        <w:jc w:val="both"/>
        <w:rPr>
          <w:rFonts w:ascii="Times New Roman" w:hAnsi="Times New Roman" w:cs="Times New Roman"/>
          <w:sz w:val="24"/>
          <w:szCs w:val="24"/>
        </w:rPr>
      </w:pPr>
      <w:r w:rsidRPr="0037337F">
        <w:rPr>
          <w:rFonts w:ascii="Times New Roman" w:hAnsi="Times New Roman" w:cs="Times New Roman"/>
          <w:sz w:val="24"/>
          <w:szCs w:val="24"/>
        </w:rPr>
        <w:t xml:space="preserve">The characteristics of the dominant concepts and issues in this study, is in accordance with the disciplines of sociology, environmental and agricultural sciences, which illustrate that the concepts and issues discussed are a unity of farmer problems. Environmental issues and </w:t>
      </w:r>
      <w:r w:rsidRPr="0037337F">
        <w:rPr>
          <w:rFonts w:ascii="Times New Roman" w:hAnsi="Times New Roman" w:cs="Times New Roman"/>
          <w:sz w:val="24"/>
          <w:szCs w:val="24"/>
        </w:rPr>
        <w:lastRenderedPageBreak/>
        <w:t>agricultural affairs are inseparable ecosystems. Characteristics of concepts and issues in the study of farmer social movements emphasize that it is directly related to the efforts of farmers to fight for rights, access, and justice which are expected to affect the responsiveness of the state and the private sector in formulating policies and regulations that are in favor of the interests of farmers for sustainable environment, and agricultural ecosystems.</w:t>
      </w:r>
      <w:r w:rsidRPr="0037337F">
        <w:rPr>
          <w:rFonts w:ascii="Times New Roman" w:hAnsi="Times New Roman" w:cs="Times New Roman"/>
          <w:sz w:val="24"/>
          <w:szCs w:val="24"/>
          <w:lang w:val="id-ID"/>
        </w:rPr>
        <w:t xml:space="preserve"> The formulation of the dominant concepts and issues in the study of the farmer's social movement is distributed into three clusters, namely the social movement and governance, the community and agricultural system, and the stakeholder relationship and agricultural products</w:t>
      </w:r>
      <w:r w:rsidRPr="0037337F">
        <w:rPr>
          <w:rFonts w:ascii="Times New Roman" w:hAnsi="Times New Roman" w:cs="Times New Roman"/>
          <w:sz w:val="24"/>
          <w:szCs w:val="24"/>
        </w:rPr>
        <w:t>, as shown in</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t>T</w:t>
      </w:r>
      <w:r w:rsidRPr="0037337F">
        <w:rPr>
          <w:rFonts w:ascii="Times New Roman" w:hAnsi="Times New Roman" w:cs="Times New Roman"/>
          <w:sz w:val="24"/>
          <w:szCs w:val="24"/>
          <w:lang w:val="id-ID"/>
        </w:rPr>
        <w:t>able 1.</w:t>
      </w:r>
    </w:p>
    <w:p w14:paraId="268E4EBC" w14:textId="121DD359" w:rsidR="00197B65" w:rsidRPr="0037337F" w:rsidRDefault="008218B0" w:rsidP="008739A2">
      <w:pPr>
        <w:spacing w:line="240" w:lineRule="auto"/>
        <w:jc w:val="center"/>
        <w:rPr>
          <w:rFonts w:ascii="Times New Roman" w:hAnsi="Times New Roman" w:cs="Times New Roman"/>
          <w:sz w:val="24"/>
          <w:szCs w:val="24"/>
        </w:rPr>
      </w:pPr>
      <w:r w:rsidRPr="0037337F">
        <w:rPr>
          <w:rFonts w:ascii="Times New Roman" w:hAnsi="Times New Roman" w:cs="Times New Roman"/>
          <w:b/>
          <w:bCs/>
          <w:sz w:val="24"/>
          <w:szCs w:val="24"/>
        </w:rPr>
        <w:t>Table 1</w:t>
      </w:r>
      <w:r w:rsidR="008739A2">
        <w:rPr>
          <w:rFonts w:ascii="Times New Roman" w:hAnsi="Times New Roman" w:cs="Times New Roman"/>
          <w:b/>
          <w:bCs/>
          <w:sz w:val="24"/>
          <w:szCs w:val="24"/>
        </w:rPr>
        <w:t xml:space="preserve">. </w:t>
      </w:r>
      <w:r w:rsidRPr="0037337F">
        <w:rPr>
          <w:rFonts w:ascii="Times New Roman" w:hAnsi="Times New Roman" w:cs="Times New Roman"/>
          <w:sz w:val="24"/>
          <w:szCs w:val="24"/>
        </w:rPr>
        <w:t>Clusterization of the Study Concept of Farmers' Social Movement</w:t>
      </w:r>
    </w:p>
    <w:tbl>
      <w:tblPr>
        <w:tblStyle w:val="TableGrid"/>
        <w:tblW w:w="0" w:type="auto"/>
        <w:jc w:val="center"/>
        <w:tblLook w:val="04A0" w:firstRow="1" w:lastRow="0" w:firstColumn="1" w:lastColumn="0" w:noHBand="0" w:noVBand="1"/>
      </w:tblPr>
      <w:tblGrid>
        <w:gridCol w:w="3256"/>
        <w:gridCol w:w="5244"/>
        <w:gridCol w:w="850"/>
      </w:tblGrid>
      <w:tr w:rsidR="00197B65" w:rsidRPr="0037337F" w14:paraId="104018EA" w14:textId="77777777" w:rsidTr="003D44C2">
        <w:trPr>
          <w:jc w:val="center"/>
        </w:trPr>
        <w:tc>
          <w:tcPr>
            <w:tcW w:w="3256" w:type="dxa"/>
            <w:tcBorders>
              <w:top w:val="single" w:sz="4" w:space="0" w:color="auto"/>
              <w:left w:val="single" w:sz="4" w:space="0" w:color="auto"/>
              <w:bottom w:val="single" w:sz="4" w:space="0" w:color="auto"/>
              <w:right w:val="single" w:sz="4" w:space="0" w:color="auto"/>
            </w:tcBorders>
          </w:tcPr>
          <w:p w14:paraId="3C6F41C3" w14:textId="77777777" w:rsidR="00197B65" w:rsidRPr="0037337F" w:rsidRDefault="008218B0" w:rsidP="0037337F">
            <w:pPr>
              <w:spacing w:line="240" w:lineRule="auto"/>
              <w:ind w:firstLine="567"/>
              <w:rPr>
                <w:rFonts w:ascii="Times New Roman" w:hAnsi="Times New Roman" w:cs="Times New Roman"/>
                <w:b/>
                <w:bCs/>
                <w:sz w:val="24"/>
                <w:szCs w:val="24"/>
              </w:rPr>
            </w:pPr>
            <w:r w:rsidRPr="0037337F">
              <w:rPr>
                <w:rFonts w:ascii="Times New Roman" w:hAnsi="Times New Roman" w:cs="Times New Roman"/>
                <w:b/>
                <w:bCs/>
                <w:sz w:val="24"/>
                <w:szCs w:val="24"/>
              </w:rPr>
              <w:t>Cluster</w:t>
            </w:r>
          </w:p>
        </w:tc>
        <w:tc>
          <w:tcPr>
            <w:tcW w:w="5244" w:type="dxa"/>
            <w:tcBorders>
              <w:top w:val="single" w:sz="4" w:space="0" w:color="auto"/>
              <w:left w:val="single" w:sz="4" w:space="0" w:color="auto"/>
              <w:bottom w:val="single" w:sz="4" w:space="0" w:color="auto"/>
              <w:right w:val="single" w:sz="4" w:space="0" w:color="auto"/>
            </w:tcBorders>
          </w:tcPr>
          <w:p w14:paraId="133AA9EA" w14:textId="77777777" w:rsidR="00197B65" w:rsidRPr="0037337F" w:rsidRDefault="008218B0" w:rsidP="0037337F">
            <w:pPr>
              <w:spacing w:line="240" w:lineRule="auto"/>
              <w:ind w:firstLine="567"/>
              <w:rPr>
                <w:rFonts w:ascii="Times New Roman" w:hAnsi="Times New Roman" w:cs="Times New Roman"/>
                <w:b/>
                <w:bCs/>
                <w:sz w:val="24"/>
                <w:szCs w:val="24"/>
              </w:rPr>
            </w:pPr>
            <w:r w:rsidRPr="0037337F">
              <w:rPr>
                <w:rFonts w:ascii="Times New Roman" w:hAnsi="Times New Roman" w:cs="Times New Roman"/>
                <w:b/>
                <w:bCs/>
                <w:sz w:val="24"/>
                <w:szCs w:val="24"/>
              </w:rPr>
              <w:t>Concepts</w:t>
            </w:r>
          </w:p>
        </w:tc>
        <w:tc>
          <w:tcPr>
            <w:tcW w:w="850" w:type="dxa"/>
            <w:tcBorders>
              <w:top w:val="single" w:sz="4" w:space="0" w:color="auto"/>
              <w:left w:val="single" w:sz="4" w:space="0" w:color="auto"/>
              <w:bottom w:val="single" w:sz="4" w:space="0" w:color="auto"/>
              <w:right w:val="single" w:sz="4" w:space="0" w:color="auto"/>
            </w:tcBorders>
          </w:tcPr>
          <w:p w14:paraId="4C9521D7" w14:textId="77777777" w:rsidR="00197B65" w:rsidRPr="0037337F" w:rsidRDefault="008218B0" w:rsidP="0037337F">
            <w:pPr>
              <w:spacing w:line="240" w:lineRule="auto"/>
              <w:jc w:val="center"/>
              <w:rPr>
                <w:rFonts w:ascii="Times New Roman" w:hAnsi="Times New Roman" w:cs="Times New Roman"/>
                <w:b/>
                <w:bCs/>
                <w:sz w:val="24"/>
                <w:szCs w:val="24"/>
              </w:rPr>
            </w:pPr>
            <w:r w:rsidRPr="0037337F">
              <w:rPr>
                <w:rFonts w:ascii="Times New Roman" w:hAnsi="Times New Roman" w:cs="Times New Roman"/>
                <w:b/>
                <w:bCs/>
                <w:sz w:val="24"/>
                <w:szCs w:val="24"/>
              </w:rPr>
              <w:t>Total</w:t>
            </w:r>
          </w:p>
        </w:tc>
      </w:tr>
      <w:tr w:rsidR="00197B65" w:rsidRPr="0037337F" w14:paraId="2373C459" w14:textId="77777777" w:rsidTr="003D44C2">
        <w:trPr>
          <w:jc w:val="center"/>
        </w:trPr>
        <w:tc>
          <w:tcPr>
            <w:tcW w:w="3256" w:type="dxa"/>
            <w:tcBorders>
              <w:top w:val="single" w:sz="4" w:space="0" w:color="auto"/>
              <w:left w:val="single" w:sz="4" w:space="0" w:color="auto"/>
              <w:bottom w:val="single" w:sz="4" w:space="0" w:color="auto"/>
              <w:right w:val="single" w:sz="4" w:space="0" w:color="auto"/>
            </w:tcBorders>
          </w:tcPr>
          <w:p w14:paraId="06087A64" w14:textId="77777777" w:rsidR="00197B65" w:rsidRPr="0037337F" w:rsidRDefault="008218B0" w:rsidP="0037337F">
            <w:pPr>
              <w:spacing w:line="240" w:lineRule="auto"/>
              <w:rPr>
                <w:rFonts w:ascii="Times New Roman" w:hAnsi="Times New Roman" w:cs="Times New Roman"/>
                <w:sz w:val="24"/>
                <w:szCs w:val="24"/>
              </w:rPr>
            </w:pPr>
            <w:r w:rsidRPr="0037337F">
              <w:rPr>
                <w:rFonts w:ascii="Times New Roman" w:hAnsi="Times New Roman" w:cs="Times New Roman"/>
                <w:sz w:val="24"/>
                <w:szCs w:val="24"/>
              </w:rPr>
              <w:t>Movement and Governance</w:t>
            </w:r>
          </w:p>
        </w:tc>
        <w:tc>
          <w:tcPr>
            <w:tcW w:w="5244" w:type="dxa"/>
            <w:tcBorders>
              <w:top w:val="single" w:sz="4" w:space="0" w:color="auto"/>
              <w:left w:val="single" w:sz="4" w:space="0" w:color="auto"/>
              <w:bottom w:val="single" w:sz="4" w:space="0" w:color="auto"/>
              <w:right w:val="single" w:sz="4" w:space="0" w:color="auto"/>
            </w:tcBorders>
          </w:tcPr>
          <w:p w14:paraId="0E4BF658" w14:textId="77777777" w:rsidR="00197B65" w:rsidRPr="0037337F" w:rsidRDefault="008218B0" w:rsidP="0037337F">
            <w:pPr>
              <w:spacing w:line="240" w:lineRule="auto"/>
              <w:jc w:val="both"/>
              <w:rPr>
                <w:rFonts w:ascii="Times New Roman" w:hAnsi="Times New Roman" w:cs="Times New Roman"/>
                <w:sz w:val="24"/>
                <w:szCs w:val="24"/>
              </w:rPr>
            </w:pPr>
            <w:r w:rsidRPr="0037337F">
              <w:rPr>
                <w:rFonts w:ascii="Times New Roman" w:hAnsi="Times New Roman" w:cs="Times New Roman"/>
                <w:sz w:val="24"/>
                <w:szCs w:val="24"/>
              </w:rPr>
              <w:t>Movement, governance, process, challenge, project, power, network, agenda, initiative, actor, citizen, diversity, field, complexity, emergence, civil society, recognition, justice, struggle, resistance, conflict, dynamic, public, growth, activist, bottom.</w:t>
            </w:r>
          </w:p>
        </w:tc>
        <w:tc>
          <w:tcPr>
            <w:tcW w:w="850" w:type="dxa"/>
            <w:tcBorders>
              <w:top w:val="single" w:sz="4" w:space="0" w:color="auto"/>
              <w:left w:val="single" w:sz="4" w:space="0" w:color="auto"/>
              <w:bottom w:val="single" w:sz="4" w:space="0" w:color="auto"/>
              <w:right w:val="single" w:sz="4" w:space="0" w:color="auto"/>
            </w:tcBorders>
          </w:tcPr>
          <w:p w14:paraId="1336414C" w14:textId="77777777" w:rsidR="00197B65" w:rsidRPr="0037337F" w:rsidRDefault="008218B0" w:rsidP="0037337F">
            <w:pPr>
              <w:spacing w:line="240" w:lineRule="auto"/>
              <w:jc w:val="center"/>
              <w:rPr>
                <w:rFonts w:ascii="Times New Roman" w:hAnsi="Times New Roman" w:cs="Times New Roman"/>
                <w:sz w:val="24"/>
                <w:szCs w:val="24"/>
              </w:rPr>
            </w:pPr>
            <w:r w:rsidRPr="0037337F">
              <w:rPr>
                <w:rFonts w:ascii="Times New Roman" w:hAnsi="Times New Roman" w:cs="Times New Roman"/>
                <w:sz w:val="24"/>
                <w:szCs w:val="24"/>
              </w:rPr>
              <w:t>26</w:t>
            </w:r>
          </w:p>
        </w:tc>
      </w:tr>
      <w:tr w:rsidR="00197B65" w:rsidRPr="0037337F" w14:paraId="5B55BDBB" w14:textId="77777777" w:rsidTr="003D44C2">
        <w:trPr>
          <w:jc w:val="center"/>
        </w:trPr>
        <w:tc>
          <w:tcPr>
            <w:tcW w:w="3256" w:type="dxa"/>
            <w:tcBorders>
              <w:top w:val="single" w:sz="4" w:space="0" w:color="auto"/>
              <w:left w:val="single" w:sz="4" w:space="0" w:color="auto"/>
              <w:bottom w:val="single" w:sz="4" w:space="0" w:color="auto"/>
              <w:right w:val="single" w:sz="4" w:space="0" w:color="auto"/>
            </w:tcBorders>
          </w:tcPr>
          <w:p w14:paraId="2B40459A" w14:textId="77777777" w:rsidR="00197B65" w:rsidRPr="0037337F" w:rsidRDefault="008218B0" w:rsidP="0037337F">
            <w:pPr>
              <w:spacing w:line="240" w:lineRule="auto"/>
              <w:rPr>
                <w:rFonts w:ascii="Times New Roman" w:hAnsi="Times New Roman" w:cs="Times New Roman"/>
                <w:sz w:val="24"/>
                <w:szCs w:val="24"/>
              </w:rPr>
            </w:pPr>
            <w:r w:rsidRPr="0037337F">
              <w:rPr>
                <w:rFonts w:ascii="Times New Roman" w:hAnsi="Times New Roman" w:cs="Times New Roman"/>
                <w:sz w:val="24"/>
                <w:szCs w:val="24"/>
              </w:rPr>
              <w:t xml:space="preserve">Agriculture System </w:t>
            </w:r>
          </w:p>
        </w:tc>
        <w:tc>
          <w:tcPr>
            <w:tcW w:w="5244" w:type="dxa"/>
            <w:tcBorders>
              <w:top w:val="single" w:sz="4" w:space="0" w:color="auto"/>
              <w:left w:val="single" w:sz="4" w:space="0" w:color="auto"/>
              <w:bottom w:val="single" w:sz="4" w:space="0" w:color="auto"/>
              <w:right w:val="single" w:sz="4" w:space="0" w:color="auto"/>
            </w:tcBorders>
          </w:tcPr>
          <w:p w14:paraId="5BBAF26B" w14:textId="77777777" w:rsidR="00197B65" w:rsidRPr="0037337F" w:rsidRDefault="008218B0" w:rsidP="0037337F">
            <w:pPr>
              <w:spacing w:line="240" w:lineRule="auto"/>
              <w:jc w:val="both"/>
              <w:rPr>
                <w:rFonts w:ascii="Times New Roman" w:hAnsi="Times New Roman" w:cs="Times New Roman"/>
                <w:sz w:val="24"/>
                <w:szCs w:val="24"/>
              </w:rPr>
            </w:pPr>
            <w:r w:rsidRPr="0037337F">
              <w:rPr>
                <w:rFonts w:ascii="Times New Roman" w:hAnsi="Times New Roman" w:cs="Times New Roman"/>
                <w:sz w:val="24"/>
                <w:szCs w:val="24"/>
              </w:rPr>
              <w:t>System, community, rural area, landscape, agroecology, land, access, forest, livelihood, farmer, conservation, capacity.</w:t>
            </w:r>
          </w:p>
        </w:tc>
        <w:tc>
          <w:tcPr>
            <w:tcW w:w="850" w:type="dxa"/>
            <w:tcBorders>
              <w:top w:val="single" w:sz="4" w:space="0" w:color="auto"/>
              <w:left w:val="single" w:sz="4" w:space="0" w:color="auto"/>
              <w:bottom w:val="single" w:sz="4" w:space="0" w:color="auto"/>
              <w:right w:val="single" w:sz="4" w:space="0" w:color="auto"/>
            </w:tcBorders>
          </w:tcPr>
          <w:p w14:paraId="2DF2EC08" w14:textId="77777777" w:rsidR="00197B65" w:rsidRPr="0037337F" w:rsidRDefault="008218B0" w:rsidP="0037337F">
            <w:pPr>
              <w:spacing w:line="240" w:lineRule="auto"/>
              <w:jc w:val="center"/>
              <w:rPr>
                <w:rFonts w:ascii="Times New Roman" w:hAnsi="Times New Roman" w:cs="Times New Roman"/>
                <w:sz w:val="24"/>
                <w:szCs w:val="24"/>
              </w:rPr>
            </w:pPr>
            <w:r w:rsidRPr="0037337F">
              <w:rPr>
                <w:rFonts w:ascii="Times New Roman" w:hAnsi="Times New Roman" w:cs="Times New Roman"/>
                <w:sz w:val="24"/>
                <w:szCs w:val="24"/>
              </w:rPr>
              <w:t>12</w:t>
            </w:r>
          </w:p>
        </w:tc>
      </w:tr>
      <w:tr w:rsidR="00197B65" w:rsidRPr="0037337F" w14:paraId="46266064" w14:textId="77777777" w:rsidTr="003D44C2">
        <w:trPr>
          <w:jc w:val="center"/>
        </w:trPr>
        <w:tc>
          <w:tcPr>
            <w:tcW w:w="3256" w:type="dxa"/>
            <w:tcBorders>
              <w:top w:val="single" w:sz="4" w:space="0" w:color="auto"/>
              <w:left w:val="single" w:sz="4" w:space="0" w:color="auto"/>
              <w:bottom w:val="single" w:sz="4" w:space="0" w:color="auto"/>
              <w:right w:val="single" w:sz="4" w:space="0" w:color="auto"/>
            </w:tcBorders>
          </w:tcPr>
          <w:p w14:paraId="035C8C13" w14:textId="77777777" w:rsidR="00197B65" w:rsidRPr="0037337F" w:rsidRDefault="008218B0" w:rsidP="0037337F">
            <w:pPr>
              <w:spacing w:line="240" w:lineRule="auto"/>
              <w:rPr>
                <w:rFonts w:ascii="Times New Roman" w:hAnsi="Times New Roman" w:cs="Times New Roman"/>
                <w:sz w:val="24"/>
                <w:szCs w:val="24"/>
              </w:rPr>
            </w:pPr>
            <w:r w:rsidRPr="0037337F">
              <w:rPr>
                <w:rFonts w:ascii="Times New Roman" w:hAnsi="Times New Roman" w:cs="Times New Roman"/>
                <w:sz w:val="24"/>
                <w:szCs w:val="24"/>
              </w:rPr>
              <w:t>Stakeholders Relationship</w:t>
            </w:r>
          </w:p>
        </w:tc>
        <w:tc>
          <w:tcPr>
            <w:tcW w:w="5244" w:type="dxa"/>
            <w:tcBorders>
              <w:top w:val="single" w:sz="4" w:space="0" w:color="auto"/>
              <w:left w:val="single" w:sz="4" w:space="0" w:color="auto"/>
              <w:bottom w:val="single" w:sz="4" w:space="0" w:color="auto"/>
              <w:right w:val="single" w:sz="4" w:space="0" w:color="auto"/>
            </w:tcBorders>
          </w:tcPr>
          <w:p w14:paraId="10765FEA" w14:textId="77777777" w:rsidR="00197B65" w:rsidRPr="0037337F" w:rsidRDefault="008218B0" w:rsidP="0037337F">
            <w:pPr>
              <w:spacing w:line="240" w:lineRule="auto"/>
              <w:jc w:val="both"/>
              <w:rPr>
                <w:rFonts w:ascii="Times New Roman" w:hAnsi="Times New Roman" w:cs="Times New Roman"/>
                <w:sz w:val="24"/>
                <w:szCs w:val="24"/>
              </w:rPr>
            </w:pPr>
            <w:r w:rsidRPr="0037337F">
              <w:rPr>
                <w:rFonts w:ascii="Times New Roman" w:hAnsi="Times New Roman" w:cs="Times New Roman"/>
                <w:sz w:val="24"/>
                <w:szCs w:val="24"/>
              </w:rPr>
              <w:t>Relationship, product, effect, behavior, value, communication, company, comparison, influence, intention, personal norm, belief, driver, adaption, consequence, participant, characteristic, promotion, resident, face, tourist, household.</w:t>
            </w:r>
          </w:p>
        </w:tc>
        <w:tc>
          <w:tcPr>
            <w:tcW w:w="850" w:type="dxa"/>
            <w:tcBorders>
              <w:top w:val="single" w:sz="4" w:space="0" w:color="auto"/>
              <w:left w:val="single" w:sz="4" w:space="0" w:color="auto"/>
              <w:bottom w:val="single" w:sz="4" w:space="0" w:color="auto"/>
              <w:right w:val="single" w:sz="4" w:space="0" w:color="auto"/>
            </w:tcBorders>
          </w:tcPr>
          <w:p w14:paraId="284A5187" w14:textId="77777777" w:rsidR="00197B65" w:rsidRPr="0037337F" w:rsidRDefault="008218B0" w:rsidP="0037337F">
            <w:pPr>
              <w:spacing w:line="240" w:lineRule="auto"/>
              <w:jc w:val="center"/>
              <w:rPr>
                <w:rFonts w:ascii="Times New Roman" w:hAnsi="Times New Roman" w:cs="Times New Roman"/>
                <w:sz w:val="24"/>
                <w:szCs w:val="24"/>
              </w:rPr>
            </w:pPr>
            <w:r w:rsidRPr="0037337F">
              <w:rPr>
                <w:rFonts w:ascii="Times New Roman" w:hAnsi="Times New Roman" w:cs="Times New Roman"/>
                <w:sz w:val="24"/>
                <w:szCs w:val="24"/>
              </w:rPr>
              <w:t>22</w:t>
            </w:r>
          </w:p>
        </w:tc>
      </w:tr>
    </w:tbl>
    <w:p w14:paraId="494CA695" w14:textId="77777777" w:rsidR="00197B65" w:rsidRPr="0037337F" w:rsidRDefault="00197B65" w:rsidP="0037337F">
      <w:pPr>
        <w:spacing w:line="240" w:lineRule="auto"/>
        <w:jc w:val="both"/>
        <w:rPr>
          <w:rFonts w:ascii="Times New Roman" w:hAnsi="Times New Roman" w:cs="Times New Roman"/>
          <w:sz w:val="24"/>
          <w:szCs w:val="24"/>
          <w:lang w:val="id-ID"/>
        </w:rPr>
      </w:pPr>
    </w:p>
    <w:p w14:paraId="1C9F7C32" w14:textId="1A072796" w:rsidR="00197B65" w:rsidRDefault="008218B0" w:rsidP="000663AA">
      <w:pPr>
        <w:spacing w:line="240" w:lineRule="auto"/>
        <w:ind w:firstLine="425"/>
        <w:jc w:val="both"/>
        <w:rPr>
          <w:rFonts w:ascii="Times New Roman" w:hAnsi="Times New Roman" w:cs="Times New Roman"/>
          <w:sz w:val="24"/>
          <w:szCs w:val="24"/>
        </w:rPr>
      </w:pPr>
      <w:r w:rsidRPr="0037337F">
        <w:rPr>
          <w:rFonts w:ascii="Times New Roman" w:hAnsi="Times New Roman" w:cs="Times New Roman"/>
          <w:sz w:val="24"/>
          <w:szCs w:val="24"/>
        </w:rPr>
        <w:t>Social movement and governance clusters are related to the concepts and topics of movement processes and challenges, agendas, networks, power, conflict dynamics, roles of actors and civil society, resistance, justice, initiatives, innovation, movement crises, and the diversity of actors. The cluster shows concepts and topics related to sociological issues, which confirms that the sociology discipline plays an important role in this study. The study also confirms that sociology is the source of social movement concepts and theories widely used by authors to explain farmers’ movement in a variety of issues, including land grabbing, state discrimination, private sector domination, biotechnology issues, and protection of state policies against farmers. Community clusters and agricultural systems are related to the concepts and topics of agroecology, agricultural land systems, forest area management, farmer access, conservation, and agricultural management in rural areas. The cluster of stakeholder relations and the value of agricultural products are related to the concepts and topics of agricultural impacts, consumer behavior, and awareness. It is also associated with the promotion, the role of agricultural companies, the attention and personal characteristics of the state, farmers and capital owners, CSR programs, and adaptation of agricultural technology.</w:t>
      </w:r>
    </w:p>
    <w:p w14:paraId="1F86579F" w14:textId="77777777" w:rsidR="00784B6E" w:rsidRPr="0037337F" w:rsidRDefault="00784B6E" w:rsidP="000663AA">
      <w:pPr>
        <w:spacing w:line="240" w:lineRule="auto"/>
        <w:ind w:firstLine="425"/>
        <w:jc w:val="both"/>
        <w:rPr>
          <w:rFonts w:ascii="Times New Roman" w:hAnsi="Times New Roman" w:cs="Times New Roman"/>
          <w:sz w:val="24"/>
          <w:szCs w:val="24"/>
        </w:rPr>
      </w:pPr>
    </w:p>
    <w:p w14:paraId="2D6C4A61" w14:textId="7FDC3617" w:rsidR="00197B65" w:rsidRDefault="008218B0" w:rsidP="008739A2">
      <w:pPr>
        <w:spacing w:line="240" w:lineRule="auto"/>
        <w:jc w:val="center"/>
        <w:rPr>
          <w:rFonts w:ascii="Times New Roman" w:hAnsi="Times New Roman" w:cs="Times New Roman"/>
          <w:sz w:val="24"/>
          <w:szCs w:val="24"/>
          <w:lang w:val="id-ID"/>
        </w:rPr>
      </w:pPr>
      <w:r w:rsidRPr="0037337F">
        <w:rPr>
          <w:rFonts w:ascii="Times New Roman" w:hAnsi="Times New Roman" w:cs="Times New Roman"/>
          <w:noProof/>
          <w:sz w:val="24"/>
          <w:szCs w:val="24"/>
        </w:rPr>
        <w:lastRenderedPageBreak/>
        <w:drawing>
          <wp:inline distT="0" distB="0" distL="0" distR="0" wp14:anchorId="756F93DF" wp14:editId="5488CE51">
            <wp:extent cx="5725795" cy="3692525"/>
            <wp:effectExtent l="0" t="0" r="825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5795" cy="3692525"/>
                    </a:xfrm>
                    <a:prstGeom prst="rect">
                      <a:avLst/>
                    </a:prstGeom>
                    <a:noFill/>
                    <a:ln>
                      <a:noFill/>
                    </a:ln>
                  </pic:spPr>
                </pic:pic>
              </a:graphicData>
            </a:graphic>
          </wp:inline>
        </w:drawing>
      </w:r>
    </w:p>
    <w:p w14:paraId="3E140D90" w14:textId="77777777" w:rsidR="00784B6E" w:rsidRPr="0037337F" w:rsidRDefault="00784B6E" w:rsidP="000663AA">
      <w:pPr>
        <w:spacing w:line="240" w:lineRule="auto"/>
        <w:jc w:val="both"/>
        <w:rPr>
          <w:rFonts w:ascii="Times New Roman" w:hAnsi="Times New Roman" w:cs="Times New Roman"/>
          <w:sz w:val="24"/>
          <w:szCs w:val="24"/>
          <w:lang w:val="id-ID"/>
        </w:rPr>
      </w:pPr>
    </w:p>
    <w:p w14:paraId="2E6E3844" w14:textId="0B57589F" w:rsidR="00197B65" w:rsidRPr="0037337F" w:rsidRDefault="008218B0" w:rsidP="008739A2">
      <w:pPr>
        <w:spacing w:line="240" w:lineRule="auto"/>
        <w:jc w:val="center"/>
        <w:rPr>
          <w:rFonts w:ascii="Times New Roman" w:hAnsi="Times New Roman" w:cs="Times New Roman"/>
          <w:sz w:val="24"/>
          <w:szCs w:val="24"/>
        </w:rPr>
      </w:pPr>
      <w:r w:rsidRPr="0037337F">
        <w:rPr>
          <w:rFonts w:ascii="Times New Roman" w:hAnsi="Times New Roman" w:cs="Times New Roman"/>
          <w:b/>
          <w:bCs/>
          <w:sz w:val="24"/>
          <w:szCs w:val="24"/>
        </w:rPr>
        <w:t>Fig</w:t>
      </w:r>
      <w:r w:rsidR="000663AA">
        <w:rPr>
          <w:rFonts w:ascii="Times New Roman" w:hAnsi="Times New Roman" w:cs="Times New Roman"/>
          <w:b/>
          <w:bCs/>
          <w:sz w:val="24"/>
          <w:szCs w:val="24"/>
        </w:rPr>
        <w:t>ure</w:t>
      </w:r>
      <w:r w:rsidRPr="0037337F">
        <w:rPr>
          <w:rFonts w:ascii="Times New Roman" w:hAnsi="Times New Roman" w:cs="Times New Roman"/>
          <w:b/>
          <w:bCs/>
          <w:sz w:val="24"/>
          <w:szCs w:val="24"/>
        </w:rPr>
        <w:t xml:space="preserve"> 7</w:t>
      </w:r>
      <w:r w:rsidR="00BC521B">
        <w:rPr>
          <w:rFonts w:ascii="Times New Roman" w:hAnsi="Times New Roman" w:cs="Times New Roman"/>
          <w:b/>
          <w:bCs/>
          <w:sz w:val="24"/>
          <w:szCs w:val="24"/>
        </w:rPr>
        <w:t>.</w:t>
      </w:r>
      <w:r w:rsidRPr="0037337F">
        <w:rPr>
          <w:rFonts w:ascii="Times New Roman" w:hAnsi="Times New Roman" w:cs="Times New Roman"/>
          <w:sz w:val="24"/>
          <w:szCs w:val="24"/>
        </w:rPr>
        <w:t xml:space="preserve"> Clusterization of concepts in the study "Farmers Social Movement."</w:t>
      </w:r>
    </w:p>
    <w:p w14:paraId="5571580D" w14:textId="056151FA" w:rsidR="00197B65" w:rsidRDefault="008218B0" w:rsidP="000663AA">
      <w:pPr>
        <w:spacing w:line="240" w:lineRule="auto"/>
        <w:ind w:firstLine="720"/>
        <w:jc w:val="both"/>
        <w:rPr>
          <w:rFonts w:ascii="Times New Roman" w:hAnsi="Times New Roman" w:cs="Times New Roman"/>
          <w:sz w:val="24"/>
          <w:szCs w:val="24"/>
        </w:rPr>
      </w:pPr>
      <w:r w:rsidRPr="0037337F">
        <w:rPr>
          <w:rFonts w:ascii="Times New Roman" w:hAnsi="Times New Roman" w:cs="Times New Roman"/>
          <w:sz w:val="24"/>
          <w:szCs w:val="24"/>
        </w:rPr>
        <w:t>The three clusters of dominant concepts and topics mentioned above are an integrated unit of farmer social movements and governance that deals with the numerous concepts and topics in the same network. The NVivo 12 Plus analysis result showed that the concepts and topics of each cluster have strong linkages, co-efficiencies, and coherence with the Jaccard's value of 0.8-0.9. This indicates that the concept of this study is related to social movements. Agriculture system and stakeholder relations are also related to problems in the agricultural sector and the environment.</w:t>
      </w:r>
    </w:p>
    <w:p w14:paraId="0192974D" w14:textId="6FC31047" w:rsidR="00B9647D" w:rsidRDefault="00B9647D" w:rsidP="000663AA">
      <w:pPr>
        <w:spacing w:line="240" w:lineRule="auto"/>
        <w:ind w:firstLine="720"/>
        <w:jc w:val="both"/>
        <w:rPr>
          <w:rFonts w:ascii="Times New Roman" w:hAnsi="Times New Roman" w:cs="Times New Roman"/>
          <w:sz w:val="24"/>
          <w:szCs w:val="24"/>
        </w:rPr>
      </w:pPr>
    </w:p>
    <w:p w14:paraId="2954738C" w14:textId="27E19BB3" w:rsidR="00B9647D" w:rsidRDefault="00B9647D" w:rsidP="000663AA">
      <w:pPr>
        <w:spacing w:line="240" w:lineRule="auto"/>
        <w:ind w:firstLine="720"/>
        <w:jc w:val="both"/>
        <w:rPr>
          <w:rFonts w:ascii="Times New Roman" w:hAnsi="Times New Roman" w:cs="Times New Roman"/>
          <w:sz w:val="24"/>
          <w:szCs w:val="24"/>
        </w:rPr>
      </w:pPr>
    </w:p>
    <w:p w14:paraId="151EF3B4" w14:textId="5F77F36A" w:rsidR="00B9647D" w:rsidRDefault="00B9647D" w:rsidP="000663AA">
      <w:pPr>
        <w:spacing w:line="240" w:lineRule="auto"/>
        <w:ind w:firstLine="720"/>
        <w:jc w:val="both"/>
        <w:rPr>
          <w:rFonts w:ascii="Times New Roman" w:hAnsi="Times New Roman" w:cs="Times New Roman"/>
          <w:sz w:val="24"/>
          <w:szCs w:val="24"/>
        </w:rPr>
      </w:pPr>
    </w:p>
    <w:p w14:paraId="17C21E19" w14:textId="0D0970D7" w:rsidR="00B9647D" w:rsidRDefault="00B9647D" w:rsidP="000663AA">
      <w:pPr>
        <w:spacing w:line="240" w:lineRule="auto"/>
        <w:ind w:firstLine="720"/>
        <w:jc w:val="both"/>
        <w:rPr>
          <w:rFonts w:ascii="Times New Roman" w:hAnsi="Times New Roman" w:cs="Times New Roman"/>
          <w:sz w:val="24"/>
          <w:szCs w:val="24"/>
        </w:rPr>
      </w:pPr>
    </w:p>
    <w:p w14:paraId="3E3A8DB8" w14:textId="675BACB9" w:rsidR="00B9647D" w:rsidRDefault="00B9647D" w:rsidP="000663AA">
      <w:pPr>
        <w:spacing w:line="240" w:lineRule="auto"/>
        <w:ind w:firstLine="720"/>
        <w:jc w:val="both"/>
        <w:rPr>
          <w:rFonts w:ascii="Times New Roman" w:hAnsi="Times New Roman" w:cs="Times New Roman"/>
          <w:sz w:val="24"/>
          <w:szCs w:val="24"/>
        </w:rPr>
      </w:pPr>
    </w:p>
    <w:p w14:paraId="42FE3017" w14:textId="2C87B800" w:rsidR="00B9647D" w:rsidRDefault="00B9647D" w:rsidP="000663AA">
      <w:pPr>
        <w:spacing w:line="240" w:lineRule="auto"/>
        <w:ind w:firstLine="720"/>
        <w:jc w:val="both"/>
        <w:rPr>
          <w:rFonts w:ascii="Times New Roman" w:hAnsi="Times New Roman" w:cs="Times New Roman"/>
          <w:sz w:val="24"/>
          <w:szCs w:val="24"/>
        </w:rPr>
      </w:pPr>
    </w:p>
    <w:p w14:paraId="6DAAA313" w14:textId="463F1041" w:rsidR="00B9647D" w:rsidRDefault="00B9647D" w:rsidP="000663AA">
      <w:pPr>
        <w:spacing w:line="240" w:lineRule="auto"/>
        <w:ind w:firstLine="720"/>
        <w:jc w:val="both"/>
        <w:rPr>
          <w:rFonts w:ascii="Times New Roman" w:hAnsi="Times New Roman" w:cs="Times New Roman"/>
          <w:sz w:val="24"/>
          <w:szCs w:val="24"/>
        </w:rPr>
      </w:pPr>
    </w:p>
    <w:p w14:paraId="7C5F6D4B" w14:textId="73F0D4B9" w:rsidR="00B9647D" w:rsidRDefault="00B9647D" w:rsidP="000663AA">
      <w:pPr>
        <w:spacing w:line="240" w:lineRule="auto"/>
        <w:ind w:firstLine="720"/>
        <w:jc w:val="both"/>
        <w:rPr>
          <w:rFonts w:ascii="Times New Roman" w:hAnsi="Times New Roman" w:cs="Times New Roman"/>
          <w:sz w:val="24"/>
          <w:szCs w:val="24"/>
        </w:rPr>
      </w:pPr>
    </w:p>
    <w:p w14:paraId="791DAE6C" w14:textId="02B950C3" w:rsidR="00B9647D" w:rsidRDefault="00B9647D" w:rsidP="000663AA">
      <w:pPr>
        <w:spacing w:line="240" w:lineRule="auto"/>
        <w:ind w:firstLine="720"/>
        <w:jc w:val="both"/>
        <w:rPr>
          <w:rFonts w:ascii="Times New Roman" w:hAnsi="Times New Roman" w:cs="Times New Roman"/>
          <w:sz w:val="24"/>
          <w:szCs w:val="24"/>
        </w:rPr>
      </w:pPr>
    </w:p>
    <w:p w14:paraId="1A5BEF21" w14:textId="77777777" w:rsidR="00B9647D" w:rsidRDefault="00B9647D" w:rsidP="000663AA">
      <w:pPr>
        <w:spacing w:line="240" w:lineRule="auto"/>
        <w:ind w:firstLine="720"/>
        <w:jc w:val="both"/>
        <w:rPr>
          <w:rFonts w:ascii="Times New Roman" w:hAnsi="Times New Roman" w:cs="Times New Roman"/>
          <w:sz w:val="24"/>
          <w:szCs w:val="24"/>
        </w:rPr>
      </w:pPr>
    </w:p>
    <w:p w14:paraId="50B106F1" w14:textId="070C2876" w:rsidR="00197B65" w:rsidRDefault="00784B6E" w:rsidP="0037337F">
      <w:pPr>
        <w:spacing w:line="240" w:lineRule="auto"/>
        <w:jc w:val="center"/>
        <w:rPr>
          <w:rFonts w:ascii="Times New Roman" w:hAnsi="Times New Roman" w:cs="Times New Roman"/>
          <w:sz w:val="24"/>
          <w:szCs w:val="24"/>
          <w:lang w:val="id-ID"/>
        </w:rPr>
      </w:pPr>
      <w:r w:rsidRPr="0037337F">
        <w:rPr>
          <w:rFonts w:ascii="Times New Roman" w:hAnsi="Times New Roman" w:cs="Times New Roman"/>
          <w:noProof/>
          <w:sz w:val="24"/>
          <w:szCs w:val="24"/>
        </w:rPr>
        <w:lastRenderedPageBreak/>
        <w:drawing>
          <wp:anchor distT="0" distB="0" distL="114300" distR="114300" simplePos="0" relativeHeight="251656192" behindDoc="1" locked="0" layoutInCell="1" allowOverlap="1" wp14:anchorId="1F5FE074" wp14:editId="774165DB">
            <wp:simplePos x="0" y="0"/>
            <wp:positionH relativeFrom="margin">
              <wp:posOffset>361718</wp:posOffset>
            </wp:positionH>
            <wp:positionV relativeFrom="paragraph">
              <wp:posOffset>11430</wp:posOffset>
            </wp:positionV>
            <wp:extent cx="4592320" cy="4089400"/>
            <wp:effectExtent l="0" t="0" r="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92320" cy="4089400"/>
                    </a:xfrm>
                    <a:prstGeom prst="rect">
                      <a:avLst/>
                    </a:prstGeom>
                    <a:noFill/>
                  </pic:spPr>
                </pic:pic>
              </a:graphicData>
            </a:graphic>
            <wp14:sizeRelH relativeFrom="margin">
              <wp14:pctWidth>0</wp14:pctWidth>
            </wp14:sizeRelH>
            <wp14:sizeRelV relativeFrom="margin">
              <wp14:pctHeight>0</wp14:pctHeight>
            </wp14:sizeRelV>
          </wp:anchor>
        </w:drawing>
      </w:r>
    </w:p>
    <w:p w14:paraId="7878E10C" w14:textId="505E93AD" w:rsidR="00B9647D" w:rsidRDefault="00B9647D" w:rsidP="0037337F">
      <w:pPr>
        <w:spacing w:line="240" w:lineRule="auto"/>
        <w:jc w:val="center"/>
        <w:rPr>
          <w:rFonts w:ascii="Times New Roman" w:hAnsi="Times New Roman" w:cs="Times New Roman"/>
          <w:sz w:val="24"/>
          <w:szCs w:val="24"/>
          <w:lang w:val="id-ID"/>
        </w:rPr>
      </w:pPr>
    </w:p>
    <w:p w14:paraId="575439AD" w14:textId="553575EB" w:rsidR="00B9647D" w:rsidRDefault="00B9647D" w:rsidP="0037337F">
      <w:pPr>
        <w:spacing w:line="240" w:lineRule="auto"/>
        <w:jc w:val="center"/>
        <w:rPr>
          <w:rFonts w:ascii="Times New Roman" w:hAnsi="Times New Roman" w:cs="Times New Roman"/>
          <w:sz w:val="24"/>
          <w:szCs w:val="24"/>
          <w:lang w:val="id-ID"/>
        </w:rPr>
      </w:pPr>
    </w:p>
    <w:p w14:paraId="7EF98A90" w14:textId="4645C07B" w:rsidR="00B9647D" w:rsidRDefault="00B9647D" w:rsidP="0037337F">
      <w:pPr>
        <w:spacing w:line="240" w:lineRule="auto"/>
        <w:jc w:val="center"/>
        <w:rPr>
          <w:rFonts w:ascii="Times New Roman" w:hAnsi="Times New Roman" w:cs="Times New Roman"/>
          <w:sz w:val="24"/>
          <w:szCs w:val="24"/>
          <w:lang w:val="id-ID"/>
        </w:rPr>
      </w:pPr>
    </w:p>
    <w:p w14:paraId="7CF6066C" w14:textId="77777777" w:rsidR="00B9647D" w:rsidRPr="0037337F" w:rsidRDefault="00B9647D" w:rsidP="0037337F">
      <w:pPr>
        <w:spacing w:line="240" w:lineRule="auto"/>
        <w:jc w:val="center"/>
        <w:rPr>
          <w:rFonts w:ascii="Times New Roman" w:hAnsi="Times New Roman" w:cs="Times New Roman"/>
          <w:sz w:val="24"/>
          <w:szCs w:val="24"/>
          <w:lang w:val="id-ID"/>
        </w:rPr>
      </w:pPr>
    </w:p>
    <w:p w14:paraId="32643859"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49D27E48"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2B4362BB" w14:textId="74A3F321" w:rsidR="00197B65" w:rsidRDefault="00197B65" w:rsidP="0037337F">
      <w:pPr>
        <w:spacing w:line="240" w:lineRule="auto"/>
        <w:jc w:val="center"/>
        <w:rPr>
          <w:rFonts w:ascii="Times New Roman" w:hAnsi="Times New Roman" w:cs="Times New Roman"/>
          <w:sz w:val="24"/>
          <w:szCs w:val="24"/>
          <w:lang w:val="id-ID"/>
        </w:rPr>
      </w:pPr>
    </w:p>
    <w:p w14:paraId="50B33F7C" w14:textId="079753B0" w:rsidR="00FB6E5C" w:rsidRDefault="00FB6E5C" w:rsidP="0037337F">
      <w:pPr>
        <w:spacing w:line="240" w:lineRule="auto"/>
        <w:jc w:val="center"/>
        <w:rPr>
          <w:rFonts w:ascii="Times New Roman" w:hAnsi="Times New Roman" w:cs="Times New Roman"/>
          <w:sz w:val="24"/>
          <w:szCs w:val="24"/>
          <w:lang w:val="id-ID"/>
        </w:rPr>
      </w:pPr>
    </w:p>
    <w:p w14:paraId="53724008" w14:textId="610F5C7B" w:rsidR="00FB6E5C" w:rsidRDefault="00FB6E5C" w:rsidP="0037337F">
      <w:pPr>
        <w:spacing w:line="240" w:lineRule="auto"/>
        <w:jc w:val="center"/>
        <w:rPr>
          <w:rFonts w:ascii="Times New Roman" w:hAnsi="Times New Roman" w:cs="Times New Roman"/>
          <w:sz w:val="24"/>
          <w:szCs w:val="24"/>
          <w:lang w:val="id-ID"/>
        </w:rPr>
      </w:pPr>
    </w:p>
    <w:p w14:paraId="255BB1E7" w14:textId="49C4AEE1" w:rsidR="00FB6E5C" w:rsidRDefault="00FB6E5C" w:rsidP="0037337F">
      <w:pPr>
        <w:spacing w:line="240" w:lineRule="auto"/>
        <w:jc w:val="center"/>
        <w:rPr>
          <w:rFonts w:ascii="Times New Roman" w:hAnsi="Times New Roman" w:cs="Times New Roman"/>
          <w:sz w:val="24"/>
          <w:szCs w:val="24"/>
          <w:lang w:val="id-ID"/>
        </w:rPr>
      </w:pPr>
    </w:p>
    <w:p w14:paraId="1975BDEA" w14:textId="55037B1F" w:rsidR="00FB6E5C" w:rsidRDefault="00FB6E5C" w:rsidP="0037337F">
      <w:pPr>
        <w:spacing w:line="240" w:lineRule="auto"/>
        <w:jc w:val="center"/>
        <w:rPr>
          <w:rFonts w:ascii="Times New Roman" w:hAnsi="Times New Roman" w:cs="Times New Roman"/>
          <w:sz w:val="24"/>
          <w:szCs w:val="24"/>
          <w:lang w:val="id-ID"/>
        </w:rPr>
      </w:pPr>
    </w:p>
    <w:p w14:paraId="532F59DA"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5A96E9B1" w14:textId="0F5E26A0" w:rsidR="00197B65" w:rsidRPr="0037337F" w:rsidRDefault="008218B0" w:rsidP="008739A2">
      <w:pPr>
        <w:spacing w:line="240" w:lineRule="auto"/>
        <w:jc w:val="center"/>
        <w:rPr>
          <w:rFonts w:ascii="Times New Roman" w:hAnsi="Times New Roman" w:cs="Times New Roman"/>
          <w:sz w:val="24"/>
          <w:szCs w:val="24"/>
        </w:rPr>
      </w:pPr>
      <w:r w:rsidRPr="0037337F">
        <w:rPr>
          <w:rFonts w:ascii="Times New Roman" w:hAnsi="Times New Roman" w:cs="Times New Roman"/>
          <w:b/>
          <w:bCs/>
          <w:sz w:val="24"/>
          <w:szCs w:val="24"/>
        </w:rPr>
        <w:t>Fig</w:t>
      </w:r>
      <w:r w:rsidR="00784B6E">
        <w:rPr>
          <w:rFonts w:ascii="Times New Roman" w:hAnsi="Times New Roman" w:cs="Times New Roman"/>
          <w:b/>
          <w:bCs/>
          <w:sz w:val="24"/>
          <w:szCs w:val="24"/>
        </w:rPr>
        <w:t xml:space="preserve">ure </w:t>
      </w:r>
      <w:r w:rsidRPr="0037337F">
        <w:rPr>
          <w:rFonts w:ascii="Times New Roman" w:hAnsi="Times New Roman" w:cs="Times New Roman"/>
          <w:b/>
          <w:bCs/>
          <w:sz w:val="24"/>
          <w:szCs w:val="24"/>
        </w:rPr>
        <w:t>8</w:t>
      </w:r>
      <w:r w:rsidR="00BC521B">
        <w:rPr>
          <w:rFonts w:ascii="Times New Roman" w:hAnsi="Times New Roman" w:cs="Times New Roman"/>
          <w:b/>
          <w:bCs/>
          <w:sz w:val="24"/>
          <w:szCs w:val="24"/>
        </w:rPr>
        <w:t>.</w:t>
      </w:r>
      <w:r w:rsidRPr="0037337F">
        <w:rPr>
          <w:rFonts w:ascii="Times New Roman" w:hAnsi="Times New Roman" w:cs="Times New Roman"/>
          <w:b/>
          <w:bCs/>
          <w:sz w:val="24"/>
          <w:szCs w:val="24"/>
        </w:rPr>
        <w:t xml:space="preserve"> </w:t>
      </w:r>
      <w:r w:rsidRPr="0037337F">
        <w:rPr>
          <w:rFonts w:ascii="Times New Roman" w:hAnsi="Times New Roman" w:cs="Times New Roman"/>
          <w:sz w:val="24"/>
          <w:szCs w:val="24"/>
        </w:rPr>
        <w:t>The relationship between the concepts in the study "Farmers Social Movement."</w:t>
      </w:r>
    </w:p>
    <w:p w14:paraId="6A9021E9" w14:textId="555D0A66" w:rsidR="00197B65" w:rsidRDefault="008218B0" w:rsidP="000663AA">
      <w:pPr>
        <w:spacing w:line="240" w:lineRule="auto"/>
        <w:ind w:firstLine="284"/>
        <w:jc w:val="both"/>
        <w:rPr>
          <w:rFonts w:ascii="Times New Roman" w:hAnsi="Times New Roman" w:cs="Times New Roman"/>
          <w:sz w:val="24"/>
          <w:szCs w:val="24"/>
        </w:rPr>
      </w:pPr>
      <w:r w:rsidRPr="0037337F">
        <w:rPr>
          <w:rFonts w:ascii="Times New Roman" w:hAnsi="Times New Roman" w:cs="Times New Roman"/>
          <w:sz w:val="24"/>
          <w:szCs w:val="24"/>
        </w:rPr>
        <w:t>Figure 8 shows the relationship between social movement clusters and governance, community clusters and agricultural systems, and clusters of stakeholder relations and the value of agricultural products. The three conceptual clusters and topics in this study have a strong relationship. It is a strategy that deals with agricultural-related systems, community roles, stakeholder relations, and the value of agricultural products as well as environmental issues. The strong relationship between the three concept clusters and the topic is the conceptual foundation in formulating the concept comprising of sub-concepts and sub-topics related to one another.</w:t>
      </w:r>
    </w:p>
    <w:p w14:paraId="6D64DE84" w14:textId="77777777" w:rsidR="000663AA" w:rsidRPr="0037337F" w:rsidRDefault="000663AA" w:rsidP="000663AA">
      <w:pPr>
        <w:spacing w:line="240" w:lineRule="auto"/>
        <w:ind w:firstLine="284"/>
        <w:jc w:val="both"/>
        <w:rPr>
          <w:rFonts w:ascii="Times New Roman" w:hAnsi="Times New Roman" w:cs="Times New Roman"/>
          <w:sz w:val="24"/>
          <w:szCs w:val="24"/>
        </w:rPr>
      </w:pPr>
    </w:p>
    <w:p w14:paraId="3671D617" w14:textId="77777777" w:rsidR="00197B65" w:rsidRPr="008739A2" w:rsidRDefault="008218B0" w:rsidP="000663AA">
      <w:pPr>
        <w:spacing w:line="240" w:lineRule="auto"/>
        <w:jc w:val="both"/>
        <w:rPr>
          <w:rFonts w:ascii="Times New Roman" w:hAnsi="Times New Roman" w:cs="Times New Roman"/>
          <w:b/>
          <w:bCs/>
          <w:sz w:val="24"/>
          <w:szCs w:val="24"/>
        </w:rPr>
      </w:pPr>
      <w:r w:rsidRPr="008739A2">
        <w:rPr>
          <w:rFonts w:ascii="Times New Roman" w:hAnsi="Times New Roman" w:cs="Times New Roman"/>
          <w:b/>
          <w:bCs/>
          <w:sz w:val="24"/>
          <w:szCs w:val="24"/>
        </w:rPr>
        <w:t>Conceptualization of the Study of Farmers' Social Movement</w:t>
      </w:r>
    </w:p>
    <w:p w14:paraId="482F0027" w14:textId="77777777" w:rsidR="00197B65" w:rsidRPr="0037337F" w:rsidRDefault="008218B0" w:rsidP="000663AA">
      <w:pPr>
        <w:spacing w:line="240" w:lineRule="auto"/>
        <w:ind w:firstLine="284"/>
        <w:jc w:val="both"/>
        <w:rPr>
          <w:rFonts w:ascii="Times New Roman" w:hAnsi="Times New Roman" w:cs="Times New Roman"/>
          <w:sz w:val="24"/>
          <w:szCs w:val="24"/>
          <w:lang w:val="id-ID"/>
        </w:rPr>
      </w:pPr>
      <w:r w:rsidRPr="0037337F">
        <w:rPr>
          <w:rFonts w:ascii="Times New Roman" w:hAnsi="Times New Roman" w:cs="Times New Roman"/>
          <w:sz w:val="24"/>
          <w:szCs w:val="24"/>
        </w:rPr>
        <w:t>The social movement and governance cluster is a concept that is directly related to power, actor networks, conflict, roles, farmers’ community involvement, movement struggles, awareness, processes, challenges, and agricultural programs, as shown in Figure 9. The linkage of the concepts in the cluster shows a strong coherence with the Jaccard's score scale of 0.8-0.9, which emphasizes that power in social movements and governance is a form of the role of the state, which has the authority to determine the agricultural sector policies. In this case, the study is related to their efforts to influence and agree with the state in making policies that are in favor of farmers’ interests. An instance is the control and protection of land against the domination of capitalist groups in the agricultural sector. One of the farmers 'strategies is to build and strengthen political networks that involve many actors, including civil society organizations. This enables the collective ability of farmers' to collectively face the dynamics of conflicts, challenges, and through massive movement processes, capable of influencing the state policy.</w:t>
      </w:r>
    </w:p>
    <w:p w14:paraId="4E25C32A" w14:textId="5C328448" w:rsidR="00197B65" w:rsidRPr="0037337F" w:rsidRDefault="008218B0" w:rsidP="000663AA">
      <w:pPr>
        <w:spacing w:line="240" w:lineRule="auto"/>
        <w:rPr>
          <w:rFonts w:ascii="Times New Roman" w:hAnsi="Times New Roman" w:cs="Times New Roman"/>
          <w:sz w:val="24"/>
          <w:szCs w:val="24"/>
          <w:lang w:val="id-ID"/>
        </w:rPr>
      </w:pPr>
      <w:r w:rsidRPr="0037337F">
        <w:rPr>
          <w:rFonts w:ascii="Times New Roman" w:hAnsi="Times New Roman" w:cs="Times New Roman"/>
          <w:noProof/>
          <w:sz w:val="24"/>
          <w:szCs w:val="24"/>
        </w:rPr>
        <w:lastRenderedPageBreak/>
        <w:drawing>
          <wp:inline distT="0" distB="0" distL="0" distR="0" wp14:anchorId="7B2F6E05" wp14:editId="659C9F9D">
            <wp:extent cx="5711190" cy="5141595"/>
            <wp:effectExtent l="0" t="0" r="381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5711190" cy="5141595"/>
                    </a:xfrm>
                    <a:prstGeom prst="rect">
                      <a:avLst/>
                    </a:prstGeom>
                    <a:noFill/>
                    <a:ln>
                      <a:noFill/>
                    </a:ln>
                  </pic:spPr>
                </pic:pic>
              </a:graphicData>
            </a:graphic>
          </wp:inline>
        </w:drawing>
      </w:r>
    </w:p>
    <w:p w14:paraId="19BD0AC9" w14:textId="2AD1CBE6" w:rsidR="00197B65" w:rsidRPr="0037337F" w:rsidRDefault="008218B0" w:rsidP="008739A2">
      <w:pPr>
        <w:spacing w:line="240" w:lineRule="auto"/>
        <w:jc w:val="center"/>
        <w:rPr>
          <w:rFonts w:ascii="Times New Roman" w:hAnsi="Times New Roman" w:cs="Times New Roman"/>
          <w:sz w:val="24"/>
          <w:szCs w:val="24"/>
        </w:rPr>
      </w:pPr>
      <w:r w:rsidRPr="0037337F">
        <w:rPr>
          <w:rFonts w:ascii="Times New Roman" w:hAnsi="Times New Roman" w:cs="Times New Roman"/>
          <w:b/>
          <w:bCs/>
          <w:sz w:val="24"/>
          <w:szCs w:val="24"/>
        </w:rPr>
        <w:t>Fig</w:t>
      </w:r>
      <w:r w:rsidR="000663AA">
        <w:rPr>
          <w:rFonts w:ascii="Times New Roman" w:hAnsi="Times New Roman" w:cs="Times New Roman"/>
          <w:b/>
          <w:bCs/>
          <w:sz w:val="24"/>
          <w:szCs w:val="24"/>
        </w:rPr>
        <w:t>ure</w:t>
      </w:r>
      <w:r w:rsidRPr="0037337F">
        <w:rPr>
          <w:rFonts w:ascii="Times New Roman" w:hAnsi="Times New Roman" w:cs="Times New Roman"/>
          <w:b/>
          <w:bCs/>
          <w:sz w:val="24"/>
          <w:szCs w:val="24"/>
        </w:rPr>
        <w:t xml:space="preserve"> 9</w:t>
      </w:r>
      <w:r w:rsidR="00BC521B">
        <w:rPr>
          <w:rFonts w:ascii="Times New Roman" w:hAnsi="Times New Roman" w:cs="Times New Roman"/>
          <w:b/>
          <w:bCs/>
          <w:sz w:val="24"/>
          <w:szCs w:val="24"/>
        </w:rPr>
        <w:t>.</w:t>
      </w:r>
      <w:r w:rsidRPr="0037337F">
        <w:rPr>
          <w:rFonts w:ascii="Times New Roman" w:hAnsi="Times New Roman" w:cs="Times New Roman"/>
          <w:sz w:val="24"/>
          <w:szCs w:val="24"/>
        </w:rPr>
        <w:t xml:space="preserve"> The relationship between the concepts and sub-concepts of movement and governance in the study of "Farmers Social Movement."</w:t>
      </w:r>
    </w:p>
    <w:p w14:paraId="04538369" w14:textId="77777777" w:rsidR="00197B65" w:rsidRPr="0037337F" w:rsidRDefault="008218B0" w:rsidP="000663AA">
      <w:pPr>
        <w:spacing w:line="240" w:lineRule="auto"/>
        <w:ind w:firstLine="425"/>
        <w:jc w:val="both"/>
        <w:rPr>
          <w:rFonts w:ascii="Times New Roman" w:hAnsi="Times New Roman" w:cs="Times New Roman"/>
          <w:sz w:val="24"/>
          <w:szCs w:val="24"/>
          <w:lang w:val="id-ID"/>
        </w:rPr>
      </w:pPr>
      <w:r w:rsidRPr="0037337F">
        <w:rPr>
          <w:rFonts w:ascii="Times New Roman" w:hAnsi="Times New Roman" w:cs="Times New Roman"/>
          <w:sz w:val="24"/>
          <w:szCs w:val="24"/>
        </w:rPr>
        <w:t>The value of the relationship, as well as the coherence of the concept of social movements and governance in Figure 9, confirms that both describe farmers' activities. This is related to their efforts to influence agricultural governance policies through various forms of movement, such as resistance</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t>building and strengthening networks, organizing and mobilizing actors, such as community groups and civil society organizations, facing conflicts with various challenges, and collective struggles. The farmers’ social movement is faced with the power of the state, which has the authority to formulate and determine policies and programs related to agricultural affairs.</w:t>
      </w:r>
      <w:r w:rsidRPr="0037337F">
        <w:rPr>
          <w:rFonts w:ascii="Times New Roman" w:hAnsi="Times New Roman" w:cs="Times New Roman"/>
          <w:sz w:val="24"/>
          <w:szCs w:val="24"/>
          <w:lang w:val="id-ID"/>
        </w:rPr>
        <w:t xml:space="preserve"> The formulation of </w:t>
      </w:r>
      <w:r w:rsidRPr="0037337F">
        <w:rPr>
          <w:rFonts w:ascii="Times New Roman" w:hAnsi="Times New Roman" w:cs="Times New Roman"/>
          <w:sz w:val="24"/>
          <w:szCs w:val="24"/>
        </w:rPr>
        <w:t>farmers’</w:t>
      </w:r>
      <w:r w:rsidRPr="0037337F">
        <w:rPr>
          <w:rFonts w:ascii="Times New Roman" w:hAnsi="Times New Roman" w:cs="Times New Roman"/>
          <w:sz w:val="24"/>
          <w:szCs w:val="24"/>
          <w:lang w:val="id-ID"/>
        </w:rPr>
        <w:t xml:space="preserve"> social movement </w:t>
      </w:r>
      <w:r w:rsidRPr="0037337F">
        <w:rPr>
          <w:rFonts w:ascii="Times New Roman" w:hAnsi="Times New Roman" w:cs="Times New Roman"/>
          <w:sz w:val="24"/>
          <w:szCs w:val="24"/>
        </w:rPr>
        <w:t xml:space="preserve">concept </w:t>
      </w:r>
      <w:r w:rsidRPr="0037337F">
        <w:rPr>
          <w:rFonts w:ascii="Times New Roman" w:hAnsi="Times New Roman" w:cs="Times New Roman"/>
          <w:sz w:val="24"/>
          <w:szCs w:val="24"/>
          <w:lang w:val="id-ID"/>
        </w:rPr>
        <w:t>is related to many theories and concepts in sociological studies</w:t>
      </w:r>
      <w:r w:rsidRPr="0037337F">
        <w:rPr>
          <w:rFonts w:ascii="Times New Roman" w:hAnsi="Times New Roman" w:cs="Times New Roman"/>
          <w:sz w:val="24"/>
          <w:szCs w:val="24"/>
        </w:rPr>
        <w:t>. This</w:t>
      </w:r>
      <w:r w:rsidRPr="0037337F">
        <w:rPr>
          <w:rFonts w:ascii="Times New Roman" w:hAnsi="Times New Roman" w:cs="Times New Roman"/>
          <w:sz w:val="24"/>
          <w:szCs w:val="24"/>
          <w:lang w:val="id-ID"/>
        </w:rPr>
        <w:t xml:space="preserve"> illustrates that </w:t>
      </w:r>
      <w:r w:rsidRPr="0037337F">
        <w:rPr>
          <w:rFonts w:ascii="Times New Roman" w:hAnsi="Times New Roman" w:cs="Times New Roman"/>
          <w:sz w:val="24"/>
          <w:szCs w:val="24"/>
        </w:rPr>
        <w:t>the</w:t>
      </w:r>
      <w:r w:rsidRPr="0037337F">
        <w:rPr>
          <w:rFonts w:ascii="Times New Roman" w:hAnsi="Times New Roman" w:cs="Times New Roman"/>
          <w:sz w:val="24"/>
          <w:szCs w:val="24"/>
          <w:lang w:val="id-ID"/>
        </w:rPr>
        <w:t xml:space="preserve"> concept </w:t>
      </w:r>
      <w:r w:rsidRPr="0037337F">
        <w:rPr>
          <w:rFonts w:ascii="Times New Roman" w:hAnsi="Times New Roman" w:cs="Times New Roman"/>
          <w:sz w:val="24"/>
          <w:szCs w:val="24"/>
        </w:rPr>
        <w:t xml:space="preserve">is </w:t>
      </w:r>
      <w:r w:rsidRPr="0037337F">
        <w:rPr>
          <w:rFonts w:ascii="Times New Roman" w:hAnsi="Times New Roman" w:cs="Times New Roman"/>
          <w:sz w:val="24"/>
          <w:szCs w:val="24"/>
          <w:lang w:val="id-ID"/>
        </w:rPr>
        <w:t xml:space="preserve">related to resistance, conflict, struggle, and collective missions to fight over state resources and influence the direction of state policy to take sides. </w:t>
      </w:r>
    </w:p>
    <w:p w14:paraId="12E50413" w14:textId="77777777" w:rsidR="00197B65" w:rsidRPr="0037337F" w:rsidRDefault="008218B0" w:rsidP="000663AA">
      <w:pPr>
        <w:spacing w:line="240" w:lineRule="auto"/>
        <w:ind w:firstLine="425"/>
        <w:jc w:val="both"/>
        <w:rPr>
          <w:rFonts w:ascii="Times New Roman" w:hAnsi="Times New Roman" w:cs="Times New Roman"/>
          <w:sz w:val="24"/>
          <w:szCs w:val="24"/>
        </w:rPr>
      </w:pPr>
      <w:r w:rsidRPr="0037337F">
        <w:rPr>
          <w:rFonts w:ascii="Times New Roman" w:hAnsi="Times New Roman" w:cs="Times New Roman"/>
          <w:sz w:val="24"/>
          <w:szCs w:val="24"/>
        </w:rPr>
        <w:t xml:space="preserve">The social movement cluster and agricultural system is a study concept of farmers that is strongly related to issues of conservation, land use, agricultural ecology, and the existence of </w:t>
      </w:r>
      <w:r w:rsidRPr="0037337F">
        <w:rPr>
          <w:rFonts w:ascii="Times New Roman" w:hAnsi="Times New Roman" w:cs="Times New Roman"/>
          <w:sz w:val="24"/>
          <w:szCs w:val="24"/>
        </w:rPr>
        <w:lastRenderedPageBreak/>
        <w:t>farming communities, and access to agricultural resources, with a Jaccard value scale of 0.8-0.9. This study on conservation issues are related to farmers’ efforts to overcome environmental damage caused by the expansion of agricultural land, mining exploration, and the use of chemicals. The issue of conservation was initiated by activists from civil society organizations and authors from various universities. They provide education and socialization of environmental conservation to farming communities to ensure the formation of farmers' awareness to build a collective strength to support conservation activities. The social movement of farmers in land use issues is related to their efforts to influence the power of the state in distributing land use in favor of their interests. In this case, farmers are faced with the power of the state and capitalist groups. The state provides access to capitalist groups to control land use, therefore, farmers are not opportune to access land for agricultural purposes.</w:t>
      </w:r>
    </w:p>
    <w:p w14:paraId="76DA17D4" w14:textId="77777777" w:rsidR="00197B65" w:rsidRPr="0037337F" w:rsidRDefault="008218B0" w:rsidP="0037337F">
      <w:pPr>
        <w:spacing w:line="240" w:lineRule="auto"/>
        <w:jc w:val="center"/>
        <w:rPr>
          <w:rFonts w:ascii="Times New Roman" w:hAnsi="Times New Roman" w:cs="Times New Roman"/>
          <w:sz w:val="24"/>
          <w:szCs w:val="24"/>
          <w:lang w:val="id-ID"/>
        </w:rPr>
      </w:pPr>
      <w:r w:rsidRPr="0037337F">
        <w:rPr>
          <w:rFonts w:ascii="Times New Roman" w:hAnsi="Times New Roman" w:cs="Times New Roman"/>
          <w:noProof/>
          <w:sz w:val="24"/>
          <w:szCs w:val="24"/>
        </w:rPr>
        <w:drawing>
          <wp:anchor distT="0" distB="0" distL="114300" distR="114300" simplePos="0" relativeHeight="251660288" behindDoc="1" locked="0" layoutInCell="1" allowOverlap="1" wp14:anchorId="44A43628" wp14:editId="6ABE7A7D">
            <wp:simplePos x="0" y="0"/>
            <wp:positionH relativeFrom="margin">
              <wp:posOffset>327660</wp:posOffset>
            </wp:positionH>
            <wp:positionV relativeFrom="paragraph">
              <wp:posOffset>34925</wp:posOffset>
            </wp:positionV>
            <wp:extent cx="5252085" cy="4789170"/>
            <wp:effectExtent l="0" t="0" r="571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5252085" cy="4789170"/>
                    </a:xfrm>
                    <a:prstGeom prst="rect">
                      <a:avLst/>
                    </a:prstGeom>
                    <a:noFill/>
                  </pic:spPr>
                </pic:pic>
              </a:graphicData>
            </a:graphic>
          </wp:anchor>
        </w:drawing>
      </w:r>
    </w:p>
    <w:p w14:paraId="27D1126F" w14:textId="77777777" w:rsidR="00197B65" w:rsidRPr="0037337F" w:rsidRDefault="00197B65" w:rsidP="0037337F">
      <w:pPr>
        <w:spacing w:line="240" w:lineRule="auto"/>
        <w:jc w:val="both"/>
        <w:rPr>
          <w:rFonts w:ascii="Times New Roman" w:hAnsi="Times New Roman" w:cs="Times New Roman"/>
          <w:sz w:val="24"/>
          <w:szCs w:val="24"/>
          <w:lang w:val="id-ID"/>
        </w:rPr>
      </w:pPr>
    </w:p>
    <w:p w14:paraId="1ABCEDE4"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5CFEF4D4"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3C036147"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68B7A8B9"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68D0A96E"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2800D434"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42D9904E"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2F81C9C4"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21263E58"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53327D26"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52F80A13"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10A74AA1"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7CE6C027" w14:textId="4AD561A9" w:rsidR="00197B65" w:rsidRDefault="00197B65" w:rsidP="0037337F">
      <w:pPr>
        <w:spacing w:line="240" w:lineRule="auto"/>
        <w:jc w:val="center"/>
        <w:rPr>
          <w:rFonts w:ascii="Times New Roman" w:hAnsi="Times New Roman" w:cs="Times New Roman"/>
          <w:sz w:val="24"/>
          <w:szCs w:val="24"/>
          <w:lang w:val="id-ID"/>
        </w:rPr>
      </w:pPr>
    </w:p>
    <w:p w14:paraId="77107971" w14:textId="77777777" w:rsidR="0037337F" w:rsidRPr="0037337F" w:rsidRDefault="0037337F" w:rsidP="0037337F">
      <w:pPr>
        <w:spacing w:line="240" w:lineRule="auto"/>
        <w:jc w:val="center"/>
        <w:rPr>
          <w:rFonts w:ascii="Times New Roman" w:hAnsi="Times New Roman" w:cs="Times New Roman"/>
          <w:sz w:val="24"/>
          <w:szCs w:val="24"/>
          <w:lang w:val="id-ID"/>
        </w:rPr>
      </w:pPr>
    </w:p>
    <w:p w14:paraId="3B6684D1" w14:textId="77777777" w:rsidR="00197B65" w:rsidRPr="0037337F" w:rsidRDefault="00197B65" w:rsidP="0037337F">
      <w:pPr>
        <w:spacing w:line="240" w:lineRule="auto"/>
        <w:jc w:val="center"/>
        <w:rPr>
          <w:rFonts w:ascii="Times New Roman" w:hAnsi="Times New Roman" w:cs="Times New Roman"/>
          <w:sz w:val="24"/>
          <w:szCs w:val="24"/>
          <w:lang w:val="id-ID"/>
        </w:rPr>
      </w:pPr>
    </w:p>
    <w:p w14:paraId="67020816" w14:textId="582BFAB1" w:rsidR="00197B65" w:rsidRPr="0037337F" w:rsidRDefault="008218B0" w:rsidP="008739A2">
      <w:pPr>
        <w:spacing w:line="240" w:lineRule="auto"/>
        <w:jc w:val="center"/>
        <w:rPr>
          <w:rFonts w:ascii="Times New Roman" w:hAnsi="Times New Roman" w:cs="Times New Roman"/>
          <w:sz w:val="24"/>
          <w:szCs w:val="24"/>
        </w:rPr>
      </w:pPr>
      <w:r w:rsidRPr="0037337F">
        <w:rPr>
          <w:rFonts w:ascii="Times New Roman" w:hAnsi="Times New Roman" w:cs="Times New Roman"/>
          <w:b/>
          <w:bCs/>
          <w:sz w:val="24"/>
          <w:szCs w:val="24"/>
        </w:rPr>
        <w:t>Fig</w:t>
      </w:r>
      <w:r w:rsidR="000663AA">
        <w:rPr>
          <w:rFonts w:ascii="Times New Roman" w:hAnsi="Times New Roman" w:cs="Times New Roman"/>
          <w:b/>
          <w:bCs/>
          <w:sz w:val="24"/>
          <w:szCs w:val="24"/>
        </w:rPr>
        <w:t>ure</w:t>
      </w:r>
      <w:r w:rsidRPr="0037337F">
        <w:rPr>
          <w:rFonts w:ascii="Times New Roman" w:hAnsi="Times New Roman" w:cs="Times New Roman"/>
          <w:b/>
          <w:bCs/>
          <w:sz w:val="24"/>
          <w:szCs w:val="24"/>
        </w:rPr>
        <w:t xml:space="preserve"> 10</w:t>
      </w:r>
      <w:r w:rsidR="00BC521B">
        <w:rPr>
          <w:rFonts w:ascii="Times New Roman" w:hAnsi="Times New Roman" w:cs="Times New Roman"/>
          <w:b/>
          <w:bCs/>
          <w:sz w:val="24"/>
          <w:szCs w:val="24"/>
        </w:rPr>
        <w:t>.</w:t>
      </w:r>
      <w:r w:rsidRPr="0037337F">
        <w:rPr>
          <w:rFonts w:ascii="Times New Roman" w:hAnsi="Times New Roman" w:cs="Times New Roman"/>
          <w:sz w:val="24"/>
          <w:szCs w:val="24"/>
        </w:rPr>
        <w:t xml:space="preserve"> The relationship between the Agriculture System concept and its sub-concepts in the study "Farmers Social Movement."</w:t>
      </w:r>
    </w:p>
    <w:p w14:paraId="53FD1CBE" w14:textId="77777777" w:rsidR="00197B65" w:rsidRPr="0037337F" w:rsidRDefault="008218B0" w:rsidP="000663AA">
      <w:pPr>
        <w:spacing w:line="240" w:lineRule="auto"/>
        <w:ind w:firstLine="425"/>
        <w:jc w:val="both"/>
        <w:rPr>
          <w:rFonts w:ascii="Times New Roman" w:hAnsi="Times New Roman" w:cs="Times New Roman"/>
          <w:sz w:val="24"/>
          <w:szCs w:val="24"/>
          <w:lang w:val="id-ID"/>
        </w:rPr>
      </w:pPr>
      <w:r w:rsidRPr="0037337F">
        <w:rPr>
          <w:rFonts w:ascii="Times New Roman" w:hAnsi="Times New Roman" w:cs="Times New Roman"/>
          <w:sz w:val="24"/>
          <w:szCs w:val="24"/>
        </w:rPr>
        <w:t xml:space="preserve">Farmers’ social movement in the issue of agricultural ecology is related to their collective efforts to maintain the sustainability of the agricultural ecosystem by integrating management oriented towards a sustainable environment through an organic approach. In many studies, this movement is based on a participatory and collaborative approach from various stakeholders, such as the private sector, farmers, and the government, which jointly formulate programs and strategies </w:t>
      </w:r>
      <w:r w:rsidRPr="0037337F">
        <w:rPr>
          <w:rFonts w:ascii="Times New Roman" w:hAnsi="Times New Roman" w:cs="Times New Roman"/>
          <w:sz w:val="24"/>
          <w:szCs w:val="24"/>
        </w:rPr>
        <w:lastRenderedPageBreak/>
        <w:t>to support the use of agricultural land for economic benefits and the sustainability of its ecosystems. The agroecology-oriented movement involves community participation in which there are access and opportunity for them to obtain information and education on conservation, agricultural governance, and land use, which is environmentally oriented sustainably.</w:t>
      </w:r>
    </w:p>
    <w:p w14:paraId="30447C51" w14:textId="77777777" w:rsidR="00197B65" w:rsidRPr="0037337F" w:rsidRDefault="008218B0" w:rsidP="000663AA">
      <w:pPr>
        <w:spacing w:line="240" w:lineRule="auto"/>
        <w:ind w:firstLine="425"/>
        <w:jc w:val="both"/>
        <w:rPr>
          <w:rFonts w:ascii="Times New Roman" w:hAnsi="Times New Roman" w:cs="Times New Roman"/>
          <w:sz w:val="24"/>
          <w:szCs w:val="24"/>
        </w:rPr>
      </w:pPr>
      <w:r w:rsidRPr="0037337F">
        <w:rPr>
          <w:rFonts w:ascii="Times New Roman" w:hAnsi="Times New Roman" w:cs="Times New Roman"/>
          <w:sz w:val="24"/>
          <w:szCs w:val="24"/>
        </w:rPr>
        <w:t>The stakeholder relationship cluster in this study is related to the relationship between farmers, the private sector, and consumers of agricultural products. These concepts and sub-concepts have a very strong relationship with Jaccard's Scale Score of 0.8-0.9. In this context, farmers seek to build synergy with several mutually beneficial parties in agricultural production activities. However, several studies showed that the state and the private sector are the dominant actors in regulating agricultural production activities, marketing, and determining the price of products directed at the interests of the state and private sector. For instance, farmers interested in maintaining the sustainability of the agricultural ecosystem. Furthermore, the state has an interest in increasing agricultural sector income by involving the private sector. However, several other studies showed that farmers and the private sector work together in managing the agricultural sector, which is mutually beneficial to the economy for stakeholders and to maintain sustainability.</w:t>
      </w:r>
    </w:p>
    <w:p w14:paraId="4E61FA5B" w14:textId="77777777" w:rsidR="00197B65" w:rsidRPr="0037337F" w:rsidRDefault="008218B0" w:rsidP="008739A2">
      <w:pPr>
        <w:spacing w:line="240" w:lineRule="auto"/>
        <w:jc w:val="center"/>
        <w:rPr>
          <w:rFonts w:ascii="Times New Roman" w:hAnsi="Times New Roman" w:cs="Times New Roman"/>
          <w:sz w:val="24"/>
          <w:szCs w:val="24"/>
          <w:lang w:val="id-ID"/>
        </w:rPr>
      </w:pPr>
      <w:r w:rsidRPr="0037337F">
        <w:rPr>
          <w:rFonts w:ascii="Times New Roman" w:hAnsi="Times New Roman" w:cs="Times New Roman"/>
          <w:noProof/>
          <w:sz w:val="24"/>
          <w:szCs w:val="24"/>
        </w:rPr>
        <w:drawing>
          <wp:inline distT="0" distB="0" distL="0" distR="0" wp14:anchorId="286E0513" wp14:editId="38DFD183">
            <wp:extent cx="4806997" cy="4747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4809495" cy="4750362"/>
                    </a:xfrm>
                    <a:prstGeom prst="rect">
                      <a:avLst/>
                    </a:prstGeom>
                    <a:noFill/>
                    <a:ln>
                      <a:noFill/>
                    </a:ln>
                  </pic:spPr>
                </pic:pic>
              </a:graphicData>
            </a:graphic>
          </wp:inline>
        </w:drawing>
      </w:r>
    </w:p>
    <w:p w14:paraId="1FCE411D" w14:textId="1CEE0C21" w:rsidR="00197B65" w:rsidRPr="0037337F" w:rsidRDefault="008218B0" w:rsidP="008739A2">
      <w:pPr>
        <w:spacing w:line="240" w:lineRule="auto"/>
        <w:jc w:val="center"/>
        <w:rPr>
          <w:rFonts w:ascii="Times New Roman" w:hAnsi="Times New Roman" w:cs="Times New Roman"/>
          <w:sz w:val="24"/>
          <w:szCs w:val="24"/>
        </w:rPr>
      </w:pPr>
      <w:r w:rsidRPr="0037337F">
        <w:rPr>
          <w:rFonts w:ascii="Times New Roman" w:hAnsi="Times New Roman" w:cs="Times New Roman"/>
          <w:b/>
          <w:bCs/>
          <w:sz w:val="24"/>
          <w:szCs w:val="24"/>
        </w:rPr>
        <w:t>Fig</w:t>
      </w:r>
      <w:r w:rsidR="000663AA">
        <w:rPr>
          <w:rFonts w:ascii="Times New Roman" w:hAnsi="Times New Roman" w:cs="Times New Roman"/>
          <w:b/>
          <w:bCs/>
          <w:sz w:val="24"/>
          <w:szCs w:val="24"/>
        </w:rPr>
        <w:t>ure</w:t>
      </w:r>
      <w:r w:rsidRPr="0037337F">
        <w:rPr>
          <w:rFonts w:ascii="Times New Roman" w:hAnsi="Times New Roman" w:cs="Times New Roman"/>
          <w:b/>
          <w:bCs/>
          <w:sz w:val="24"/>
          <w:szCs w:val="24"/>
        </w:rPr>
        <w:t xml:space="preserve"> 11</w:t>
      </w:r>
      <w:r w:rsidR="00BC521B">
        <w:rPr>
          <w:rFonts w:ascii="Times New Roman" w:hAnsi="Times New Roman" w:cs="Times New Roman"/>
          <w:b/>
          <w:bCs/>
          <w:sz w:val="24"/>
          <w:szCs w:val="24"/>
        </w:rPr>
        <w:t>.</w:t>
      </w:r>
      <w:r w:rsidRPr="0037337F">
        <w:rPr>
          <w:rFonts w:ascii="Times New Roman" w:hAnsi="Times New Roman" w:cs="Times New Roman"/>
          <w:sz w:val="24"/>
          <w:szCs w:val="24"/>
        </w:rPr>
        <w:t xml:space="preserve"> The relationship between the concept of stakeholders and sub-concepts in the study "Farmers Social Movement."</w:t>
      </w:r>
    </w:p>
    <w:p w14:paraId="46A4B706" w14:textId="186E7D52" w:rsidR="00197B65" w:rsidRDefault="008218B0" w:rsidP="000663AA">
      <w:pPr>
        <w:spacing w:line="240" w:lineRule="auto"/>
        <w:ind w:firstLine="284"/>
        <w:jc w:val="both"/>
        <w:rPr>
          <w:rFonts w:ascii="Times New Roman" w:hAnsi="Times New Roman" w:cs="Times New Roman"/>
          <w:sz w:val="24"/>
          <w:szCs w:val="24"/>
        </w:rPr>
      </w:pPr>
      <w:r w:rsidRPr="0037337F">
        <w:rPr>
          <w:rFonts w:ascii="Times New Roman" w:hAnsi="Times New Roman" w:cs="Times New Roman"/>
          <w:sz w:val="24"/>
          <w:szCs w:val="24"/>
        </w:rPr>
        <w:lastRenderedPageBreak/>
        <w:t>The synergy of stakeholders in managing the agricultural sector depends on the predetermined values, their influence, impact, adaptation to change, the consequences of the relationships formed, the awareness and behavior of each stakeholder in perceiving the agricultural sector. Previous research showed that stakeholders have different values, therefore, it requires a communication process to equalize the process aimed at a sustainable agricultural ecosystem. The influence of stakeholders in the farmers’ social movement is related to the ability of each stakeholder to influence other actors in forming networks that play a significant role in building awareness and shaping behavior with a sustainable environmental perspective. The relationship between stakeholders in the farmer social movement is particularly directed towards realizing a sustainable agricultural ecosystem between the economic interests of farmers, the private sector, the state, and the interests of a sustainable environment.</w:t>
      </w:r>
    </w:p>
    <w:p w14:paraId="65EA35D2" w14:textId="2E3C67B5" w:rsidR="008739A2" w:rsidRPr="008739A2" w:rsidRDefault="008739A2" w:rsidP="008739A2">
      <w:pPr>
        <w:spacing w:line="240" w:lineRule="auto"/>
        <w:jc w:val="both"/>
        <w:rPr>
          <w:rFonts w:ascii="Times New Roman" w:hAnsi="Times New Roman" w:cs="Times New Roman"/>
          <w:b/>
          <w:bCs/>
          <w:sz w:val="24"/>
          <w:szCs w:val="24"/>
        </w:rPr>
      </w:pPr>
      <w:r w:rsidRPr="008739A2">
        <w:rPr>
          <w:rFonts w:ascii="Times New Roman" w:hAnsi="Times New Roman" w:cs="Times New Roman"/>
          <w:b/>
          <w:bCs/>
          <w:sz w:val="24"/>
          <w:szCs w:val="24"/>
        </w:rPr>
        <w:t>Conceptual Model of Farmers' Social Movement Study</w:t>
      </w:r>
    </w:p>
    <w:p w14:paraId="380E3194" w14:textId="6B1A2AD6" w:rsidR="00197B65" w:rsidRPr="0037337F" w:rsidRDefault="008218B0" w:rsidP="000663AA">
      <w:pPr>
        <w:spacing w:line="240" w:lineRule="auto"/>
        <w:ind w:firstLine="284"/>
        <w:jc w:val="both"/>
        <w:rPr>
          <w:rFonts w:ascii="Times New Roman" w:hAnsi="Times New Roman" w:cs="Times New Roman"/>
          <w:sz w:val="24"/>
          <w:szCs w:val="24"/>
          <w:lang w:val="id-ID"/>
        </w:rPr>
      </w:pPr>
      <w:r w:rsidRPr="0037337F">
        <w:rPr>
          <w:rFonts w:ascii="Times New Roman" w:hAnsi="Times New Roman" w:cs="Times New Roman"/>
          <w:sz w:val="24"/>
          <w:szCs w:val="24"/>
        </w:rPr>
        <w:t>Based on the concept mapping analysis, it was formulated that this study is related to three main concepts, namely social movements and governance, agricultural systems, and stakeholder relations. Furthermore, these three main concepts have their respective sub-concepts, which are related to one another. The concept of social movement and governance comprises sub-concepts with a sociological character, such as power, socio-political networks, conflict, resistance, struggle, civil society, the existence of actors, civil society, and social movement processes. The sub-concept in the concept shows that the study of farmers as part of sociological research related to theories of social movements, conflict, and class struggle, is used to explain and understand their problems.</w:t>
      </w:r>
      <w:r w:rsidRPr="0037337F">
        <w:rPr>
          <w:rFonts w:ascii="Times New Roman" w:hAnsi="Times New Roman" w:cs="Times New Roman"/>
          <w:sz w:val="24"/>
          <w:szCs w:val="24"/>
          <w:lang w:val="id-ID"/>
        </w:rPr>
        <w:t xml:space="preserve"> The orientation of the movement related to this concept is directed at the struggle and resistance of peasants against state policies that ignore the interests of </w:t>
      </w:r>
      <w:r w:rsidRPr="0037337F">
        <w:rPr>
          <w:rFonts w:ascii="Times New Roman" w:hAnsi="Times New Roman" w:cs="Times New Roman"/>
          <w:sz w:val="24"/>
          <w:szCs w:val="24"/>
        </w:rPr>
        <w:t>farmers</w:t>
      </w:r>
      <w:r w:rsidRPr="0037337F">
        <w:rPr>
          <w:rFonts w:ascii="Times New Roman" w:hAnsi="Times New Roman" w:cs="Times New Roman"/>
          <w:sz w:val="24"/>
          <w:szCs w:val="24"/>
          <w:lang w:val="id-ID"/>
        </w:rPr>
        <w:t xml:space="preserve"> and prioritize the interests of global capitalist groups</w:t>
      </w:r>
      <w:r w:rsidR="008A7101">
        <w:rPr>
          <w:rFonts w:ascii="Times New Roman" w:hAnsi="Times New Roman" w:cs="Times New Roman"/>
          <w:sz w:val="24"/>
          <w:szCs w:val="24"/>
        </w:rPr>
        <w:t xml:space="preserve"> </w:t>
      </w:r>
      <w:r w:rsidR="008A7101">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{"citationItems":[{"id":"ITEM-1","itemData":{"DOI":"10.1080/03066159408438554","ISBN":"0306615940","ISSN":"17439361","abstract":"It is said that the industrial worker is much better off than the bulk of the rural population and that there is, therefore, much less need for the State to do anything for him than for the rural population. I have noticed that this plea most often proceeds from people who want the State to do nothing either for the one or the other.’ An observation made by D.R. Gadgil [1945: 101] in the Banaili Readership Lectures given at Patna University during March-April 1940. ‘Nations are products of Nature: History is merely a progressive continuation of animal development’. Alexander Herzen [1956: 178], ‘The Russian People and Socialism: An Open Letter to Jules Michelet’, 1851. © 1994, Taylor &amp; Francis Group, LLC. All rights reserved.","author":[{"dropping-particle":"","family":"Brass","given":"Tom","non-dropping-particle":"","parse-names":false,"suffix":""}],"container-title":"The Journal of Peasant Studies","id":"ITEM-1","issue":"3-4","issued":{"date-parts":[["1994"]]},"number-of-pages":"27-71","title":"The Politics of Gender, Nature and Nation in the Discourse of the New Farmers’ Movements","type":"book","volume":"21"},"uris":["http://www.mendeley.com/documents/?uuid=13bfe62d-29dd-4db9-95de-3dcf12d1ec28"]}],"mendeley":{"formattedCitation":"(Tom Brass, 1994)","plainTextFormattedCitation":"(Tom Brass, 1994)","previouslyFormattedCitation":"(Tom Brass, 1994)"},"properties":{"noteIndex":0},"schema":"https://github.com/citation-style-language/schema/raw/master/csl-citation.json"}</w:instrText>
      </w:r>
      <w:r w:rsidR="008A7101">
        <w:rPr>
          <w:rFonts w:ascii="Times New Roman" w:hAnsi="Times New Roman" w:cs="Times New Roman"/>
          <w:sz w:val="24"/>
          <w:szCs w:val="24"/>
        </w:rPr>
        <w:fldChar w:fldCharType="separate"/>
      </w:r>
      <w:r w:rsidR="008A7101" w:rsidRPr="008A7101">
        <w:rPr>
          <w:rFonts w:ascii="Times New Roman" w:hAnsi="Times New Roman" w:cs="Times New Roman"/>
          <w:noProof/>
          <w:sz w:val="24"/>
          <w:szCs w:val="24"/>
        </w:rPr>
        <w:t>(Tom Brass, 1994)</w:t>
      </w:r>
      <w:r w:rsidR="008A7101">
        <w:rPr>
          <w:rFonts w:ascii="Times New Roman" w:hAnsi="Times New Roman" w:cs="Times New Roman"/>
          <w:sz w:val="24"/>
          <w:szCs w:val="24"/>
        </w:rPr>
        <w:fldChar w:fldCharType="end"/>
      </w:r>
      <w:r w:rsidRPr="0037337F">
        <w:rPr>
          <w:rFonts w:ascii="Times New Roman" w:hAnsi="Times New Roman" w:cs="Times New Roman"/>
          <w:sz w:val="24"/>
          <w:szCs w:val="24"/>
          <w:lang w:val="id-ID"/>
        </w:rPr>
        <w:t>.</w:t>
      </w:r>
    </w:p>
    <w:p w14:paraId="1390D0C9" w14:textId="5FA08D56" w:rsidR="00197B65" w:rsidRPr="0037337F" w:rsidRDefault="008218B0" w:rsidP="000663AA">
      <w:pPr>
        <w:spacing w:line="240" w:lineRule="auto"/>
        <w:ind w:firstLine="284"/>
        <w:jc w:val="both"/>
        <w:rPr>
          <w:rFonts w:ascii="Times New Roman" w:hAnsi="Times New Roman" w:cs="Times New Roman"/>
          <w:sz w:val="24"/>
          <w:szCs w:val="24"/>
          <w:lang w:val="id-ID"/>
        </w:rPr>
      </w:pPr>
      <w:r w:rsidRPr="0037337F">
        <w:rPr>
          <w:rFonts w:ascii="Times New Roman" w:hAnsi="Times New Roman" w:cs="Times New Roman"/>
          <w:sz w:val="24"/>
          <w:szCs w:val="24"/>
        </w:rPr>
        <w:t>Sub-concepts in the concept of agricultural systems are related to the community (farmer groups), land management, agroecology, management of protected areas (forests), conservation, and empowerment of the agricultural sector. This sub-concept is an integrated and interrelated concept in this, which focuses on collective movements in realizing sustainable environmentally-oriented agricultural governance. In the agricultural system, it describes a movement based on education, research, and socialization oriented towards building mutual awareness in realizing environmental balance, such as agricultural, conservation, and nature activities carried out through an agroecological approach</w:t>
      </w:r>
      <w:r w:rsidR="008A7101">
        <w:rPr>
          <w:rFonts w:ascii="Times New Roman" w:hAnsi="Times New Roman" w:cs="Times New Roman"/>
          <w:sz w:val="24"/>
          <w:szCs w:val="24"/>
        </w:rPr>
        <w:t xml:space="preserve"> </w:t>
      </w:r>
      <w:r w:rsidR="008A7101">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{"citationItems":[{"id":"ITEM-1","itemData":{"DOI":"10.1016/j.jrurstud.2020.06.019","ISSN":"07430167 (ISSN)","abstract":"Agricultural cooperatives (ACs) are major players in European farming, where they account for 40–60% of agricultural trade, and are key actors in articulating rural realities. This paper offers a solidary critique of ACs beyond the dominant institutional economics lens, and aims to resume the debate on their de/repoliticisation. Evidence presented points towards a continuous process of co-optation of ACs by the dominant food regime as well as decreased adherence to cooperative principles, revealing theoretical parallelisms with the organic and fair trade movements. While acknowledging the important role ACs play in supporting farmers, many of who interviewed for this research reported they could not survive without them, this paper warns of the loss of their historical political roots, and introduces a new theoretical framework for a more integrated study of ACs in the context of wider food system forces. The framework is composed of three conceptual components: first, the coooperative triangle illustrates interwoven cooperative identitary dimensions; second, the cooperative hourglass depicts ongoing tensions between the cooperative economic and governance model, and the market economy they exist in; and third, the concept of cooperative sustainability brings together the previous two components to analyse ACs' ability and capacity to maintain the dimensions indicated in the cooperative triangle while also fostering environmental sustainability through their practices. © 2020","author":[{"dropping-particle":"","family":"Ajates","given":"R","non-dropping-particle":"","parse-names":false,"suffix":""}],"container-title":"Journal of Rural Studies","id":"ITEM-1","issued":{"date-parts":[["2020"]]},"language":"English","note":"Cited By :1\n\nExport Date: 3 March 2021\n\nCODEN: JRSTF\n\nFunding details: University of London, UoL\n\nFunding text 1: This research was funded by the Centre for Food Policy at City, University of London .\n\nReferences: Ajates, R., Agricultural cooperatives remaining competitive in a globalised food system: At what cost to members, the cooperative movement and food sustainability? (2019) Organization, 27 (2), pp. 337-355; \nAjates Gonzalez, R., Going back to go forwards? From multi-stakeholder cooperatives to Open Cooperatives in food and farming (2017) J. Rural Stud., 53, pp. 278-290;\nAjates Gonzalez, R., The solution cannot be conventionalised: protecting the alterity of fairer and more sustainable food networks (2017) Food Futures: Multidisciplinary Solutions, , J. Duncan M. Bailey Routledge ISBN (Electronic) 9781138206168, ISBN (Print) 9781138207004;\nAjates Gonzalez, R., Thomas, J., Chang, M., Translating agroecology into policy: The case of France and the United Kingdom (2018) Sustainability, 10 (8), p. 2930;\nAltieri, M., (2007) Fatal Harvest: Old and New Dimensions of the Ecological Tragedy of Modern Agriculture. Sustainable Resource Management, pp. 189-213. , Nemetz Peter Edward Elgar Publishers Cambridge;\nBaranchenko, Y., Oglethorpe, D., The potential environmental benefits of co-operative businesses within the climate change agenda (2012) Bus. Strat. Environ., 21 (3), pp. 197-210;\nBarton, D., Cooperative principles (1989) Cooperatives in Agriculture, , David Cobia Prentice Hall;\nBerthelot, J., The European agricultural cooperatives, promoters of the unequal globalization (2012) Solidarité, pp. 1-12. , https://www.sol-asso.fr/wp-content/uploads/2012/08/EU_agricultural_cooperatives_promoters_of_the_unequal_globalization_Solidarite.pdf, Available:;\nBijman, J., Agricultural Cooperatives and Market Orientation: a Challenging Combination? Market Orientation: Transforming Food and Agribusiness Around the Customer (2010), pp. 119-136; Bijman, J., Hanisch, M., van der SANGEN, G., Shifting control? The changes of internal governance in agricultural cooperatives in the EU (2014) Ann. Public Cooperat. Econ., 85 (4), pp. 641-661;\nBijman, J., Iliopoulos, C., Poppe, K., Support for Farmers' Cooperatives, Case Study Report (2012), Wageningen UR Wageningen; Bijman, J., Pyykkönen, P., Ollila, P., Transnationalization of agricultural cooperatives in Europe (2014) The Dovenschmidt Q., 4, pp. 168-178;\nBirchall, J., Co-op: the People's Business (1994), Manchester University Press Manchester; Birchall, J., Co-operative principles ten years on (2005) Int. Co- op. Alliance, 98 (2), pp. 45-63;\nBirchall, J., People-centred Businesses: Co-operatives, Mutuals and the Idea of Membership (2010), Palgrave Macmillan London; Buck, D., Daniel, Getz, C., Guthman, J., From farm to table: The organic vegetable commodity chain of northern California (1997) Sociologia Ruralis, 37 (1), pp. 3-20;\nCalle Collado, A., Soler Montiel, M., La desafección al sistema agroalimentario: ciudadanía y redes sociales (2012) Interf. A Journal for and about Soc. Movements, 4 (2), pp. 459-489;\nChaddad, F., Both markets and hierarchy: understanding the hybrid nature of cooperatives (2009) International Workshop “Rural Cooperation in the 21st Century: Lessons from the Past, Pathways to the Future” Rehovot, Israel, June 15-17;\nChloupkova, J., Svendsen, G.L.H., Svendsen, G.T., Building and destroying social capital: the case of cooperative movements in Denmark and Poland (2003) Agric. Hum. Val., 20 (3), pp. 241-252;\nCooperativas Agro-alimentarias, Estudio diagnóstico sobre la situación del Cooperativismo Agroalimentario en España, Análisis DAFO (2013), Cooperativas Agro-alimentarias Madrid; Co-operatives, U.K., Agricultural Co-operatives, Policy Position Briefing (2014), Co- operatives UK Manchester; The power of cooperation. Cooperatives Europe key figures 2015 (2016), https://coopseurope.coop/sites/default/files/The_power_of_Cooperation_Cooperatives_Europe_key_statistics_2015.pdf, Available:; History and objectives. COGECA (2015), http://www.copa-cogeca.be/Main.aspx?page=CogecaHistory&amp;amp;lang=en, Available: (Accessed 3 September 2015); Cook, M.L., Iliopoulos, C., Beginning to Inform the Theory of the Cooperative Firm: Emergence of the New Generation Cooperative (1999), Agricultural Economics Publications (MU); Cook, M.L., Iliopoulos, C., Chaddad, F.R., Advances in Cooperative Theory since 1990: A Review of Agricultural Economics Literature (2004), pp. 65-90. , Restructuring Agricultural Cooperatives Rotterdam; COPA-COGECA, (2020) European farmers and agri-cooperatives warn against endangering strategic EU interests in food security, agricultural competitiveness and farming income, , https://copa-cogeca.eu/Main.aspx?page=Archive, COPA-COGECA Press release;\nDavey, B., Josling, T.E., McFarquhar, A., Agriculture and the State - British Policy in a World Context (1976), Macmillan London; Denzin, N.K., Giardina, M.D., Qualitative Inquiry and the Politics of Evidence (2008), Left Coast Press; Develtere, P., Co-operatives and development: towards a social movement perspective (1992) Occasional Paper n.92e03. Saskatchewan: Centre for the Study of Co-operatives;\nDunn, J.R., Basic cooperative principles and their relationship to selected practices (1988) J. Agric. Coop., 3, pp. 83-93;\nEmery, S.B., Independence and individualism: conflated values in farmer cooperation? (2015) Agric. Hum. Val., 32 (Issue 1), pp. 47-61;\nEmery, S.B., Forney, J., Wynne-Jones, S., The more-than-economic dimensions of cooperation in food production (2017) J. Rural Stud., 53, pp. 229-235;\nFairtrade Foundation, Fair and Local: Farmers of the World Unite? (2011), Fairtrade Foundation London; Favaro, L., Mediating intimacy online: authenticity, magazines and chasing the clicks (2017) J. Gend. Stud., 26 (3), pp. 321-334;\nFeng, L., Nilsson, J., Ollila, P., Karantininis, K., The Human Values behind Farmers' Loyalty to Their Cooperatives. Limassol: 5th International Conference on Economics and Management of Networks (2011); Fonte, M., Cucco, I., Cooperatives and alternative food networks in Italy. The long road towards a social economy in agriculture (2017) J. Rural Stud., 53, pp. 291-302;\nForney, J., Häberli, I., Co-operative values beyond hybridity: the case of farmers’ organisations in the swiss dairy sector (2017) Journal of Rural Studies, 53, pp. 236-246;\nFriedmann, H., Feeding the empire: The pathologies of globalized agriculture (2005) Socialist register, 41;\nFulton, M., Traditional versus New Generation Cooperative. A Cooperative Approach to Local Economic Development. Westport: Quorum Books, CT (2000); Gaeta, D., Corsinovi, P., (2014) Economics, governance, and politics in the wine market: European Union developments, , Springer;\nGeoSAS, Rwanda Consultation Report. African Gender, Climate Change and Agriculture Support Program (Gccasp) (2012), Addis Ababa: African Union; Giagnocavo, C., The Almería Agricultural Cooperative Model: Creating Successful Economic and Social Communities (2012), United Nations, Division for Social Policy and Development, Department of Economic and Social Affairs New York; Giagnocavo, C., Bienvenido, F., Ming, L., Yurong, Z., Agricultural cooperatives and the role of organisational models in new intelligent traceability systems and big data analysis (2017) Int. J. Agric. Biol. Eng., 10 (5), pp. 115-125;\nGoldsmith, P.D., Kane, S., The Farm Business Environment and New Generation Cooperatives as an Innovation Strategy. NCR-194 Research on Cooperatives Annual Meeting Number (2002); Gómez López, J.D., (2004) Las cooperativas agrarias. Instrumento de desarrollo rural, , Universidad de Alicante Alicante;\nGómez López, J.D., El movimiento cooperativo agrario en España y la Unión Europea: Evolución y cambios verificados ante el proceso de internacionalización del capital (2009) Boletin de Geografia, pp. 15-23;\nGoodman, D., DuPuis, E.M., Goodman, M.K., Alternative Food Networks: Knowledge, Practice and Politics (2011), Routledge Oxon; Gray, T., Agricultural cooperatives (2014) Encyclopedia of Food and Agricultural Ethics, pp. 46-54. , P. Thompson D. Kaplan Springer Netherlands;\nGray, T., Historical tensions, institutionalization, and the need for multistakeholder cooperatives (2014) J. Agric. Food Syst. and Community Dev., 4 (3), pp. 23-28;\nGriffiths, P., Ethical objections to fairtrade (2012) J. Bus. Ethics, 105 (3), pp. 357-373;\nGuthman, J., The trouble with ‘Organic Lite’ in California: a rejoinder to the ‘Conventionalisation’ debate (2004) Sociologia Ruralis, 44 (3), pp. 301-316;\nGuzmán, G.G., Mielgo, A., La investigación participativa en agroecología: Una herramienta para el desarrollo sustentable (2007) Revista Ecosistemas, 16 (1);\nHanisch, M., Rommel, J., Support for farmers’ cooperatives; Case study report. Producer organizations in European dairy farming (2012) Wageningen: Wageningen UR;\nHarris, A., Stefanson, B., Fulton, M., New generation cooperatives and cooperative theory (1996) J. Coop., 11, pp. 15-28;\nHenrÿ, H., (2012) ILO guidelines on co-operative legislation., , http://ica.coop/en/media/news/ilo-updates-guidelines-co-operative-legislation, 3rd revised edn. International Labour Organization;\nHingley, M., Mikkola, M., Canavari, M., Asioli, D., Local and sustainable food supply: The role of European retail consumer co-operatives (2011) Int. J. Food Syst. Dynam., 2 (4), pp. 340-356;\nHuggins, C.D., Control Grabbing and small-scale agricultural intensification: emerging patterns of state-facilitated ‘agricultural investment’ in Rwanda (2014) J. Peasant Stud., 41 (3), pp. 365-384;\nICA, Co-operative identity, values and principles (2015) Int. Cooper. Alliance, , http://ica.coop/en/whats-co-op/co-operative-identity-values-principles;\nICA, Agricultural co-ops in North America and Europe (UN/ECE 1995) (1995), http://www.uwcc.wisc.edu/icic/today/ag/na-europe.html, Available: (Accessed 23 November 2016); Global 300 Report 2010. International Cooperative Alliance (2011), http://ica.coop/sites/default/files/media_items/Global300Report2011.pdf, Available: (Accessed 24 April 2016); Iliopoulos, C., New generation cooperatives: the potential of an innovative institutional arrangement for Mediterranean food supply chains (2005) New Medit, 4 (1), pp. 14-20;\nJones, D., Kalmi, P., Economies of scale versus participation: a Co-operative dilemma? (2012) J. Entrepreneurial and Organ. Divers., 1 (1), pp. 37-64;\nKalmi, P., The disappearance of cooperatives from economics textbooks (2007) Camb. J. Econ., 31 (4), pp. 625-647;\nKarantininis, K., Nilsson, J., Vertical Markets and Cooperative Hierarchies: the Role of Cooperatives in the Agri-Food Industry (2007), Springer, Science &amp;amp; Business Media; Kasabov, E., Investigating difficulties and failure in early-stage rural cooperatives through a social capital lens (2016) Eur. Urban Reg. Stud., 23 (4), pp. 895-916;\nKontogeorgos, A., Sergaki, P., Chatzitheodoridis, F., An assessment of new farmers’ perception about agricultural cooperatives (2017) J. Dev. Entrepreneurship, 22 (1);\nLamine, C., Settling shared uncertainties: local partnerships between producers and consumers (2005) Sociologia Ruralis, 45 (4), pp. 324-345;\nLang, T., Barling, D., Caraher, M., (2009) Food policy: integrating health, environment and society, , Oxford University Press Oxford;\nLevidow, L., Pimbert, M., Vanloqueren, G., Agroecology in Europe: conforming or transforming the dominant agro-food regime (2014) Agroecol. Sustain. Food Syst., 38 (10), pp. 1127-1155;\nLittle, R., Maye, D., Ilbery, B., Collective purchase: Moving local and organic foods beyond the niche market (2010) Environ. Plan., 42 (8), pp. 1797-1813;\nMarcis, J., Sustainability performance evaluation of agricultural cooperatives’ operations: a systemic review of the literature (2019) Environ. Dev. Sustain., 21 (3), pp. 1111-1126;\nMerrett, C.D., Walzer, N., (2004) Cooperatives and Local Development: Theory and Applications for the 21st Century, , M.E. Sharpe New York;\nMooney, P.H., Democratizing rural economy: institutional friction, sustainable struggle and the cooperative movement (2004) Rural Sociol., 69 (1), pp. 76-98;\nMooney, P.H., Majka, T.J., Farmers' and Farmworkers' Movements: Social Protest in American Agriculture. Social Movements Past and Present (1995), Twayne Publishers Inc USA; Mooney, P.H., Roahrig, J., Gray, T., The de/repoliticization of cooperation and the discourse of conversion (1996) Rural Sociol., 61 (4), pp. 559-576;\nMoragues-Faus, A.M., Sonnino, R., Embedding quality in the agro-food system: The dynamics and implications of place-making strategies in the olive oil sector of Alto Palancia, Spain (2012) Sociologia Ruralis, 52 (2), pp. 215-234;\nMulqueen, T., When a business isn't a business: law and the political in the history of the United Kingdom's co-operative movement (2011) Oñati Socio-Legal Ser., 2 (2), pp. 36-56;\nMurray, G.C., Towards an agricultural co-operative classification (1983) J. Agric. Econ., 34 (2), pp. 151-161;\nMwambi, M., Bijman, J., Mshenga, P., Which type of producer organization is (more) inclusive? Dynamics of farmers’ membership and participation in the decision-making process (2020) Ann. Public Cooper. Econ., 91 (2), pp. 213-236;\nNilsson, J., Svendsen, G.L., Svendsen, G.T., Are large and complex agricultural cooperatives losing their social capital? (2012) Agribusiness, 28 (2), pp. 187-204;\nOakeshott, R., The Case for Workers' Co-ops (1978), Routledge and Kegan Paul London; Ortmann, G.F., King, R.P., Agricultural cooperatives I: history, theory and problems (2007) Agrekon, 46 (1), pp. 18-46;\nOstrom, E., Governing the Commons: the Evolution of Institutions for Collective Action (1990), Cambridge: Cambridge University Press; Oustapassidis, K., Structural characteristics of agricultural cooperatives in Britain (1988) J. Agric. Econ., 39 (2), pp. 231-242;\nPaquet, G., Quantophrenia (2009) Optimum Online, 39 (1), p. 54;\nPérez Neira, D., Soler Montiel, M., Agroecología y ecofeminismo para descolonizar y despatriarcalizar la alimentación globalizada (2013) Revista internacional de pensamiento político, 8, pp. 95-113;\nRhodes, R., Empire and Co-operation: How the British Empire Used Co-operatives in its Development Strategies, 1900-1970 (2012), John Donald Edinburgh; Rosin, C., Campbell, H., Beyond bifurcation: Examining the conventions of organic agriculture in New Zealand (2009) J. Rural Stud., 25 (1), pp. 35-47;\nSanchez Bajo, C., Roelants, B., Capital and the Debt Trap: Learning from Co-operatives in the Global Crisis (2011), Palgrave Macmillan New York; SAOS, Annual Report (2017) Annual Report, , Scottish Agricultural Organisation Society Edinburgh;\nSennett, R., Together: the Rituals, Pleasures and Politics of Cooperation (2012), Penguin Group London; Seyfang, G., Ecological citizenship and sustainable consumption: Examining local organic food networks (2006) J. Rural Stud., 22 (4), pp. 383-395;\nSlaughter, S., Larry, L., Academic Capitalism: Politics, Policies, and the Entrepreneurial University (1997), The Johns Hopkins University Press Baltimore; Soberania Alimentaria, (2013) Reflexiones sobre el Cooperativismo Agrario. Soberania Alimentaria, 15. , Biodiversidad y Culturas, December;\nSomerville, P., Co-operative identity (2007) J. Co-op. Stud., 40 (1), pp. 5-17;\nStock, P.V., Neoliberal natures on the farm: farmer autonomy and cooperation in comparative perspective (2014) J. Rural Stud., 36, pp. 411-422;\nStofferahn, C.W., South Dakota soybean processors: the discourse of conversion from cooperative to limited liability corporation (2010) J. Coop., 24, pp. 13-43;\nSzabó, G.G., Co-operative identity' a concept for economic analysis and evaluation of Co-operative flexibility: the Dutch practice and the Hungarian reality in the dairy sector (2006) J. Co-op. Stud., 39 (3), pp. 11-26;\nTorgerson, R.E., Reynolds, B.J., Gray, T.W., Evolution of cooperative thought, theory and purpose (1997) Cooperatives: Their Importance in the Future of the Food and Agricultural System, , D. Padberg Texas A &amp;amp; M University College Station, Texas;\nTortia, E.C., Valentinov, V., Iliopoulos, C., Agricultural cooperatives (2013) J. Entrepreneurial and Organ. Divers., 2 (1), pp. 23-36;\nTracy, S.J., Qualitative quality: eight “big-tent” criteria for excellent qualitative research (2010) Qual. Inq., 16 (10), pp. 837-851;\nStrengthening Ethics within Agricultural Cooperatives (1997), USDA Rural Business Cooperative Service Research Report 151; Agricultural Cooperatives in the 21st Century (2002), http://www.rurdev.usda.gov/rbs/pub/cir-60.pdf, Available: (Accessed 21 February 2014); Comparing Cooperative Principles of the U.S. Department of Agriculture and the International Cooperative Alliance (2014), United States Department of Agriculture Washington; Van Bekkum, O., Cooperative models and farm policy reform: exploring patterns in structure-strategy matches of dairy cooperatives in regulated vs. liberalized markets (2001), van Gorcum Uitgeverij; Van Bekkum, O., van Dijk, G., Agricultural Co-operatives in the European Union: Trends and Issues on the Eve of the 21st Century (1997), Van Gorcum Assen; Van der Ploeg, J.D., Peasants and the Art of Farming. A Chayanovian Manifesto. Winnipeg: Fernwood (2013), PMid:19111966; Vanloqueren, G., Baret, P., How agricultural research systems shape a technological regime that develops genetic engineering but locks out agroecological innovations (2009) Res. Pol., 38 (6), pp. 971-983;\nVara Sánchez, I., Aprendiendo a elegir colectivamente: cooperativas agroecológicas de producción, distribución y consume (2008) Ciclos. n., 20, pp. 20-22;\nVasilachis de Gialdino, I., (2009) Ontological and Epistemological Foundations of Qualitative Research. Forum: Qualitative Social Research, [S.l.], 10. , n. 2, may. 2009;\nWeFarm4EU, Cooperation among farmers (2020) WeFarm4EU, , http://wefarm4.eu/cooperation-among-farmers-2/;\nWhyman, P.B., Co-operative principles and the evolution of the ‘dismal science’: the historical interaction between co-operative and mainstream economics (2012) Bus. Hist., 54 (6), pp. 833-854;\nWilson, F., MacLean, D., The Big Society, values and co-operation (2012) Work. Employ. Soc., 26.3, pp. 531-541;\nWynne-Jones, S., Understanding farmer co-operation: exploring practices of social relatedness and emergent affects (2017) J. Rural Stud., 53, pp. 259-268;\nZeuli, K., Cropp, R., Cooperatives: Principles and Practices in the 21st Century (2004), Cooperative Extension Publishing WisconsinUR - https://www.scopus.com/inward/record.uri?eid=2-s2.0-85088990227&amp;amp;doi=10.1016%2fj.jrurstud.2020.06.019&amp;amp;partnerID=40&amp;amp;md5=577a840b2badad6f1840efc256445f33","page":"467-479","publisher":"Elsevier Ltd","publisher-place":"Duncan of Jordanstone School of Art and Design, University of Dundee, Dundee, United Kingdom","title":"An integrated conceptual framework for the study of agricultural cooperatives: from repolitisation to cooperative sustainability","type":"article-journal","volume":"78"},"uris":["http://www.mendeley.com/documents/?uuid=47bac957-8571-451a-8c62-cace0c728cba"]}],"mendeley":{"formattedCitation":"(Ajates, 2020)","plainTextFormattedCitation":"(Ajates, 2020)","previouslyFormattedCitation":"(Ajates, 2020)"},"properties":{"noteIndex":0},"schema":"https://github.com/citation-style-language/schema/raw/master/csl-citation.json"}</w:instrText>
      </w:r>
      <w:r w:rsidR="008A7101">
        <w:rPr>
          <w:rFonts w:ascii="Times New Roman" w:hAnsi="Times New Roman" w:cs="Times New Roman"/>
          <w:sz w:val="24"/>
          <w:szCs w:val="24"/>
        </w:rPr>
        <w:fldChar w:fldCharType="separate"/>
      </w:r>
      <w:r w:rsidR="008A7101" w:rsidRPr="008A7101">
        <w:rPr>
          <w:rFonts w:ascii="Times New Roman" w:hAnsi="Times New Roman" w:cs="Times New Roman"/>
          <w:noProof/>
          <w:sz w:val="24"/>
          <w:szCs w:val="24"/>
        </w:rPr>
        <w:t>(Ajates, 2020)</w:t>
      </w:r>
      <w:r w:rsidR="008A7101">
        <w:rPr>
          <w:rFonts w:ascii="Times New Roman" w:hAnsi="Times New Roman" w:cs="Times New Roman"/>
          <w:sz w:val="24"/>
          <w:szCs w:val="24"/>
        </w:rPr>
        <w:fldChar w:fldCharType="end"/>
      </w:r>
      <w:r w:rsidR="008A7101">
        <w:rPr>
          <w:rFonts w:ascii="Times New Roman" w:hAnsi="Times New Roman" w:cs="Times New Roman"/>
          <w:sz w:val="24"/>
          <w:szCs w:val="24"/>
        </w:rPr>
        <w:t xml:space="preserve"> </w:t>
      </w:r>
      <w:r w:rsidRPr="0037337F">
        <w:rPr>
          <w:rFonts w:ascii="Times New Roman" w:hAnsi="Times New Roman" w:cs="Times New Roman"/>
          <w:sz w:val="24"/>
          <w:szCs w:val="24"/>
        </w:rPr>
        <w:t>. As part of a collective movement, the social movement in this context involves many actors, including farmers, environmental activists, authors, the government, and the private sector</w:t>
      </w:r>
      <w:r w:rsidR="008A7101">
        <w:rPr>
          <w:rFonts w:ascii="Times New Roman" w:hAnsi="Times New Roman" w:cs="Times New Roman"/>
          <w:sz w:val="24"/>
          <w:szCs w:val="24"/>
        </w:rPr>
        <w:t xml:space="preserve"> </w:t>
      </w:r>
      <w:r w:rsidR="008A7101">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{"citationItems":[{"id":"ITEM-1","itemData":{"DOI":"10.1145/3359159","ISSN":"25730142","abstract":"This paper discusses what infrastructuring in participatory design can contribute to processes of food system democratisation. It presents almost two years of engagement with a community-based organisation in a socioeconomically deprived neighbourhood in England with the aim of developing a local food hub. It documents how the collaborative work shifted from setting up an infrastructure to ongoing infrastructuring of an enabling environment to grow and sustain social innovation. While the former focused on a technological platform and a business to deliver inclusivity, customer experience, and marketing, the latter focuses on building lasting relationships on three levels: strengthening ties within the community-based organisation, offering social spaces to connect with the local community, and with other organisations by forming coalitions with mutual benefits. We contribute three design opportunities: First, in order to infrastructure the formation of publics around food initiatives, we need to design for relationship building. Second, we point to design implications for ethical aspirations, participation, and system transformation towards a food democracy. Finally, we reflect on the sustainability of infrastructuring and the role of designers to work towards independent infrastructures.","author":[{"dropping-particle":"","family":"Prost","given":"Sebastian","non-dropping-particle":"","parse-names":false,"suffix":""},{"dropping-particle":"","family":"Vlachokyriakos","given":"Vasilis","non-dropping-particle":"","parse-names":false,"suffix":""},{"dropping-particle":"","family":"Midgley","given":"Jane","non-dropping-particle":"","parse-names":false,"suffix":""},{"dropping-particle":"","family":"Heron","given":"Graeme","non-dropping-particle":"","parse-names":false,"suffix":""},{"dropping-particle":"","family":"Meziant","given":"Kahina","non-dropping-particle":"","parse-names":false,"suffix":""},{"dropping-particle":"","family":"Crivellaro","given":"Clara","non-dropping-particle":"","parse-names":false,"suffix":""}],"container-title":"Proceedings of the ACM on Human-Computer Interaction","id":"ITEM-1","issue":"CSCW","issued":{"date-parts":[["2019"]]},"title":"Infrastructuring food democracy: The formation of a local food hub in the context of socio-economic deprivation","type":"article-journal","volume":"3"},"uris":["http://www.mendeley.com/documents/?uuid=38d218c5-c602-4a7a-b8f3-97b38d730704"]}],"mendeley":{"formattedCitation":"(Prost &lt;i&gt;et al.&lt;/i&gt;, 2019)","plainTextFormattedCitation":"(Prost et al., 2019)","previouslyFormattedCitation":"(Prost &lt;i&gt;et al.&lt;/i&gt;, 2019)"},"properties":{"noteIndex":0},"schema":"https://github.com/citation-style-language/schema/raw/master/csl-citation.json"}</w:instrText>
      </w:r>
      <w:r w:rsidR="008A7101">
        <w:rPr>
          <w:rFonts w:ascii="Times New Roman" w:hAnsi="Times New Roman" w:cs="Times New Roman"/>
          <w:sz w:val="24"/>
          <w:szCs w:val="24"/>
        </w:rPr>
        <w:fldChar w:fldCharType="separate"/>
      </w:r>
      <w:r w:rsidR="008A7101" w:rsidRPr="008A7101">
        <w:rPr>
          <w:rFonts w:ascii="Times New Roman" w:hAnsi="Times New Roman" w:cs="Times New Roman"/>
          <w:noProof/>
          <w:sz w:val="24"/>
          <w:szCs w:val="24"/>
        </w:rPr>
        <w:t xml:space="preserve">(Prost </w:t>
      </w:r>
      <w:r w:rsidR="008A7101" w:rsidRPr="008A7101">
        <w:rPr>
          <w:rFonts w:ascii="Times New Roman" w:hAnsi="Times New Roman" w:cs="Times New Roman"/>
          <w:i/>
          <w:noProof/>
          <w:sz w:val="24"/>
          <w:szCs w:val="24"/>
        </w:rPr>
        <w:t>et al.</w:t>
      </w:r>
      <w:r w:rsidR="008A7101" w:rsidRPr="008A7101">
        <w:rPr>
          <w:rFonts w:ascii="Times New Roman" w:hAnsi="Times New Roman" w:cs="Times New Roman"/>
          <w:noProof/>
          <w:sz w:val="24"/>
          <w:szCs w:val="24"/>
        </w:rPr>
        <w:t>, 2019)</w:t>
      </w:r>
      <w:r w:rsidR="008A7101">
        <w:rPr>
          <w:rFonts w:ascii="Times New Roman" w:hAnsi="Times New Roman" w:cs="Times New Roman"/>
          <w:sz w:val="24"/>
          <w:szCs w:val="24"/>
        </w:rPr>
        <w:fldChar w:fldCharType="end"/>
      </w:r>
      <w:r w:rsidRPr="0037337F">
        <w:rPr>
          <w:rFonts w:ascii="Times New Roman" w:hAnsi="Times New Roman" w:cs="Times New Roman"/>
          <w:sz w:val="24"/>
          <w:szCs w:val="24"/>
        </w:rPr>
        <w:t>.</w:t>
      </w:r>
    </w:p>
    <w:p w14:paraId="35A67694" w14:textId="5A3C4352" w:rsidR="00197B65" w:rsidRDefault="008218B0" w:rsidP="000663AA">
      <w:pPr>
        <w:spacing w:line="240" w:lineRule="auto"/>
        <w:ind w:firstLine="284"/>
        <w:jc w:val="both"/>
        <w:rPr>
          <w:rFonts w:ascii="Times New Roman" w:hAnsi="Times New Roman" w:cs="Times New Roman"/>
          <w:sz w:val="24"/>
          <w:szCs w:val="24"/>
          <w:lang w:val="id-ID"/>
        </w:rPr>
      </w:pPr>
      <w:r w:rsidRPr="0037337F">
        <w:rPr>
          <w:rFonts w:ascii="Times New Roman" w:hAnsi="Times New Roman" w:cs="Times New Roman"/>
          <w:sz w:val="24"/>
          <w:szCs w:val="24"/>
        </w:rPr>
        <w:t>The sub-concept of stakeholder relations is related to cooperation, the role of the private sector, awareness, behavior, consumers, agricultural production, values, communication, and the influence and impact of stakeholder cooperation in managing agricultural affairs. This sub-concept is used to describe the cooperation of stakeholders, which is carried out through the communication process and the formation of the same awareness and vision (values) in supporting the achievement of the interests for environmental sustainability</w:t>
      </w:r>
      <w:r w:rsidR="008A7101">
        <w:rPr>
          <w:rFonts w:ascii="Times New Roman" w:hAnsi="Times New Roman" w:cs="Times New Roman"/>
          <w:sz w:val="24"/>
          <w:szCs w:val="24"/>
        </w:rPr>
        <w:t xml:space="preserve"> </w:t>
      </w:r>
      <w:r w:rsidR="008A7101">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{"citationItems":[{"id":"ITEM-1","itemData":{"DOI":"10.1016/j.jdmm.2017.07.002","ISSN":"2212571X","abstract":"Trust and personal relationships are regarded as critical elements of local food systems. This study examines the role of trust and personal relationships among tourism stakeholders (restaurants and chefs, wholesale distributors, and local farmers and/or farmers’ market vendors) in the purchase of local foods on a study conducted in Vancouver, Canada, and Christchurch, New Zealand. Semi-structured interviews were conducted with restaurants and chefs, farmers and/or farmers’ market vendors, and wholesale distributors. The study identified that the trust dimension of relationships is very important for restaurants and chefs and wholesale distributors with respect to local food sourcing activities. The study also found social interaction and face-to-face relations that enable deep trust (due to the knowledge transfer involved) to be vital for restaurants and chefs and wholesale distributors in the purchasing of local food from farmers and/or farmers’ market vendors, and other producers/suppliers. The major implications of the findings are that farmers need to develop trust-based relationships with their buyers in order to create better market access for local foods but that existing trust relationships can also act as a barrier to new entrants.","author":[{"dropping-particle":"","family":"Roy","given":"Hiran","non-dropping-particle":"","parse-names":false,"suffix":""},{"dropping-particle":"","family":"Hall","given":"C. Michael","non-dropping-particle":"","parse-names":false,"suffix":""},{"dropping-particle":"","family":"W. Ballantine","given":"Paul","non-dropping-particle":"","parse-names":false,"suffix":""}],"container-title":"Journal of Destination Marketing and Management","id":"ITEM-1","issue":"4","issued":{"date-parts":[["2017"]]},"page":"309-317","publisher":"Elsevier Ltd","title":"Trust in local food networks: The role of trust among tourism stakeholders and their impacts in purchasing decisions","type":"article-journal","volume":"6"},"uris":["http://www.mendeley.com/documents/?uuid=cfad6c0d-312e-4f82-877b-fd1e1eefeaca"]}],"mendeley":{"formattedCitation":"(Roy, Hall and W. Ballantine, 2017)","plainTextFormattedCitation":"(Roy, Hall and W. Ballantine, 2017)","previouslyFormattedCitation":"(Roy, Hall and W. Ballantine, 2017)"},"properties":{"noteIndex":0},"schema":"https://github.com/citation-style-language/schema/raw/master/csl-citation.json"}</w:instrText>
      </w:r>
      <w:r w:rsidR="008A7101">
        <w:rPr>
          <w:rFonts w:ascii="Times New Roman" w:hAnsi="Times New Roman" w:cs="Times New Roman"/>
          <w:sz w:val="24"/>
          <w:szCs w:val="24"/>
        </w:rPr>
        <w:fldChar w:fldCharType="separate"/>
      </w:r>
      <w:r w:rsidR="008A7101" w:rsidRPr="008A7101">
        <w:rPr>
          <w:rFonts w:ascii="Times New Roman" w:hAnsi="Times New Roman" w:cs="Times New Roman"/>
          <w:noProof/>
          <w:sz w:val="24"/>
          <w:szCs w:val="24"/>
        </w:rPr>
        <w:t>(Roy, Hall and W. Ballantine, 2017)</w:t>
      </w:r>
      <w:r w:rsidR="008A7101">
        <w:rPr>
          <w:rFonts w:ascii="Times New Roman" w:hAnsi="Times New Roman" w:cs="Times New Roman"/>
          <w:sz w:val="24"/>
          <w:szCs w:val="24"/>
        </w:rPr>
        <w:fldChar w:fldCharType="end"/>
      </w:r>
      <w:r w:rsidRPr="0037337F">
        <w:rPr>
          <w:rFonts w:ascii="Times New Roman" w:hAnsi="Times New Roman" w:cs="Times New Roman"/>
          <w:sz w:val="24"/>
          <w:szCs w:val="24"/>
        </w:rPr>
        <w:t>. Therefore, it is in the state's interest to increase the agricultural sector's income through the involvement of the private sector that plays a role in the production and marketing of agricultural products. This process also emphasizes the balance of the natural and social environment of farmers (agricultural ecosystem).</w:t>
      </w:r>
      <w:r w:rsidRPr="0037337F">
        <w:rPr>
          <w:rFonts w:ascii="Times New Roman" w:hAnsi="Times New Roman" w:cs="Times New Roman"/>
          <w:sz w:val="24"/>
          <w:szCs w:val="24"/>
          <w:lang w:val="id-ID"/>
        </w:rPr>
        <w:t xml:space="preserve"> Apart from being profit-oriented, the private sector also emphasize</w:t>
      </w:r>
      <w:r w:rsidRPr="0037337F">
        <w:rPr>
          <w:rFonts w:ascii="Times New Roman" w:hAnsi="Times New Roman" w:cs="Times New Roman"/>
          <w:sz w:val="24"/>
          <w:szCs w:val="24"/>
        </w:rPr>
        <w:t>s the ability to</w:t>
      </w:r>
      <w:r w:rsidRPr="0037337F">
        <w:rPr>
          <w:rFonts w:ascii="Times New Roman" w:hAnsi="Times New Roman" w:cs="Times New Roman"/>
          <w:sz w:val="24"/>
          <w:szCs w:val="24"/>
          <w:lang w:val="id-ID"/>
        </w:rPr>
        <w:t xml:space="preserve"> pay </w:t>
      </w:r>
      <w:r w:rsidRPr="0037337F">
        <w:rPr>
          <w:rFonts w:ascii="Times New Roman" w:hAnsi="Times New Roman" w:cs="Times New Roman"/>
          <w:sz w:val="24"/>
          <w:szCs w:val="24"/>
          <w:lang w:val="id-ID"/>
        </w:rPr>
        <w:lastRenderedPageBreak/>
        <w:t>attention to social responsibility for the sustainability of farmers and the natural environment</w:t>
      </w:r>
      <w:r w:rsidR="008A7101">
        <w:rPr>
          <w:rFonts w:ascii="Times New Roman" w:hAnsi="Times New Roman" w:cs="Times New Roman"/>
          <w:sz w:val="24"/>
          <w:szCs w:val="24"/>
        </w:rPr>
        <w:t xml:space="preserve"> </w:t>
      </w:r>
      <w:r w:rsidR="008A7101">
        <w:rPr>
          <w:rFonts w:ascii="Times New Roman" w:hAnsi="Times New Roman" w:cs="Times New Roman"/>
          <w:sz w:val="24"/>
          <w:szCs w:val="24"/>
        </w:rPr>
        <w:fldChar w:fldCharType="begin" w:fldLock="1"/>
      </w:r>
      <w:r w:rsidR="008A7101">
        <w:rPr>
          <w:rFonts w:ascii="Times New Roman" w:hAnsi="Times New Roman" w:cs="Times New Roman"/>
          <w:sz w:val="24"/>
          <w:szCs w:val="24"/>
        </w:rPr>
        <w:instrText>ADDIN CSL_CITATION {"citationItems":[{"id":"ITEM-1","itemData":{"DOI":"10.1016/j.agsy.2014.10.005","ISSN":"0308521X","abstract":"In Brazil, local agricultural research agendas are increasingly challenged by the search for sustainable biodiesel crop options for family farmers, especially under semi-arid conditions. The aim of this paper is to explore the suitability of different biodiesel crops (i.e. soybean, castor bean and sunflower) through a set of environmental and socioeconomic indicators in a semi-arid (Montes Claros) and a more humid (Chapada Gaúcha) municipality in the state of Minas Gerais, southeast Brazil. A technical coefficient generator (TechnoGIN) was used to assess current (maize, beans, soybean and grass seed) and alternative (castor bean and sunflower) crops grown with current and alternative production techniques. The quantification of the inputs and outputs was based on farm surveys, expert knowledge, literature and field experiments. Although castor bean and sunflower are economically competitive with maize in Montes Claros, feed and labour requirements may hinder farmers' adoption. In Chapada Gaúcha, the double cropping system soybean/sunflower presented small economic gains when compared to soybean; it also increased nitrogen losses and biocide residues. We conclude that the scope for alternative and sustainable biodiesel crops on family farms is limited. Their economic benefits are small or absent, while their introduction can lead to higher environmental impacts and there may be trade-offs with food and feed availability at the farm level.","author":[{"dropping-particle":"","family":"Dal Belo Leite","given":"João Guilherme","non-dropping-particle":"","parse-names":false,"suffix":""},{"dropping-particle":"","family":"Justino","given":"Flávio Barbosa","non-dropping-particle":"","parse-names":false,"suffix":""},{"dropping-particle":"","family":"Silva","given":"João Vasco","non-dropping-particle":"","parse-names":false,"suffix":""},{"dropping-particle":"","family":"Florin","given":"Madeleine J.","non-dropping-particle":"","parse-names":false,"suffix":""},{"dropping-particle":"","family":"Ittersum","given":"Martin K.","non-dropping-particle":"van","parse-names":false,"suffix":""}],"container-title":"Agricultural Systems","id":"ITEM-1","issue":"November","issued":{"date-parts":[["2015"]]},"page":"22-34","publisher":"Elsevier Ltd","title":"Socioeconomic and environmental assessment of biodiesel crops on family farming systems in Brazil","type":"article-journal","volume":"133"},"uris":["http://www.mendeley.com/documents/?uuid=4dd26f2d-0c75-408f-bc2d-3cdf30a5da49"]}],"mendeley":{"formattedCitation":"(João Guilherme Dal Belo Leite &lt;i&gt;et al.&lt;/i&gt;, 2015)","plainTextFormattedCitation":"(João Guilherme Dal Belo Leite et al., 2015)"},"properties":{"noteIndex":0},"schema":"https://github.com/citation-style-language/schema/raw/master/csl-citation.json"}</w:instrText>
      </w:r>
      <w:r w:rsidR="008A7101">
        <w:rPr>
          <w:rFonts w:ascii="Times New Roman" w:hAnsi="Times New Roman" w:cs="Times New Roman"/>
          <w:sz w:val="24"/>
          <w:szCs w:val="24"/>
        </w:rPr>
        <w:fldChar w:fldCharType="separate"/>
      </w:r>
      <w:r w:rsidR="008A7101" w:rsidRPr="008A7101">
        <w:rPr>
          <w:rFonts w:ascii="Times New Roman" w:hAnsi="Times New Roman" w:cs="Times New Roman"/>
          <w:noProof/>
          <w:sz w:val="24"/>
          <w:szCs w:val="24"/>
        </w:rPr>
        <w:t xml:space="preserve">(João Guilherme Dal Belo Leite </w:t>
      </w:r>
      <w:r w:rsidR="008A7101" w:rsidRPr="008A7101">
        <w:rPr>
          <w:rFonts w:ascii="Times New Roman" w:hAnsi="Times New Roman" w:cs="Times New Roman"/>
          <w:i/>
          <w:noProof/>
          <w:sz w:val="24"/>
          <w:szCs w:val="24"/>
        </w:rPr>
        <w:t>et al.</w:t>
      </w:r>
      <w:r w:rsidR="008A7101" w:rsidRPr="008A7101">
        <w:rPr>
          <w:rFonts w:ascii="Times New Roman" w:hAnsi="Times New Roman" w:cs="Times New Roman"/>
          <w:noProof/>
          <w:sz w:val="24"/>
          <w:szCs w:val="24"/>
        </w:rPr>
        <w:t>, 2015)</w:t>
      </w:r>
      <w:r w:rsidR="008A7101">
        <w:rPr>
          <w:rFonts w:ascii="Times New Roman" w:hAnsi="Times New Roman" w:cs="Times New Roman"/>
          <w:sz w:val="24"/>
          <w:szCs w:val="24"/>
        </w:rPr>
        <w:fldChar w:fldCharType="end"/>
      </w:r>
      <w:r w:rsidRPr="0037337F">
        <w:rPr>
          <w:rFonts w:ascii="Times New Roman" w:hAnsi="Times New Roman" w:cs="Times New Roman"/>
          <w:sz w:val="24"/>
          <w:szCs w:val="24"/>
          <w:lang w:val="id-ID"/>
        </w:rPr>
        <w:t>.</w:t>
      </w:r>
    </w:p>
    <w:p w14:paraId="107D61D6" w14:textId="59414830" w:rsidR="008A7101" w:rsidRPr="0037337F" w:rsidRDefault="008A7101" w:rsidP="008A7101">
      <w:pPr>
        <w:spacing w:line="240" w:lineRule="auto"/>
        <w:rPr>
          <w:rFonts w:ascii="Times New Roman" w:hAnsi="Times New Roman" w:cs="Times New Roman"/>
          <w:sz w:val="24"/>
          <w:szCs w:val="24"/>
        </w:rPr>
      </w:pPr>
      <w:r w:rsidRPr="002B37E1">
        <w:rPr>
          <w:rFonts w:ascii="Palatino Linotype" w:hAnsi="Palatino Linotype"/>
          <w:noProof/>
          <w:sz w:val="24"/>
          <w:szCs w:val="24"/>
        </w:rPr>
        <w:drawing>
          <wp:inline distT="0" distB="0" distL="0" distR="0" wp14:anchorId="387B5226" wp14:editId="1A194A05">
            <wp:extent cx="5943600" cy="5943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328498C5" w14:textId="77777777" w:rsidR="008A7101" w:rsidRPr="008A7101" w:rsidRDefault="008A7101" w:rsidP="008739A2">
      <w:pPr>
        <w:spacing w:line="240" w:lineRule="auto"/>
        <w:jc w:val="center"/>
        <w:rPr>
          <w:rFonts w:ascii="Times New Roman" w:hAnsi="Times New Roman" w:cs="Times New Roman"/>
          <w:sz w:val="24"/>
          <w:szCs w:val="24"/>
        </w:rPr>
      </w:pPr>
      <w:r w:rsidRPr="008A7101">
        <w:rPr>
          <w:rFonts w:ascii="Times New Roman" w:hAnsi="Times New Roman" w:cs="Times New Roman"/>
          <w:b/>
          <w:bCs/>
          <w:sz w:val="24"/>
          <w:szCs w:val="24"/>
        </w:rPr>
        <w:t>Figure 12.</w:t>
      </w:r>
      <w:r w:rsidRPr="008A7101">
        <w:rPr>
          <w:rFonts w:ascii="Times New Roman" w:hAnsi="Times New Roman" w:cs="Times New Roman"/>
          <w:sz w:val="24"/>
          <w:szCs w:val="24"/>
        </w:rPr>
        <w:t xml:space="preserve"> Conceptual Model of Farmers' Social Movement Study.</w:t>
      </w:r>
    </w:p>
    <w:p w14:paraId="3A24DFFF" w14:textId="77777777" w:rsidR="008A7101" w:rsidRPr="008A7101" w:rsidRDefault="008A7101" w:rsidP="008A7101">
      <w:pPr>
        <w:spacing w:line="240" w:lineRule="auto"/>
        <w:ind w:firstLine="425"/>
        <w:jc w:val="both"/>
        <w:rPr>
          <w:rFonts w:ascii="Times New Roman" w:hAnsi="Times New Roman" w:cs="Times New Roman"/>
          <w:sz w:val="24"/>
          <w:szCs w:val="24"/>
        </w:rPr>
      </w:pPr>
      <w:r w:rsidRPr="008A7101">
        <w:rPr>
          <w:rFonts w:ascii="Times New Roman" w:hAnsi="Times New Roman" w:cs="Times New Roman"/>
          <w:sz w:val="24"/>
          <w:szCs w:val="24"/>
        </w:rPr>
        <w:t>Figure 12 confirms that the three main concepts and their respective sub-concepts are unitary concepts related to one another in the study of farmer social movements. The concept formulation clearly illustrates that the study of peasant social movements is associated with sociological concepts related to the concepts of resistance, resistance, conflict, actor movements, and movement networks, and agrarian concepts, namely agricultural governance conservation and agroecology. Besides, the study of farmers' social movements is also related to the concept of agricultural management, which is related to the cooperation of stakeholders in managing the agricultural sector, especially in the aspects of production and marketing of agricultural products.</w:t>
      </w:r>
    </w:p>
    <w:p w14:paraId="03A40C23" w14:textId="1B7C92E8" w:rsidR="00655BF6" w:rsidRPr="008739A2" w:rsidRDefault="008739A2" w:rsidP="008739A2">
      <w:pPr>
        <w:spacing w:line="240" w:lineRule="auto"/>
        <w:jc w:val="both"/>
        <w:rPr>
          <w:rFonts w:ascii="Times New Roman" w:hAnsi="Times New Roman" w:cs="Times New Roman"/>
          <w:b/>
          <w:bCs/>
          <w:sz w:val="24"/>
          <w:szCs w:val="24"/>
        </w:rPr>
      </w:pPr>
      <w:r w:rsidRPr="008739A2">
        <w:rPr>
          <w:rFonts w:ascii="Times New Roman" w:hAnsi="Times New Roman" w:cs="Times New Roman"/>
          <w:b/>
          <w:bCs/>
          <w:sz w:val="24"/>
          <w:szCs w:val="24"/>
        </w:rPr>
        <w:lastRenderedPageBreak/>
        <w:t>CONCLUSIONS</w:t>
      </w:r>
    </w:p>
    <w:p w14:paraId="35A7804A" w14:textId="7C7084D0" w:rsidR="00197B65" w:rsidRPr="0037337F" w:rsidRDefault="008218B0" w:rsidP="008A7101">
      <w:pPr>
        <w:spacing w:line="240" w:lineRule="auto"/>
        <w:ind w:firstLine="425"/>
        <w:jc w:val="both"/>
        <w:rPr>
          <w:rFonts w:ascii="Times New Roman" w:hAnsi="Times New Roman" w:cs="Times New Roman"/>
          <w:sz w:val="24"/>
          <w:szCs w:val="24"/>
          <w:lang w:val="id-ID"/>
        </w:rPr>
      </w:pPr>
      <w:r w:rsidRPr="0037337F">
        <w:rPr>
          <w:rFonts w:ascii="Times New Roman" w:hAnsi="Times New Roman" w:cs="Times New Roman"/>
          <w:sz w:val="24"/>
          <w:szCs w:val="24"/>
        </w:rPr>
        <w:t>This study formulates that the farmer's social movement is a concept related to many sub-concepts originating from various disciplines, especially sociology, agricultural science, and management. The diversity of sub-concepts has various characters and orientations, which is oriented towards the struggle for farmers' rights and justice in the agricultural sector, land use, and protection of product prices. The concept of agricultural systems emphasizes the study of farmer movements, which is focused on conservation activities and the balance of ecosystems oriented towards sustainability. The concept of stakeholder relations emphasizes cooperation in managing the agricultural sector, which is oriented towards achieving the interests of stakeholders that pay attention to the interests of the ecosystem.</w:t>
      </w:r>
    </w:p>
    <w:p w14:paraId="75F1566B" w14:textId="77777777" w:rsidR="00197B65" w:rsidRPr="0037337F" w:rsidRDefault="008218B0" w:rsidP="008A7101">
      <w:pPr>
        <w:spacing w:line="240" w:lineRule="auto"/>
        <w:ind w:firstLine="425"/>
        <w:jc w:val="both"/>
        <w:rPr>
          <w:rFonts w:ascii="Times New Roman" w:hAnsi="Times New Roman" w:cs="Times New Roman"/>
          <w:sz w:val="24"/>
          <w:szCs w:val="24"/>
        </w:rPr>
      </w:pPr>
      <w:r w:rsidRPr="0037337F">
        <w:rPr>
          <w:rFonts w:ascii="Times New Roman" w:hAnsi="Times New Roman" w:cs="Times New Roman"/>
          <w:sz w:val="24"/>
          <w:szCs w:val="24"/>
        </w:rPr>
        <w:t>This study’s concept is oriented towards justice in state policies, agroecology, conservation, sustainable environment, agricultural management networks, and sustainable agricultural ex-systems. The concept is used to explain various agricultural issues and problems. It allows the study to develop scientifically, to determine agricultural problems, and agroecological orientation. However, there are some limitations associated with this study in terms of testing, for instance, the concept formulated is still based on previous studies.</w:t>
      </w:r>
      <w:r w:rsidRPr="0037337F">
        <w:rPr>
          <w:rFonts w:ascii="Times New Roman" w:hAnsi="Times New Roman" w:cs="Times New Roman"/>
          <w:sz w:val="24"/>
          <w:szCs w:val="24"/>
          <w:lang w:val="id-ID"/>
        </w:rPr>
        <w:t xml:space="preserve"> The</w:t>
      </w:r>
      <w:r w:rsidRPr="0037337F">
        <w:rPr>
          <w:rFonts w:ascii="Times New Roman" w:hAnsi="Times New Roman" w:cs="Times New Roman"/>
          <w:sz w:val="24"/>
          <w:szCs w:val="24"/>
        </w:rPr>
        <w:t>refore, subsequent</w:t>
      </w:r>
      <w:r w:rsidRPr="0037337F">
        <w:rPr>
          <w:rFonts w:ascii="Times New Roman" w:hAnsi="Times New Roman" w:cs="Times New Roman"/>
          <w:sz w:val="24"/>
          <w:szCs w:val="24"/>
          <w:lang w:val="id-ID"/>
        </w:rPr>
        <w:t xml:space="preserve"> </w:t>
      </w:r>
      <w:r w:rsidRPr="0037337F">
        <w:rPr>
          <w:rFonts w:ascii="Times New Roman" w:hAnsi="Times New Roman" w:cs="Times New Roman"/>
          <w:sz w:val="24"/>
          <w:szCs w:val="24"/>
        </w:rPr>
        <w:t>studies</w:t>
      </w:r>
      <w:r w:rsidRPr="0037337F">
        <w:rPr>
          <w:rFonts w:ascii="Times New Roman" w:hAnsi="Times New Roman" w:cs="Times New Roman"/>
          <w:sz w:val="24"/>
          <w:szCs w:val="24"/>
          <w:lang w:val="id-ID"/>
        </w:rPr>
        <w:t xml:space="preserve"> need to focus on testing the concept of the farmer social movement study formulated in this </w:t>
      </w:r>
      <w:r w:rsidRPr="0037337F">
        <w:rPr>
          <w:rFonts w:ascii="Times New Roman" w:hAnsi="Times New Roman" w:cs="Times New Roman"/>
          <w:sz w:val="24"/>
          <w:szCs w:val="24"/>
        </w:rPr>
        <w:t>research</w:t>
      </w:r>
      <w:r w:rsidRPr="0037337F">
        <w:rPr>
          <w:rFonts w:ascii="Times New Roman" w:hAnsi="Times New Roman" w:cs="Times New Roman"/>
          <w:sz w:val="24"/>
          <w:szCs w:val="24"/>
          <w:lang w:val="id-ID"/>
        </w:rPr>
        <w:t xml:space="preserve"> with field problems that describe the complexity of issues or problems in the agricultural sector.</w:t>
      </w:r>
    </w:p>
    <w:p w14:paraId="468D4846" w14:textId="77777777" w:rsidR="00197B65" w:rsidRPr="0037337F" w:rsidRDefault="00197B65" w:rsidP="0037337F">
      <w:pPr>
        <w:spacing w:line="240" w:lineRule="auto"/>
        <w:rPr>
          <w:rFonts w:ascii="Times New Roman" w:hAnsi="Times New Roman" w:cs="Times New Roman"/>
          <w:sz w:val="24"/>
          <w:szCs w:val="24"/>
        </w:rPr>
      </w:pPr>
    </w:p>
    <w:p w14:paraId="351A7395" w14:textId="6F70BD47" w:rsidR="00197B65" w:rsidRPr="0037337F" w:rsidRDefault="0037337F" w:rsidP="0037337F">
      <w:pPr>
        <w:spacing w:line="240" w:lineRule="auto"/>
        <w:rPr>
          <w:rFonts w:ascii="Times New Roman" w:hAnsi="Times New Roman" w:cs="Times New Roman"/>
          <w:b/>
          <w:bCs/>
          <w:sz w:val="24"/>
          <w:szCs w:val="24"/>
        </w:rPr>
      </w:pPr>
      <w:r w:rsidRPr="0037337F">
        <w:rPr>
          <w:rFonts w:ascii="Times New Roman" w:hAnsi="Times New Roman" w:cs="Times New Roman"/>
          <w:b/>
          <w:bCs/>
          <w:sz w:val="24"/>
          <w:szCs w:val="24"/>
        </w:rPr>
        <w:t>REFERENCES</w:t>
      </w:r>
    </w:p>
    <w:p w14:paraId="4C85E074" w14:textId="05A92BDE" w:rsidR="008A7101" w:rsidRPr="008A7101" w:rsidRDefault="0037337F"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37337F">
        <w:rPr>
          <w:rFonts w:ascii="Times New Roman" w:hAnsi="Times New Roman" w:cs="Times New Roman"/>
          <w:sz w:val="24"/>
          <w:szCs w:val="24"/>
        </w:rPr>
        <w:fldChar w:fldCharType="begin" w:fldLock="1"/>
      </w:r>
      <w:r w:rsidRPr="0037337F">
        <w:rPr>
          <w:rFonts w:ascii="Times New Roman" w:hAnsi="Times New Roman" w:cs="Times New Roman"/>
          <w:sz w:val="24"/>
          <w:szCs w:val="24"/>
        </w:rPr>
        <w:instrText xml:space="preserve">ADDIN Mendeley Bibliography CSL_BIBLIOGRAPHY </w:instrText>
      </w:r>
      <w:r w:rsidRPr="0037337F">
        <w:rPr>
          <w:rFonts w:ascii="Times New Roman" w:hAnsi="Times New Roman" w:cs="Times New Roman"/>
          <w:sz w:val="24"/>
          <w:szCs w:val="24"/>
        </w:rPr>
        <w:fldChar w:fldCharType="separate"/>
      </w:r>
      <w:r w:rsidR="008A7101" w:rsidRPr="008A7101">
        <w:rPr>
          <w:rFonts w:ascii="Times New Roman" w:hAnsi="Times New Roman" w:cs="Times New Roman"/>
          <w:noProof/>
          <w:sz w:val="24"/>
          <w:szCs w:val="24"/>
        </w:rPr>
        <w:t xml:space="preserve">Ajates, R. (2020) ‘An integrated conceptual framework for the study of agricultural cooperatives: from repolitisation to cooperative sustainability’, </w:t>
      </w:r>
      <w:r w:rsidR="008A7101" w:rsidRPr="008A7101">
        <w:rPr>
          <w:rFonts w:ascii="Times New Roman" w:hAnsi="Times New Roman" w:cs="Times New Roman"/>
          <w:i/>
          <w:iCs/>
          <w:noProof/>
          <w:sz w:val="24"/>
          <w:szCs w:val="24"/>
        </w:rPr>
        <w:t>Journal of Rural Studies</w:t>
      </w:r>
      <w:r w:rsidR="008A7101" w:rsidRPr="008A7101">
        <w:rPr>
          <w:rFonts w:ascii="Times New Roman" w:hAnsi="Times New Roman" w:cs="Times New Roman"/>
          <w:noProof/>
          <w:sz w:val="24"/>
          <w:szCs w:val="24"/>
        </w:rPr>
        <w:t>. Duncan of Jordanstone School of Art and Design, University of Dundee, Dundee, United Kingdom: Elsevier Ltd, 78, pp. 467–479. doi: 10.1016/j.jrurstud.2020.06.019.</w:t>
      </w:r>
    </w:p>
    <w:p w14:paraId="4700934A"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Albrecht, S. L. (1972) ‘Environmental Social Movements and Counter-Movements: An Overview and an Illustration’, </w:t>
      </w:r>
      <w:r w:rsidRPr="008A7101">
        <w:rPr>
          <w:rFonts w:ascii="Times New Roman" w:hAnsi="Times New Roman" w:cs="Times New Roman"/>
          <w:i/>
          <w:iCs/>
          <w:noProof/>
          <w:sz w:val="24"/>
          <w:szCs w:val="24"/>
        </w:rPr>
        <w:t>Nonprofit and Voluntary Sector Quarterly</w:t>
      </w:r>
      <w:r w:rsidRPr="008A7101">
        <w:rPr>
          <w:rFonts w:ascii="Times New Roman" w:hAnsi="Times New Roman" w:cs="Times New Roman"/>
          <w:noProof/>
          <w:sz w:val="24"/>
          <w:szCs w:val="24"/>
        </w:rPr>
        <w:t>. Department of Sociology Utah State University, United States, 1(4), pp. 2–11. doi: 10.1177/089976407200100401.</w:t>
      </w:r>
    </w:p>
    <w:p w14:paraId="7C1F4CDB"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Brass, T (1994) ‘The Politics of Gender, Nature and Nation in the Discourse of the New Farmers’ Movements’, </w:t>
      </w:r>
      <w:r w:rsidRPr="008A7101">
        <w:rPr>
          <w:rFonts w:ascii="Times New Roman" w:hAnsi="Times New Roman" w:cs="Times New Roman"/>
          <w:i/>
          <w:iCs/>
          <w:noProof/>
          <w:sz w:val="24"/>
          <w:szCs w:val="24"/>
        </w:rPr>
        <w:t>The Journal of Peasant Studies</w:t>
      </w:r>
      <w:r w:rsidRPr="008A7101">
        <w:rPr>
          <w:rFonts w:ascii="Times New Roman" w:hAnsi="Times New Roman" w:cs="Times New Roman"/>
          <w:noProof/>
          <w:sz w:val="24"/>
          <w:szCs w:val="24"/>
        </w:rPr>
        <w:t>. Faculty of Social and Political Sciences, University of Cambridge, Free School Lane, Cambridge CB2 3RQ, United Kingdom, 21(3–4), pp. 27–71. doi: 10.1080/03066159408438554.</w:t>
      </w:r>
    </w:p>
    <w:p w14:paraId="57D458A1"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Brass, Tom (1994) </w:t>
      </w:r>
      <w:r w:rsidRPr="008A7101">
        <w:rPr>
          <w:rFonts w:ascii="Times New Roman" w:hAnsi="Times New Roman" w:cs="Times New Roman"/>
          <w:i/>
          <w:iCs/>
          <w:noProof/>
          <w:sz w:val="24"/>
          <w:szCs w:val="24"/>
        </w:rPr>
        <w:t>The Politics of Gender, Nature and Nation in the Discourse of the New Farmers’ Movements</w:t>
      </w:r>
      <w:r w:rsidRPr="008A7101">
        <w:rPr>
          <w:rFonts w:ascii="Times New Roman" w:hAnsi="Times New Roman" w:cs="Times New Roman"/>
          <w:noProof/>
          <w:sz w:val="24"/>
          <w:szCs w:val="24"/>
        </w:rPr>
        <w:t xml:space="preserve">, </w:t>
      </w:r>
      <w:r w:rsidRPr="008A7101">
        <w:rPr>
          <w:rFonts w:ascii="Times New Roman" w:hAnsi="Times New Roman" w:cs="Times New Roman"/>
          <w:i/>
          <w:iCs/>
          <w:noProof/>
          <w:sz w:val="24"/>
          <w:szCs w:val="24"/>
        </w:rPr>
        <w:t>The Journal of Peasant Studies</w:t>
      </w:r>
      <w:r w:rsidRPr="008A7101">
        <w:rPr>
          <w:rFonts w:ascii="Times New Roman" w:hAnsi="Times New Roman" w:cs="Times New Roman"/>
          <w:noProof/>
          <w:sz w:val="24"/>
          <w:szCs w:val="24"/>
        </w:rPr>
        <w:t>. doi: 10.1080/03066159408438554.</w:t>
      </w:r>
    </w:p>
    <w:p w14:paraId="0859080F"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Cadieux, K. V and Slocum, R. (2015) ‘What does it mean to do food justice?’, </w:t>
      </w:r>
      <w:r w:rsidRPr="008A7101">
        <w:rPr>
          <w:rFonts w:ascii="Times New Roman" w:hAnsi="Times New Roman" w:cs="Times New Roman"/>
          <w:i/>
          <w:iCs/>
          <w:noProof/>
          <w:sz w:val="24"/>
          <w:szCs w:val="24"/>
        </w:rPr>
        <w:t>Journal of Political Ecology</w:t>
      </w:r>
      <w:r w:rsidRPr="008A7101">
        <w:rPr>
          <w:rFonts w:ascii="Times New Roman" w:hAnsi="Times New Roman" w:cs="Times New Roman"/>
          <w:noProof/>
          <w:sz w:val="24"/>
          <w:szCs w:val="24"/>
        </w:rPr>
        <w:t>. Department of Sociology, University of Minnesota, Minneapolis, MN  55455, United States: University of Arizona Libraries, 22(1), pp. 1–26. doi: 10.2458/v22i1.21076.</w:t>
      </w:r>
    </w:p>
    <w:p w14:paraId="5A96ECAF"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Carley, R. (2016) ‘Ideological contention: Antonio gramsci and the connection between race and social movement mobilization in early twentieth-century Italy’, </w:t>
      </w:r>
      <w:r w:rsidRPr="008A7101">
        <w:rPr>
          <w:rFonts w:ascii="Times New Roman" w:hAnsi="Times New Roman" w:cs="Times New Roman"/>
          <w:i/>
          <w:iCs/>
          <w:noProof/>
          <w:sz w:val="24"/>
          <w:szCs w:val="24"/>
        </w:rPr>
        <w:t>Sociological Focus</w:t>
      </w:r>
      <w:r w:rsidRPr="008A7101">
        <w:rPr>
          <w:rFonts w:ascii="Times New Roman" w:hAnsi="Times New Roman" w:cs="Times New Roman"/>
          <w:noProof/>
          <w:sz w:val="24"/>
          <w:szCs w:val="24"/>
        </w:rPr>
        <w:t>. Wright State University, United States: Taylor and Francis Inc., 49(1), pp. 28–43. doi: 10.1080/00380237.2015.1065700.</w:t>
      </w:r>
    </w:p>
    <w:p w14:paraId="6B02C91E"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lastRenderedPageBreak/>
        <w:t xml:space="preserve">Chappell, M. J. </w:t>
      </w:r>
      <w:r w:rsidRPr="008A7101">
        <w:rPr>
          <w:rFonts w:ascii="Times New Roman" w:hAnsi="Times New Roman" w:cs="Times New Roman"/>
          <w:i/>
          <w:iCs/>
          <w:noProof/>
          <w:sz w:val="24"/>
          <w:szCs w:val="24"/>
        </w:rPr>
        <w:t>et al.</w:t>
      </w:r>
      <w:r w:rsidRPr="008A7101">
        <w:rPr>
          <w:rFonts w:ascii="Times New Roman" w:hAnsi="Times New Roman" w:cs="Times New Roman"/>
          <w:noProof/>
          <w:sz w:val="24"/>
          <w:szCs w:val="24"/>
        </w:rPr>
        <w:t xml:space="preserve"> (2013) ‘Food sovereignty: An alternative paradigm for poverty reduction and biodiversity conservation in Latin America’, </w:t>
      </w:r>
      <w:r w:rsidRPr="008A7101">
        <w:rPr>
          <w:rFonts w:ascii="Times New Roman" w:hAnsi="Times New Roman" w:cs="Times New Roman"/>
          <w:i/>
          <w:iCs/>
          <w:noProof/>
          <w:sz w:val="24"/>
          <w:szCs w:val="24"/>
        </w:rPr>
        <w:t>F1000Research</w:t>
      </w:r>
      <w:r w:rsidRPr="008A7101">
        <w:rPr>
          <w:rFonts w:ascii="Times New Roman" w:hAnsi="Times New Roman" w:cs="Times New Roman"/>
          <w:noProof/>
          <w:sz w:val="24"/>
          <w:szCs w:val="24"/>
        </w:rPr>
        <w:t>. Institute for Agriculture and Trade Policy, Minneapolis, MN  55404, United States: Faculty of 1000 Ltd, 2. doi: 10.12688/f1000research.2-235.v1.</w:t>
      </w:r>
    </w:p>
    <w:p w14:paraId="64EA720B"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Chen, L. A. </w:t>
      </w:r>
      <w:r w:rsidRPr="008A7101">
        <w:rPr>
          <w:rFonts w:ascii="Times New Roman" w:hAnsi="Times New Roman" w:cs="Times New Roman"/>
          <w:i/>
          <w:iCs/>
          <w:noProof/>
          <w:sz w:val="24"/>
          <w:szCs w:val="24"/>
        </w:rPr>
        <w:t>et al.</w:t>
      </w:r>
      <w:r w:rsidRPr="008A7101">
        <w:rPr>
          <w:rFonts w:ascii="Times New Roman" w:hAnsi="Times New Roman" w:cs="Times New Roman"/>
          <w:noProof/>
          <w:sz w:val="24"/>
          <w:szCs w:val="24"/>
        </w:rPr>
        <w:t xml:space="preserve"> (2019) ‘The foundations of institutional-based trust in farmers’ markets’, </w:t>
      </w:r>
      <w:r w:rsidRPr="008A7101">
        <w:rPr>
          <w:rFonts w:ascii="Times New Roman" w:hAnsi="Times New Roman" w:cs="Times New Roman"/>
          <w:i/>
          <w:iCs/>
          <w:noProof/>
          <w:sz w:val="24"/>
          <w:szCs w:val="24"/>
        </w:rPr>
        <w:t>Agriculture and Human Values</w:t>
      </w:r>
      <w:r w:rsidRPr="008A7101">
        <w:rPr>
          <w:rFonts w:ascii="Times New Roman" w:hAnsi="Times New Roman" w:cs="Times New Roman"/>
          <w:noProof/>
          <w:sz w:val="24"/>
          <w:szCs w:val="24"/>
        </w:rPr>
        <w:t>. College of Economics and Management, Nanjing Agricultural University, No. 1 Weigang Road, Nanjing, Jiangsu  210095, China: Springer Netherlands, 36(3), pp. 395–410. doi: 10.1007/s10460-019-09923-4.</w:t>
      </w:r>
    </w:p>
    <w:p w14:paraId="1125EA70"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Dal Belo Leite, J G </w:t>
      </w:r>
      <w:r w:rsidRPr="008A7101">
        <w:rPr>
          <w:rFonts w:ascii="Times New Roman" w:hAnsi="Times New Roman" w:cs="Times New Roman"/>
          <w:i/>
          <w:iCs/>
          <w:noProof/>
          <w:sz w:val="24"/>
          <w:szCs w:val="24"/>
        </w:rPr>
        <w:t>et al.</w:t>
      </w:r>
      <w:r w:rsidRPr="008A7101">
        <w:rPr>
          <w:rFonts w:ascii="Times New Roman" w:hAnsi="Times New Roman" w:cs="Times New Roman"/>
          <w:noProof/>
          <w:sz w:val="24"/>
          <w:szCs w:val="24"/>
        </w:rPr>
        <w:t xml:space="preserve"> (2015) ‘Socioeconomic and environmental assessment of biodiesel crops on family farming systems in Brazil’, </w:t>
      </w:r>
      <w:r w:rsidRPr="008A7101">
        <w:rPr>
          <w:rFonts w:ascii="Times New Roman" w:hAnsi="Times New Roman" w:cs="Times New Roman"/>
          <w:i/>
          <w:iCs/>
          <w:noProof/>
          <w:sz w:val="24"/>
          <w:szCs w:val="24"/>
        </w:rPr>
        <w:t>Agricultural Systems</w:t>
      </w:r>
      <w:r w:rsidRPr="008A7101">
        <w:rPr>
          <w:rFonts w:ascii="Times New Roman" w:hAnsi="Times New Roman" w:cs="Times New Roman"/>
          <w:noProof/>
          <w:sz w:val="24"/>
          <w:szCs w:val="24"/>
        </w:rPr>
        <w:t>. Plant Production Systems, Wageningen University, P.O. Box 430, Wageningen, AK, 6700, Netherlands: Elsevier Ltd, 133, pp. 22–34. doi: 10.1016/j.agsy.2014.10.005.</w:t>
      </w:r>
    </w:p>
    <w:p w14:paraId="769F8760"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Dal Belo Leite, João Guilherme </w:t>
      </w:r>
      <w:r w:rsidRPr="008A7101">
        <w:rPr>
          <w:rFonts w:ascii="Times New Roman" w:hAnsi="Times New Roman" w:cs="Times New Roman"/>
          <w:i/>
          <w:iCs/>
          <w:noProof/>
          <w:sz w:val="24"/>
          <w:szCs w:val="24"/>
        </w:rPr>
        <w:t>et al.</w:t>
      </w:r>
      <w:r w:rsidRPr="008A7101">
        <w:rPr>
          <w:rFonts w:ascii="Times New Roman" w:hAnsi="Times New Roman" w:cs="Times New Roman"/>
          <w:noProof/>
          <w:sz w:val="24"/>
          <w:szCs w:val="24"/>
        </w:rPr>
        <w:t xml:space="preserve"> (2015) ‘Socioeconomic and environmental assessment of biodiesel crops on family farming systems in Brazil’, </w:t>
      </w:r>
      <w:r w:rsidRPr="008A7101">
        <w:rPr>
          <w:rFonts w:ascii="Times New Roman" w:hAnsi="Times New Roman" w:cs="Times New Roman"/>
          <w:i/>
          <w:iCs/>
          <w:noProof/>
          <w:sz w:val="24"/>
          <w:szCs w:val="24"/>
        </w:rPr>
        <w:t>Agricultural Systems</w:t>
      </w:r>
      <w:r w:rsidRPr="008A7101">
        <w:rPr>
          <w:rFonts w:ascii="Times New Roman" w:hAnsi="Times New Roman" w:cs="Times New Roman"/>
          <w:noProof/>
          <w:sz w:val="24"/>
          <w:szCs w:val="24"/>
        </w:rPr>
        <w:t>. Elsevier Ltd, 133(November), pp. 22–34. doi: 10.1016/j.agsy.2014.10.005.</w:t>
      </w:r>
    </w:p>
    <w:p w14:paraId="61197305"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DeCelles, K. A., Sonenshein, S. and King, B. G. (2020) ‘Examining Anger’s Immobilizing Effect on Institutional Insiders’ Action Intentions in Social Movements’, </w:t>
      </w:r>
      <w:r w:rsidRPr="008A7101">
        <w:rPr>
          <w:rFonts w:ascii="Times New Roman" w:hAnsi="Times New Roman" w:cs="Times New Roman"/>
          <w:i/>
          <w:iCs/>
          <w:noProof/>
          <w:sz w:val="24"/>
          <w:szCs w:val="24"/>
        </w:rPr>
        <w:t>Administrative Science Quarterly</w:t>
      </w:r>
      <w:r w:rsidRPr="008A7101">
        <w:rPr>
          <w:rFonts w:ascii="Times New Roman" w:hAnsi="Times New Roman" w:cs="Times New Roman"/>
          <w:noProof/>
          <w:sz w:val="24"/>
          <w:szCs w:val="24"/>
        </w:rPr>
        <w:t>. University of Toronto, Canada: SAGE Publications Ltd, 65(4), pp. 847–886. doi: 10.1177/0001839219879646.</w:t>
      </w:r>
    </w:p>
    <w:p w14:paraId="285E7E7B"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Dhanagare, D. N. (2013) ‘Understanding the new farmers’ movement in Maharashtra: Towards an analytical framework’, </w:t>
      </w:r>
      <w:r w:rsidRPr="008A7101">
        <w:rPr>
          <w:rFonts w:ascii="Times New Roman" w:hAnsi="Times New Roman" w:cs="Times New Roman"/>
          <w:i/>
          <w:iCs/>
          <w:noProof/>
          <w:sz w:val="24"/>
          <w:szCs w:val="24"/>
        </w:rPr>
        <w:t>Eastern Anthropologist</w:t>
      </w:r>
      <w:r w:rsidRPr="008A7101">
        <w:rPr>
          <w:rFonts w:ascii="Times New Roman" w:hAnsi="Times New Roman" w:cs="Times New Roman"/>
          <w:noProof/>
          <w:sz w:val="24"/>
          <w:szCs w:val="24"/>
        </w:rPr>
        <w:t>. Indian Institute of Advanced Study, Shimla, India: Serials Publications, 66(2–3), pp. 163–217. Available at: https://www.scopus.com/inward/record.uri?eid=2-s2.0-84904686819&amp;partnerID=40&amp;md5=bbf8d339e0ba67b55019e57a6ef0e265.</w:t>
      </w:r>
    </w:p>
    <w:p w14:paraId="4C26EB3B"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Dhanagare, D. N. (2014) ‘Selective Appropriation of Gender Ideology: Mahila Aghadi of the Farmers’ Movement in Maharashtra (1986–2004)’, </w:t>
      </w:r>
      <w:r w:rsidRPr="008A7101">
        <w:rPr>
          <w:rFonts w:ascii="Times New Roman" w:hAnsi="Times New Roman" w:cs="Times New Roman"/>
          <w:i/>
          <w:iCs/>
          <w:noProof/>
          <w:sz w:val="24"/>
          <w:szCs w:val="24"/>
        </w:rPr>
        <w:t>History and Sociology of South Asia</w:t>
      </w:r>
      <w:r w:rsidRPr="008A7101">
        <w:rPr>
          <w:rFonts w:ascii="Times New Roman" w:hAnsi="Times New Roman" w:cs="Times New Roman"/>
          <w:noProof/>
          <w:sz w:val="24"/>
          <w:szCs w:val="24"/>
        </w:rPr>
        <w:t>. Indian Institute of Advanced Studies, Shimla, India: SAGE Publications Ltd, 8(2), pp. 157–194. doi: 10.1177/2230807514524046.</w:t>
      </w:r>
    </w:p>
    <w:p w14:paraId="0C1B1944"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Dixon-Woods, M. </w:t>
      </w:r>
      <w:r w:rsidRPr="008A7101">
        <w:rPr>
          <w:rFonts w:ascii="Times New Roman" w:hAnsi="Times New Roman" w:cs="Times New Roman"/>
          <w:i/>
          <w:iCs/>
          <w:noProof/>
          <w:sz w:val="24"/>
          <w:szCs w:val="24"/>
        </w:rPr>
        <w:t>et al.</w:t>
      </w:r>
      <w:r w:rsidRPr="008A7101">
        <w:rPr>
          <w:rFonts w:ascii="Times New Roman" w:hAnsi="Times New Roman" w:cs="Times New Roman"/>
          <w:noProof/>
          <w:sz w:val="24"/>
          <w:szCs w:val="24"/>
        </w:rPr>
        <w:t xml:space="preserve"> (2006) ‘How can systematic reviews incorporate qualitative research? A critical perspective’, </w:t>
      </w:r>
      <w:r w:rsidRPr="008A7101">
        <w:rPr>
          <w:rFonts w:ascii="Times New Roman" w:hAnsi="Times New Roman" w:cs="Times New Roman"/>
          <w:i/>
          <w:iCs/>
          <w:noProof/>
          <w:sz w:val="24"/>
          <w:szCs w:val="24"/>
        </w:rPr>
        <w:t>Qualitative Research</w:t>
      </w:r>
      <w:r w:rsidRPr="008A7101">
        <w:rPr>
          <w:rFonts w:ascii="Times New Roman" w:hAnsi="Times New Roman" w:cs="Times New Roman"/>
          <w:noProof/>
          <w:sz w:val="24"/>
          <w:szCs w:val="24"/>
        </w:rPr>
        <w:t>, 6(1), pp. 27–44. doi: 10.1177/1468794106058867.</w:t>
      </w:r>
    </w:p>
    <w:p w14:paraId="06A50F96"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Dubois, O. (2008) ‘Making sure that biofuel development benefits small farmers and communities’, </w:t>
      </w:r>
      <w:r w:rsidRPr="008A7101">
        <w:rPr>
          <w:rFonts w:ascii="Times New Roman" w:hAnsi="Times New Roman" w:cs="Times New Roman"/>
          <w:i/>
          <w:iCs/>
          <w:noProof/>
          <w:sz w:val="24"/>
          <w:szCs w:val="24"/>
        </w:rPr>
        <w:t>Unasylva</w:t>
      </w:r>
      <w:r w:rsidRPr="008A7101">
        <w:rPr>
          <w:rFonts w:ascii="Times New Roman" w:hAnsi="Times New Roman" w:cs="Times New Roman"/>
          <w:noProof/>
          <w:sz w:val="24"/>
          <w:szCs w:val="24"/>
        </w:rPr>
        <w:t>. Climate Change and Bioenergy Division, Natural Resources Management and Environment Department, FAO, Rome, Italy, 59(230), pp. 25–32. Available at: https://www.scopus.com/inward/record.uri?eid=2-s2.0-69949171638&amp;partnerID=40&amp;md5=bb93fc058ef3131fa30632cad45656d8.</w:t>
      </w:r>
    </w:p>
    <w:p w14:paraId="0553A4B8"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Falnikar, A. and Dutta, M. J. (2019) ‘Voices of Farmer-Widows Amid the Agrarian Crisis in India’, </w:t>
      </w:r>
      <w:r w:rsidRPr="008A7101">
        <w:rPr>
          <w:rFonts w:ascii="Times New Roman" w:hAnsi="Times New Roman" w:cs="Times New Roman"/>
          <w:i/>
          <w:iCs/>
          <w:noProof/>
          <w:sz w:val="24"/>
          <w:szCs w:val="24"/>
        </w:rPr>
        <w:t>Women’s Studies in Communication</w:t>
      </w:r>
      <w:r w:rsidRPr="008A7101">
        <w:rPr>
          <w:rFonts w:ascii="Times New Roman" w:hAnsi="Times New Roman" w:cs="Times New Roman"/>
          <w:noProof/>
          <w:sz w:val="24"/>
          <w:szCs w:val="24"/>
        </w:rPr>
        <w:t>. Department of Communications and New Media, National University of Singapore, Singapore: Routledge, 42(4), pp. 432–451. doi: 10.1080/07491409.2019.1669756.</w:t>
      </w:r>
    </w:p>
    <w:p w14:paraId="74E2D54C"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Freedman, D. A. </w:t>
      </w:r>
      <w:r w:rsidRPr="008A7101">
        <w:rPr>
          <w:rFonts w:ascii="Times New Roman" w:hAnsi="Times New Roman" w:cs="Times New Roman"/>
          <w:i/>
          <w:iCs/>
          <w:noProof/>
          <w:sz w:val="24"/>
          <w:szCs w:val="24"/>
        </w:rPr>
        <w:t>et al.</w:t>
      </w:r>
      <w:r w:rsidRPr="008A7101">
        <w:rPr>
          <w:rFonts w:ascii="Times New Roman" w:hAnsi="Times New Roman" w:cs="Times New Roman"/>
          <w:noProof/>
          <w:sz w:val="24"/>
          <w:szCs w:val="24"/>
        </w:rPr>
        <w:t xml:space="preserve"> (2016) ‘Systematic Review of Factors Influencing Farmers’ Market Use </w:t>
      </w:r>
      <w:r w:rsidRPr="008A7101">
        <w:rPr>
          <w:rFonts w:ascii="Times New Roman" w:hAnsi="Times New Roman" w:cs="Times New Roman"/>
          <w:noProof/>
          <w:sz w:val="24"/>
          <w:szCs w:val="24"/>
        </w:rPr>
        <w:lastRenderedPageBreak/>
        <w:t xml:space="preserve">Overall and among Low-Income Populations’, </w:t>
      </w:r>
      <w:r w:rsidRPr="008A7101">
        <w:rPr>
          <w:rFonts w:ascii="Times New Roman" w:hAnsi="Times New Roman" w:cs="Times New Roman"/>
          <w:i/>
          <w:iCs/>
          <w:noProof/>
          <w:sz w:val="24"/>
          <w:szCs w:val="24"/>
        </w:rPr>
        <w:t>Journal of the Academy of Nutrition and Dietetics</w:t>
      </w:r>
      <w:r w:rsidRPr="008A7101">
        <w:rPr>
          <w:rFonts w:ascii="Times New Roman" w:hAnsi="Times New Roman" w:cs="Times New Roman"/>
          <w:noProof/>
          <w:sz w:val="24"/>
          <w:szCs w:val="24"/>
        </w:rPr>
        <w:t>. Prevention Research Center for Healthy Neighborhoods, Case Western Reserve University, Cleveland, OH, United States: Elsevier, 116(7), pp. 1136–1155. doi: 10.1016/j.jand.2016.02.010.</w:t>
      </w:r>
    </w:p>
    <w:p w14:paraId="3D1DB620"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Futemma, C., De Castro, F. and Brondizio, E. S. (2020) ‘Farmers and Social Innovations in Rural Development: Collaborative Arrangements in Eastern Brazilian Amazon’, </w:t>
      </w:r>
      <w:r w:rsidRPr="008A7101">
        <w:rPr>
          <w:rFonts w:ascii="Times New Roman" w:hAnsi="Times New Roman" w:cs="Times New Roman"/>
          <w:i/>
          <w:iCs/>
          <w:noProof/>
          <w:sz w:val="24"/>
          <w:szCs w:val="24"/>
        </w:rPr>
        <w:t>Land Use Policy</w:t>
      </w:r>
      <w:r w:rsidRPr="008A7101">
        <w:rPr>
          <w:rFonts w:ascii="Times New Roman" w:hAnsi="Times New Roman" w:cs="Times New Roman"/>
          <w:noProof/>
          <w:sz w:val="24"/>
          <w:szCs w:val="24"/>
        </w:rPr>
        <w:t>. State University of Campinas (UNICAMP), Center for Environmental Study and Research (NEPAM), Campinas, SP, Brazil: Elsevier Ltd. doi: 10.1016/j.landusepol.2020.104999.</w:t>
      </w:r>
    </w:p>
    <w:p w14:paraId="37E0CAA8"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Gordon, R. (1999) ‘Poisons in the fields: The United Farm Workers, pesticides, and environmental politics’, </w:t>
      </w:r>
      <w:r w:rsidRPr="008A7101">
        <w:rPr>
          <w:rFonts w:ascii="Times New Roman" w:hAnsi="Times New Roman" w:cs="Times New Roman"/>
          <w:i/>
          <w:iCs/>
          <w:noProof/>
          <w:sz w:val="24"/>
          <w:szCs w:val="24"/>
        </w:rPr>
        <w:t>Pacific Historical Review</w:t>
      </w:r>
      <w:r w:rsidRPr="008A7101">
        <w:rPr>
          <w:rFonts w:ascii="Times New Roman" w:hAnsi="Times New Roman" w:cs="Times New Roman"/>
          <w:noProof/>
          <w:sz w:val="24"/>
          <w:szCs w:val="24"/>
        </w:rPr>
        <w:t>. University of California Press, 68(1), pp. 51–77. doi: 10.2307/3641869.</w:t>
      </w:r>
    </w:p>
    <w:p w14:paraId="45CB717D"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Hasan, Z. (1994) ‘Shifting Ground: Hindutva Politics and the Farmers’ Movement in Uttar Pradesh’, </w:t>
      </w:r>
      <w:r w:rsidRPr="008A7101">
        <w:rPr>
          <w:rFonts w:ascii="Times New Roman" w:hAnsi="Times New Roman" w:cs="Times New Roman"/>
          <w:i/>
          <w:iCs/>
          <w:noProof/>
          <w:sz w:val="24"/>
          <w:szCs w:val="24"/>
        </w:rPr>
        <w:t>The Journal of Peasant Studies</w:t>
      </w:r>
      <w:r w:rsidRPr="008A7101">
        <w:rPr>
          <w:rFonts w:ascii="Times New Roman" w:hAnsi="Times New Roman" w:cs="Times New Roman"/>
          <w:noProof/>
          <w:sz w:val="24"/>
          <w:szCs w:val="24"/>
        </w:rPr>
        <w:t>. Centre for Political Studies, School of Social Sciences, Jawaharlal Nehru University, New Delhi-110067, India, 21(3–4), pp. 165–194. doi: 10.1080/03066159408438558.</w:t>
      </w:r>
    </w:p>
    <w:p w14:paraId="28CD95D0"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Herring, R. J. (2007a) ‘Stealth seeds: Bioproperty, biosafety, biopolitics’, </w:t>
      </w:r>
      <w:r w:rsidRPr="008A7101">
        <w:rPr>
          <w:rFonts w:ascii="Times New Roman" w:hAnsi="Times New Roman" w:cs="Times New Roman"/>
          <w:i/>
          <w:iCs/>
          <w:noProof/>
          <w:sz w:val="24"/>
          <w:szCs w:val="24"/>
        </w:rPr>
        <w:t>Journal of Development Studies</w:t>
      </w:r>
      <w:r w:rsidRPr="008A7101">
        <w:rPr>
          <w:rFonts w:ascii="Times New Roman" w:hAnsi="Times New Roman" w:cs="Times New Roman"/>
          <w:noProof/>
          <w:sz w:val="24"/>
          <w:szCs w:val="24"/>
        </w:rPr>
        <w:t>. Cornell University, Ithaca, NY, United States, 43(1), pp. 130–157. doi: 10.1080/00220380601055601.</w:t>
      </w:r>
    </w:p>
    <w:p w14:paraId="71F91863"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Herring, R. J. (2007b) ‘The genomics revolution and development studies: Science, poverty and politics’, </w:t>
      </w:r>
      <w:r w:rsidRPr="008A7101">
        <w:rPr>
          <w:rFonts w:ascii="Times New Roman" w:hAnsi="Times New Roman" w:cs="Times New Roman"/>
          <w:i/>
          <w:iCs/>
          <w:noProof/>
          <w:sz w:val="24"/>
          <w:szCs w:val="24"/>
        </w:rPr>
        <w:t>Journal of Development Studies</w:t>
      </w:r>
      <w:r w:rsidRPr="008A7101">
        <w:rPr>
          <w:rFonts w:ascii="Times New Roman" w:hAnsi="Times New Roman" w:cs="Times New Roman"/>
          <w:noProof/>
          <w:sz w:val="24"/>
          <w:szCs w:val="24"/>
        </w:rPr>
        <w:t>. Cornell University, Ithaca, NY, United States, 43(1), pp. 1–30. doi: 10.1080/00220380601055502.</w:t>
      </w:r>
    </w:p>
    <w:p w14:paraId="7C298745"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Herring, R. J. (2015) ‘Politics of biotechnology: Ideas, risk, and interest in cases from India’, </w:t>
      </w:r>
      <w:r w:rsidRPr="008A7101">
        <w:rPr>
          <w:rFonts w:ascii="Times New Roman" w:hAnsi="Times New Roman" w:cs="Times New Roman"/>
          <w:i/>
          <w:iCs/>
          <w:noProof/>
          <w:sz w:val="24"/>
          <w:szCs w:val="24"/>
        </w:rPr>
        <w:t>AgBioForum</w:t>
      </w:r>
      <w:r w:rsidRPr="008A7101">
        <w:rPr>
          <w:rFonts w:ascii="Times New Roman" w:hAnsi="Times New Roman" w:cs="Times New Roman"/>
          <w:noProof/>
          <w:sz w:val="24"/>
          <w:szCs w:val="24"/>
        </w:rPr>
        <w:t>. Cornell University, United States: University of Missouri, 18(2), pp. 142–155. Available at: https://www.scopus.com/inward/record.uri?eid=2-s2.0-84950269428&amp;partnerID=40&amp;md5=1412d202ecbfe5594e8203ed3402357c.</w:t>
      </w:r>
    </w:p>
    <w:p w14:paraId="60376544"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Hiller, H. H. (1975) ‘A reconceptualization of the dynamics of social movement development’, </w:t>
      </w:r>
      <w:r w:rsidRPr="008A7101">
        <w:rPr>
          <w:rFonts w:ascii="Times New Roman" w:hAnsi="Times New Roman" w:cs="Times New Roman"/>
          <w:i/>
          <w:iCs/>
          <w:noProof/>
          <w:sz w:val="24"/>
          <w:szCs w:val="24"/>
        </w:rPr>
        <w:t>Sociological Perspectives</w:t>
      </w:r>
      <w:r w:rsidRPr="008A7101">
        <w:rPr>
          <w:rFonts w:ascii="Times New Roman" w:hAnsi="Times New Roman" w:cs="Times New Roman"/>
          <w:noProof/>
          <w:sz w:val="24"/>
          <w:szCs w:val="24"/>
        </w:rPr>
        <w:t>. University of Calgary, Canada, 18(3), pp. 342–360. doi: 10.2307/1388434.</w:t>
      </w:r>
    </w:p>
    <w:p w14:paraId="4834BDA4"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Hinrichs, C. C. and Allen, P. (2008) ‘Selective patronage and social justice: Local food consumer campaigns in historical context’, </w:t>
      </w:r>
      <w:r w:rsidRPr="008A7101">
        <w:rPr>
          <w:rFonts w:ascii="Times New Roman" w:hAnsi="Times New Roman" w:cs="Times New Roman"/>
          <w:i/>
          <w:iCs/>
          <w:noProof/>
          <w:sz w:val="24"/>
          <w:szCs w:val="24"/>
        </w:rPr>
        <w:t>Journal of Agricultural and Environmental Ethics</w:t>
      </w:r>
      <w:r w:rsidRPr="008A7101">
        <w:rPr>
          <w:rFonts w:ascii="Times New Roman" w:hAnsi="Times New Roman" w:cs="Times New Roman"/>
          <w:noProof/>
          <w:sz w:val="24"/>
          <w:szCs w:val="24"/>
        </w:rPr>
        <w:t>. Department of Agricultural Economics and Rural Sociology, The Pennsylvania State University, University Park, PA 16802, United States, 21(4), pp. 329–352. doi: 10.1007/s10806-008-9089-6.</w:t>
      </w:r>
    </w:p>
    <w:p w14:paraId="2A5C118C"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Khoo-Lattimore, C., Mura, P. and Yung, R. (2019) ‘The time has come: a systematic literature review of mixed methods research in tourism’, </w:t>
      </w:r>
      <w:r w:rsidRPr="008A7101">
        <w:rPr>
          <w:rFonts w:ascii="Times New Roman" w:hAnsi="Times New Roman" w:cs="Times New Roman"/>
          <w:i/>
          <w:iCs/>
          <w:noProof/>
          <w:sz w:val="24"/>
          <w:szCs w:val="24"/>
        </w:rPr>
        <w:t>Current Issues in Tourism</w:t>
      </w:r>
      <w:r w:rsidRPr="008A7101">
        <w:rPr>
          <w:rFonts w:ascii="Times New Roman" w:hAnsi="Times New Roman" w:cs="Times New Roman"/>
          <w:noProof/>
          <w:sz w:val="24"/>
          <w:szCs w:val="24"/>
        </w:rPr>
        <w:t>. Taylor &amp; Francis, 22(13), pp. 1531–1550. doi: 10.1080/13683500.2017.1406900.</w:t>
      </w:r>
    </w:p>
    <w:p w14:paraId="291A00F3"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Leite, J. G. D. B., Silva, J. V and van Ittersum, M. K. (2014) ‘Integrated assessment of biodiesel policies aimed at family farms in Brazil’, </w:t>
      </w:r>
      <w:r w:rsidRPr="008A7101">
        <w:rPr>
          <w:rFonts w:ascii="Times New Roman" w:hAnsi="Times New Roman" w:cs="Times New Roman"/>
          <w:i/>
          <w:iCs/>
          <w:noProof/>
          <w:sz w:val="24"/>
          <w:szCs w:val="24"/>
        </w:rPr>
        <w:t>Agricultural Systems</w:t>
      </w:r>
      <w:r w:rsidRPr="008A7101">
        <w:rPr>
          <w:rFonts w:ascii="Times New Roman" w:hAnsi="Times New Roman" w:cs="Times New Roman"/>
          <w:noProof/>
          <w:sz w:val="24"/>
          <w:szCs w:val="24"/>
        </w:rPr>
        <w:t>. Plant Production Systems, Wageningen University, P.O. Box 430, 6700 AK Wageningen, Netherlands: Elsevier Ltd, 131, pp. 64–76. doi: 10.1016/j.agsy.2014.08.004.</w:t>
      </w:r>
    </w:p>
    <w:p w14:paraId="65A342FE"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lastRenderedPageBreak/>
        <w:t xml:space="preserve">Levien, M. (2013) ‘The Politics of Dispossession: Theorizing India’s “Land Wars”’, </w:t>
      </w:r>
      <w:r w:rsidRPr="008A7101">
        <w:rPr>
          <w:rFonts w:ascii="Times New Roman" w:hAnsi="Times New Roman" w:cs="Times New Roman"/>
          <w:i/>
          <w:iCs/>
          <w:noProof/>
          <w:sz w:val="24"/>
          <w:szCs w:val="24"/>
        </w:rPr>
        <w:t>Politics and Society</w:t>
      </w:r>
      <w:r w:rsidRPr="008A7101">
        <w:rPr>
          <w:rFonts w:ascii="Times New Roman" w:hAnsi="Times New Roman" w:cs="Times New Roman"/>
          <w:noProof/>
          <w:sz w:val="24"/>
          <w:szCs w:val="24"/>
        </w:rPr>
        <w:t>. Johns Hopkins University, United States, 41(3), pp. 351–394. doi: 10.1177/0032329213493751.</w:t>
      </w:r>
    </w:p>
    <w:p w14:paraId="434DE683"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Lindberg, S. (1994) ‘New Farmers’ Movements in India as Structural Response and Collective Identity Formation: The Cases of the Shetkari Sanghatana and the BKU’, </w:t>
      </w:r>
      <w:r w:rsidRPr="008A7101">
        <w:rPr>
          <w:rFonts w:ascii="Times New Roman" w:hAnsi="Times New Roman" w:cs="Times New Roman"/>
          <w:i/>
          <w:iCs/>
          <w:noProof/>
          <w:sz w:val="24"/>
          <w:szCs w:val="24"/>
        </w:rPr>
        <w:t>The Journal of Peasant Studies</w:t>
      </w:r>
      <w:r w:rsidRPr="008A7101">
        <w:rPr>
          <w:rFonts w:ascii="Times New Roman" w:hAnsi="Times New Roman" w:cs="Times New Roman"/>
          <w:noProof/>
          <w:sz w:val="24"/>
          <w:szCs w:val="24"/>
        </w:rPr>
        <w:t>. Department of Sociology, University of Lund, Box 114, 221 00, Lund, Sweden, 21(3–4), pp. 95–125. doi: 10.1080/03066159408438556.</w:t>
      </w:r>
    </w:p>
    <w:p w14:paraId="1E90FA12"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Makita, R. (2016) ‘A Role of Fair Trade Certification for Environmental Sustainability’, </w:t>
      </w:r>
      <w:r w:rsidRPr="008A7101">
        <w:rPr>
          <w:rFonts w:ascii="Times New Roman" w:hAnsi="Times New Roman" w:cs="Times New Roman"/>
          <w:i/>
          <w:iCs/>
          <w:noProof/>
          <w:sz w:val="24"/>
          <w:szCs w:val="24"/>
        </w:rPr>
        <w:t>Journal of Agricultural and Environmental Ethics</w:t>
      </w:r>
      <w:r w:rsidRPr="008A7101">
        <w:rPr>
          <w:rFonts w:ascii="Times New Roman" w:hAnsi="Times New Roman" w:cs="Times New Roman"/>
          <w:noProof/>
          <w:sz w:val="24"/>
          <w:szCs w:val="24"/>
        </w:rPr>
        <w:t>. Graduate School of Social Design Studies, Rikkyo University, Toshima-ku, Tokyo, Japan: Springer Netherlands, 29(2), pp. 185–201. doi: 10.1007/s10806-016-9604-0.</w:t>
      </w:r>
    </w:p>
    <w:p w14:paraId="3AD64D25"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Mooney, P. H. (2004) ‘Democratizing rural economy: Institutional friction, sustainable struggle and the cooperative movement’, </w:t>
      </w:r>
      <w:r w:rsidRPr="008A7101">
        <w:rPr>
          <w:rFonts w:ascii="Times New Roman" w:hAnsi="Times New Roman" w:cs="Times New Roman"/>
          <w:i/>
          <w:iCs/>
          <w:noProof/>
          <w:sz w:val="24"/>
          <w:szCs w:val="24"/>
        </w:rPr>
        <w:t>Rural Sociology</w:t>
      </w:r>
      <w:r w:rsidRPr="008A7101">
        <w:rPr>
          <w:rFonts w:ascii="Times New Roman" w:hAnsi="Times New Roman" w:cs="Times New Roman"/>
          <w:noProof/>
          <w:sz w:val="24"/>
          <w:szCs w:val="24"/>
        </w:rPr>
        <w:t>. Department of Sociology, University of Kentucky, Lexington, KY 40506-0027, United States: Rural Sociological Society, 69(1), pp. 76–98. doi: 10.1526/003601104322919919.</w:t>
      </w:r>
    </w:p>
    <w:p w14:paraId="4A5A5EA8"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Navajas-Romero, V., Del Río, L. C. Y. L. and Ceular-Villamandos, N. (2020) ‘Analysis of wellbeing in nongovernmental organizations’ workplace in a developed area context’, </w:t>
      </w:r>
      <w:r w:rsidRPr="008A7101">
        <w:rPr>
          <w:rFonts w:ascii="Times New Roman" w:hAnsi="Times New Roman" w:cs="Times New Roman"/>
          <w:i/>
          <w:iCs/>
          <w:noProof/>
          <w:sz w:val="24"/>
          <w:szCs w:val="24"/>
        </w:rPr>
        <w:t>International Journal of Environmental Research and Public Health</w:t>
      </w:r>
      <w:r w:rsidRPr="008A7101">
        <w:rPr>
          <w:rFonts w:ascii="Times New Roman" w:hAnsi="Times New Roman" w:cs="Times New Roman"/>
          <w:noProof/>
          <w:sz w:val="24"/>
          <w:szCs w:val="24"/>
        </w:rPr>
        <w:t>. Department of Statistics and Operations Research, Business Organization and Applied Economics, Universidad de Córdoba14014, Spain: MDPI AG. doi: 10.3390/ijerph17165818.</w:t>
      </w:r>
    </w:p>
    <w:p w14:paraId="07EE212F"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Nicolas, J. </w:t>
      </w:r>
      <w:r w:rsidRPr="008A7101">
        <w:rPr>
          <w:rFonts w:ascii="Times New Roman" w:hAnsi="Times New Roman" w:cs="Times New Roman"/>
          <w:i/>
          <w:iCs/>
          <w:noProof/>
          <w:sz w:val="24"/>
          <w:szCs w:val="24"/>
        </w:rPr>
        <w:t>et al.</w:t>
      </w:r>
      <w:r w:rsidRPr="008A7101">
        <w:rPr>
          <w:rFonts w:ascii="Times New Roman" w:hAnsi="Times New Roman" w:cs="Times New Roman"/>
          <w:noProof/>
          <w:sz w:val="24"/>
          <w:szCs w:val="24"/>
        </w:rPr>
        <w:t xml:space="preserve"> (2018) ‘On the risks and safeguards for requirements engineering in global software development: Systematic literature review and quantitative assessment’, </w:t>
      </w:r>
      <w:r w:rsidRPr="008A7101">
        <w:rPr>
          <w:rFonts w:ascii="Times New Roman" w:hAnsi="Times New Roman" w:cs="Times New Roman"/>
          <w:i/>
          <w:iCs/>
          <w:noProof/>
          <w:sz w:val="24"/>
          <w:szCs w:val="24"/>
        </w:rPr>
        <w:t>IEEE Access</w:t>
      </w:r>
      <w:r w:rsidRPr="008A7101">
        <w:rPr>
          <w:rFonts w:ascii="Times New Roman" w:hAnsi="Times New Roman" w:cs="Times New Roman"/>
          <w:noProof/>
          <w:sz w:val="24"/>
          <w:szCs w:val="24"/>
        </w:rPr>
        <w:t>, 6, pp. 59628–59656. doi: 10.1109/ACCESS.2018.2874096.</w:t>
      </w:r>
    </w:p>
    <w:p w14:paraId="557BCCDB"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Pai, S. (2000) ‘New social and political movements of details: A study of Meerut district’, </w:t>
      </w:r>
      <w:r w:rsidRPr="008A7101">
        <w:rPr>
          <w:rFonts w:ascii="Times New Roman" w:hAnsi="Times New Roman" w:cs="Times New Roman"/>
          <w:i/>
          <w:iCs/>
          <w:noProof/>
          <w:sz w:val="24"/>
          <w:szCs w:val="24"/>
        </w:rPr>
        <w:t>Contributions to Indian Sociology</w:t>
      </w:r>
      <w:r w:rsidRPr="008A7101">
        <w:rPr>
          <w:rFonts w:ascii="Times New Roman" w:hAnsi="Times New Roman" w:cs="Times New Roman"/>
          <w:noProof/>
          <w:sz w:val="24"/>
          <w:szCs w:val="24"/>
        </w:rPr>
        <w:t>. Centre for Political Studies, School of Social Sciences, Jawaharlal Nehru University, New Delhi 110 067, India: Sage Publications India Pvt. Ltd, 34(2), pp. 189–220. doi: 10.1177/006996670003400202.</w:t>
      </w:r>
    </w:p>
    <w:p w14:paraId="096EE406"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Patnaik, A., Jongerden, J. and Ruivenkamp, G. (2018) ‘Rights or ability: Access to plant genetic resources in India’, </w:t>
      </w:r>
      <w:r w:rsidRPr="008A7101">
        <w:rPr>
          <w:rFonts w:ascii="Times New Roman" w:hAnsi="Times New Roman" w:cs="Times New Roman"/>
          <w:i/>
          <w:iCs/>
          <w:noProof/>
          <w:sz w:val="24"/>
          <w:szCs w:val="24"/>
        </w:rPr>
        <w:t>Journal of World Intellectual Property</w:t>
      </w:r>
      <w:r w:rsidRPr="008A7101">
        <w:rPr>
          <w:rFonts w:ascii="Times New Roman" w:hAnsi="Times New Roman" w:cs="Times New Roman"/>
          <w:noProof/>
          <w:sz w:val="24"/>
          <w:szCs w:val="24"/>
        </w:rPr>
        <w:t>. Sociology and Anthropology of Development, Wageningen University, Wageningen, Netherlands: Blackwell Publishing Ltd, 21(3–4), pp. 157–175. doi: 10.1111/jwip.12102.</w:t>
      </w:r>
    </w:p>
    <w:p w14:paraId="7E2E7452"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Prentice, C., Chen, J. and Wang, X. (2019) ‘The influence of product and personal attributes on organic food marketing’, </w:t>
      </w:r>
      <w:r w:rsidRPr="008A7101">
        <w:rPr>
          <w:rFonts w:ascii="Times New Roman" w:hAnsi="Times New Roman" w:cs="Times New Roman"/>
          <w:i/>
          <w:iCs/>
          <w:noProof/>
          <w:sz w:val="24"/>
          <w:szCs w:val="24"/>
        </w:rPr>
        <w:t>Journal of Retailing and Consumer Services</w:t>
      </w:r>
      <w:r w:rsidRPr="008A7101">
        <w:rPr>
          <w:rFonts w:ascii="Times New Roman" w:hAnsi="Times New Roman" w:cs="Times New Roman"/>
          <w:noProof/>
          <w:sz w:val="24"/>
          <w:szCs w:val="24"/>
        </w:rPr>
        <w:t>. Griffith Business School, Griffith University, Brisbane, Australia: Elsevier Ltd, 46, pp. 70–78. doi: 10.1016/j.jretconser.2017.10.020.</w:t>
      </w:r>
    </w:p>
    <w:p w14:paraId="57316C31"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Prost, S. </w:t>
      </w:r>
      <w:r w:rsidRPr="008A7101">
        <w:rPr>
          <w:rFonts w:ascii="Times New Roman" w:hAnsi="Times New Roman" w:cs="Times New Roman"/>
          <w:i/>
          <w:iCs/>
          <w:noProof/>
          <w:sz w:val="24"/>
          <w:szCs w:val="24"/>
        </w:rPr>
        <w:t>et al.</w:t>
      </w:r>
      <w:r w:rsidRPr="008A7101">
        <w:rPr>
          <w:rFonts w:ascii="Times New Roman" w:hAnsi="Times New Roman" w:cs="Times New Roman"/>
          <w:noProof/>
          <w:sz w:val="24"/>
          <w:szCs w:val="24"/>
        </w:rPr>
        <w:t xml:space="preserve"> (2019) ‘Infrastructuring food democracy: The formation of a local food hub in the context of socio-economic deprivation’, </w:t>
      </w:r>
      <w:r w:rsidRPr="008A7101">
        <w:rPr>
          <w:rFonts w:ascii="Times New Roman" w:hAnsi="Times New Roman" w:cs="Times New Roman"/>
          <w:i/>
          <w:iCs/>
          <w:noProof/>
          <w:sz w:val="24"/>
          <w:szCs w:val="24"/>
        </w:rPr>
        <w:t>Proceedings of the ACM on Human-Computer Interaction</w:t>
      </w:r>
      <w:r w:rsidRPr="008A7101">
        <w:rPr>
          <w:rFonts w:ascii="Times New Roman" w:hAnsi="Times New Roman" w:cs="Times New Roman"/>
          <w:noProof/>
          <w:sz w:val="24"/>
          <w:szCs w:val="24"/>
        </w:rPr>
        <w:t>, 3(CSCW). doi: 10.1145/3359159.</w:t>
      </w:r>
    </w:p>
    <w:p w14:paraId="1E107E20"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Roy, H., Hall, C. M. and W. Ballantine, P. (2017) ‘Trust in local food networks: The role of trust among tourism stakeholders and their impacts in purchasing decisions’, </w:t>
      </w:r>
      <w:r w:rsidRPr="008A7101">
        <w:rPr>
          <w:rFonts w:ascii="Times New Roman" w:hAnsi="Times New Roman" w:cs="Times New Roman"/>
          <w:i/>
          <w:iCs/>
          <w:noProof/>
          <w:sz w:val="24"/>
          <w:szCs w:val="24"/>
        </w:rPr>
        <w:t>Journal of Destination Marketing and Management</w:t>
      </w:r>
      <w:r w:rsidRPr="008A7101">
        <w:rPr>
          <w:rFonts w:ascii="Times New Roman" w:hAnsi="Times New Roman" w:cs="Times New Roman"/>
          <w:noProof/>
          <w:sz w:val="24"/>
          <w:szCs w:val="24"/>
        </w:rPr>
        <w:t xml:space="preserve">. Elsevier Ltd, 6(4), pp. 309–317. doi: </w:t>
      </w:r>
      <w:r w:rsidRPr="008A7101">
        <w:rPr>
          <w:rFonts w:ascii="Times New Roman" w:hAnsi="Times New Roman" w:cs="Times New Roman"/>
          <w:noProof/>
          <w:sz w:val="24"/>
          <w:szCs w:val="24"/>
        </w:rPr>
        <w:lastRenderedPageBreak/>
        <w:t>10.1016/j.jdmm.2017.07.002.</w:t>
      </w:r>
    </w:p>
    <w:p w14:paraId="79C361CC"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Sengers, F., Wieczorek, A. J. and Raven, R. (2019) ‘Experimenting for sustainability transitions: A systematic literature review’, </w:t>
      </w:r>
      <w:r w:rsidRPr="008A7101">
        <w:rPr>
          <w:rFonts w:ascii="Times New Roman" w:hAnsi="Times New Roman" w:cs="Times New Roman"/>
          <w:i/>
          <w:iCs/>
          <w:noProof/>
          <w:sz w:val="24"/>
          <w:szCs w:val="24"/>
        </w:rPr>
        <w:t>Technological Forecasting and Social Change</w:t>
      </w:r>
      <w:r w:rsidRPr="008A7101">
        <w:rPr>
          <w:rFonts w:ascii="Times New Roman" w:hAnsi="Times New Roman" w:cs="Times New Roman"/>
          <w:noProof/>
          <w:sz w:val="24"/>
          <w:szCs w:val="24"/>
        </w:rPr>
        <w:t>. Elsevier Inc., 145(September), pp. 153–164. doi: 10.1016/j.techfore.2016.08.031.</w:t>
      </w:r>
    </w:p>
    <w:p w14:paraId="578BB696"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Starr, Amory (2010) ‘Local food: A social movement?’, </w:t>
      </w:r>
      <w:r w:rsidRPr="008A7101">
        <w:rPr>
          <w:rFonts w:ascii="Times New Roman" w:hAnsi="Times New Roman" w:cs="Times New Roman"/>
          <w:i/>
          <w:iCs/>
          <w:noProof/>
          <w:sz w:val="24"/>
          <w:szCs w:val="24"/>
        </w:rPr>
        <w:t>Cultural Studies - Critical Methodologies</w:t>
      </w:r>
      <w:r w:rsidRPr="008A7101">
        <w:rPr>
          <w:rFonts w:ascii="Times New Roman" w:hAnsi="Times New Roman" w:cs="Times New Roman"/>
          <w:noProof/>
          <w:sz w:val="24"/>
          <w:szCs w:val="24"/>
        </w:rPr>
        <w:t>, 10(6), pp. 479–490. doi: 10.1177/1532708610372769.</w:t>
      </w:r>
    </w:p>
    <w:p w14:paraId="25E86C7D"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Starr, A (2010) ‘Local food: A social movement?’, </w:t>
      </w:r>
      <w:r w:rsidRPr="008A7101">
        <w:rPr>
          <w:rFonts w:ascii="Times New Roman" w:hAnsi="Times New Roman" w:cs="Times New Roman"/>
          <w:i/>
          <w:iCs/>
          <w:noProof/>
          <w:sz w:val="24"/>
          <w:szCs w:val="24"/>
        </w:rPr>
        <w:t>Cultural Studies - Critical Methodologies</w:t>
      </w:r>
      <w:r w:rsidRPr="008A7101">
        <w:rPr>
          <w:rFonts w:ascii="Times New Roman" w:hAnsi="Times New Roman" w:cs="Times New Roman"/>
          <w:noProof/>
          <w:sz w:val="24"/>
          <w:szCs w:val="24"/>
        </w:rPr>
        <w:t>. Sociology, University of California-Santa Barbara, PO Box 1198, Venice, CA 90294, United States, 10(6), pp. 479–490. doi: 10.1177/1532708610372769.</w:t>
      </w:r>
    </w:p>
    <w:p w14:paraId="6096C2A3"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Tomlinson, I. (2008) ‘Re-thinking the transformation of organics: The role of the UK government in shaping British organic food and farming’, </w:t>
      </w:r>
      <w:r w:rsidRPr="008A7101">
        <w:rPr>
          <w:rFonts w:ascii="Times New Roman" w:hAnsi="Times New Roman" w:cs="Times New Roman"/>
          <w:i/>
          <w:iCs/>
          <w:noProof/>
          <w:sz w:val="24"/>
          <w:szCs w:val="24"/>
        </w:rPr>
        <w:t>Sociologia Ruralis</w:t>
      </w:r>
      <w:r w:rsidRPr="008A7101">
        <w:rPr>
          <w:rFonts w:ascii="Times New Roman" w:hAnsi="Times New Roman" w:cs="Times New Roman"/>
          <w:noProof/>
          <w:sz w:val="24"/>
          <w:szCs w:val="24"/>
        </w:rPr>
        <w:t>. Centre for Environmental Policy, Imperial College London, Exhibition Road, South Kensington, London SW7 2AZ, United Kingdom, 48(2), pp. 133–151. doi: 10.1111/j.1467-9523.2008.00457.x.</w:t>
      </w:r>
    </w:p>
    <w:p w14:paraId="12B5CF25"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Tripp, W. B. (2018) ‘Being green: Patterns of participation in the environmental movement’, </w:t>
      </w:r>
      <w:r w:rsidRPr="008A7101">
        <w:rPr>
          <w:rFonts w:ascii="Times New Roman" w:hAnsi="Times New Roman" w:cs="Times New Roman"/>
          <w:i/>
          <w:iCs/>
          <w:noProof/>
          <w:sz w:val="24"/>
          <w:szCs w:val="24"/>
        </w:rPr>
        <w:t>Current Sociology</w:t>
      </w:r>
      <w:r w:rsidRPr="008A7101">
        <w:rPr>
          <w:rFonts w:ascii="Times New Roman" w:hAnsi="Times New Roman" w:cs="Times New Roman"/>
          <w:noProof/>
          <w:sz w:val="24"/>
          <w:szCs w:val="24"/>
        </w:rPr>
        <w:t>. University of West Georgia, United States: SAGE Publications Ltd, 66(5), pp. 788–809. doi: 10.1177/0011392117737818.</w:t>
      </w:r>
    </w:p>
    <w:p w14:paraId="63D86F71"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De Weerd, M. and Klandermans, B. (1999) ‘Group identification and political protest: Farmers’ protest in the Netherlands’, </w:t>
      </w:r>
      <w:r w:rsidRPr="008A7101">
        <w:rPr>
          <w:rFonts w:ascii="Times New Roman" w:hAnsi="Times New Roman" w:cs="Times New Roman"/>
          <w:i/>
          <w:iCs/>
          <w:noProof/>
          <w:sz w:val="24"/>
          <w:szCs w:val="24"/>
        </w:rPr>
        <w:t>European Journal of Social Psychology</w:t>
      </w:r>
      <w:r w:rsidRPr="008A7101">
        <w:rPr>
          <w:rFonts w:ascii="Times New Roman" w:hAnsi="Times New Roman" w:cs="Times New Roman"/>
          <w:noProof/>
          <w:sz w:val="24"/>
          <w:szCs w:val="24"/>
        </w:rPr>
        <w:t>, 29(8), pp. 1073–1095. doi: 10.1002/(sici)1099-0992(199912)29:8&lt;1073::aid-ejsp986&gt;3.0.co;2-k.</w:t>
      </w:r>
    </w:p>
    <w:p w14:paraId="01383A51"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8A7101">
        <w:rPr>
          <w:rFonts w:ascii="Times New Roman" w:hAnsi="Times New Roman" w:cs="Times New Roman"/>
          <w:noProof/>
          <w:sz w:val="24"/>
          <w:szCs w:val="24"/>
        </w:rPr>
        <w:t xml:space="preserve">Wegren, S. K. (1996) ‘The politics of private farming in Russia’, </w:t>
      </w:r>
      <w:r w:rsidRPr="008A7101">
        <w:rPr>
          <w:rFonts w:ascii="Times New Roman" w:hAnsi="Times New Roman" w:cs="Times New Roman"/>
          <w:i/>
          <w:iCs/>
          <w:noProof/>
          <w:sz w:val="24"/>
          <w:szCs w:val="24"/>
        </w:rPr>
        <w:t>Journal of Peasant Studies</w:t>
      </w:r>
      <w:r w:rsidRPr="008A7101">
        <w:rPr>
          <w:rFonts w:ascii="Times New Roman" w:hAnsi="Times New Roman" w:cs="Times New Roman"/>
          <w:noProof/>
          <w:sz w:val="24"/>
          <w:szCs w:val="24"/>
        </w:rPr>
        <w:t>. Department of Political Science, Southern Methodist University, Dallas TX 75275, United States: Frank Cass Publishers, 23(4), pp. 106–140. doi: 10.1080/03066159608438621.</w:t>
      </w:r>
    </w:p>
    <w:p w14:paraId="6521D6FE" w14:textId="77777777" w:rsidR="008A7101" w:rsidRPr="008A7101" w:rsidRDefault="008A7101" w:rsidP="008A7101">
      <w:pPr>
        <w:widowControl w:val="0"/>
        <w:autoSpaceDE w:val="0"/>
        <w:autoSpaceDN w:val="0"/>
        <w:adjustRightInd w:val="0"/>
        <w:spacing w:line="240" w:lineRule="auto"/>
        <w:ind w:left="709" w:hanging="709"/>
        <w:jc w:val="both"/>
        <w:rPr>
          <w:rFonts w:ascii="Times New Roman" w:hAnsi="Times New Roman" w:cs="Times New Roman"/>
          <w:noProof/>
          <w:sz w:val="24"/>
        </w:rPr>
      </w:pPr>
      <w:r w:rsidRPr="008A7101">
        <w:rPr>
          <w:rFonts w:ascii="Times New Roman" w:hAnsi="Times New Roman" w:cs="Times New Roman"/>
          <w:noProof/>
          <w:sz w:val="24"/>
          <w:szCs w:val="24"/>
        </w:rPr>
        <w:t xml:space="preserve">Wright, W. and Reid, T. (2011) ‘Green dreams or pipe dreams?: Media framing of the U.S. biofuels movement’, </w:t>
      </w:r>
      <w:r w:rsidRPr="008A7101">
        <w:rPr>
          <w:rFonts w:ascii="Times New Roman" w:hAnsi="Times New Roman" w:cs="Times New Roman"/>
          <w:i/>
          <w:iCs/>
          <w:noProof/>
          <w:sz w:val="24"/>
          <w:szCs w:val="24"/>
        </w:rPr>
        <w:t>Biomass and Bioenergy</w:t>
      </w:r>
      <w:r w:rsidRPr="008A7101">
        <w:rPr>
          <w:rFonts w:ascii="Times New Roman" w:hAnsi="Times New Roman" w:cs="Times New Roman"/>
          <w:noProof/>
          <w:sz w:val="24"/>
          <w:szCs w:val="24"/>
        </w:rPr>
        <w:t>. Department of Community, Agriculture, Recreation, and Resource Studies, Michigan State University, 330B Natural Resources Building, East Lansing, MI 48824-1222, United States, 35(4), pp. 1390–1399. doi: 10.1016/j.biombioe.2010.07.020.</w:t>
      </w:r>
    </w:p>
    <w:p w14:paraId="531A4068" w14:textId="4C4181F4" w:rsidR="0037337F" w:rsidRPr="0037337F" w:rsidRDefault="0037337F" w:rsidP="008A7101">
      <w:pPr>
        <w:spacing w:line="240" w:lineRule="auto"/>
        <w:ind w:left="709" w:hanging="709"/>
        <w:jc w:val="both"/>
        <w:rPr>
          <w:rFonts w:ascii="Times New Roman" w:hAnsi="Times New Roman" w:cs="Times New Roman"/>
          <w:sz w:val="24"/>
          <w:szCs w:val="24"/>
        </w:rPr>
      </w:pPr>
      <w:r w:rsidRPr="0037337F">
        <w:rPr>
          <w:rFonts w:ascii="Times New Roman" w:hAnsi="Times New Roman" w:cs="Times New Roman"/>
          <w:sz w:val="24"/>
          <w:szCs w:val="24"/>
        </w:rPr>
        <w:fldChar w:fldCharType="end"/>
      </w:r>
    </w:p>
    <w:sectPr w:rsidR="0037337F" w:rsidRPr="0037337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55BC1" w14:textId="77777777" w:rsidR="00C77E31" w:rsidRDefault="00C77E31">
      <w:pPr>
        <w:spacing w:line="240" w:lineRule="auto"/>
      </w:pPr>
      <w:r>
        <w:separator/>
      </w:r>
    </w:p>
  </w:endnote>
  <w:endnote w:type="continuationSeparator" w:id="0">
    <w:p w14:paraId="315D347C" w14:textId="77777777" w:rsidR="00C77E31" w:rsidRDefault="00C77E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DDF78" w14:textId="77777777" w:rsidR="00C77E31" w:rsidRDefault="00C77E31">
      <w:pPr>
        <w:spacing w:after="0" w:line="240" w:lineRule="auto"/>
      </w:pPr>
      <w:r>
        <w:separator/>
      </w:r>
    </w:p>
  </w:footnote>
  <w:footnote w:type="continuationSeparator" w:id="0">
    <w:p w14:paraId="4875950D" w14:textId="77777777" w:rsidR="00C77E31" w:rsidRDefault="00C77E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01DA"/>
    <w:multiLevelType w:val="multilevel"/>
    <w:tmpl w:val="038001DA"/>
    <w:lvl w:ilvl="0">
      <w:start w:val="4"/>
      <w:numFmt w:val="decimal"/>
      <w:lvlText w:val="%1."/>
      <w:lvlJc w:val="left"/>
      <w:pPr>
        <w:ind w:left="360" w:hanging="360"/>
      </w:pPr>
      <w:rPr>
        <w:i/>
      </w:rPr>
    </w:lvl>
    <w:lvl w:ilvl="1">
      <w:start w:val="1"/>
      <w:numFmt w:val="decimal"/>
      <w:lvlText w:val="%1.%2."/>
      <w:lvlJc w:val="left"/>
      <w:pPr>
        <w:ind w:left="720" w:hanging="360"/>
      </w:pPr>
      <w:rPr>
        <w:i/>
      </w:rPr>
    </w:lvl>
    <w:lvl w:ilvl="2">
      <w:start w:val="1"/>
      <w:numFmt w:val="decimal"/>
      <w:lvlText w:val="%1.%2.%3."/>
      <w:lvlJc w:val="left"/>
      <w:pPr>
        <w:ind w:left="1440" w:hanging="720"/>
      </w:pPr>
      <w:rPr>
        <w:i/>
      </w:rPr>
    </w:lvl>
    <w:lvl w:ilvl="3">
      <w:start w:val="1"/>
      <w:numFmt w:val="decimal"/>
      <w:lvlText w:val="%1.%2.%3.%4."/>
      <w:lvlJc w:val="left"/>
      <w:pPr>
        <w:ind w:left="1800" w:hanging="720"/>
      </w:pPr>
      <w:rPr>
        <w:i/>
      </w:rPr>
    </w:lvl>
    <w:lvl w:ilvl="4">
      <w:start w:val="1"/>
      <w:numFmt w:val="decimal"/>
      <w:lvlText w:val="%1.%2.%3.%4.%5."/>
      <w:lvlJc w:val="left"/>
      <w:pPr>
        <w:ind w:left="2520" w:hanging="1080"/>
      </w:pPr>
      <w:rPr>
        <w:i/>
      </w:rPr>
    </w:lvl>
    <w:lvl w:ilvl="5">
      <w:start w:val="1"/>
      <w:numFmt w:val="decimal"/>
      <w:lvlText w:val="%1.%2.%3.%4.%5.%6."/>
      <w:lvlJc w:val="left"/>
      <w:pPr>
        <w:ind w:left="2880" w:hanging="1080"/>
      </w:pPr>
      <w:rPr>
        <w:i/>
      </w:rPr>
    </w:lvl>
    <w:lvl w:ilvl="6">
      <w:start w:val="1"/>
      <w:numFmt w:val="decimal"/>
      <w:lvlText w:val="%1.%2.%3.%4.%5.%6.%7."/>
      <w:lvlJc w:val="left"/>
      <w:pPr>
        <w:ind w:left="3600" w:hanging="1440"/>
      </w:pPr>
      <w:rPr>
        <w:i/>
      </w:rPr>
    </w:lvl>
    <w:lvl w:ilvl="7">
      <w:start w:val="1"/>
      <w:numFmt w:val="decimal"/>
      <w:lvlText w:val="%1.%2.%3.%4.%5.%6.%7.%8."/>
      <w:lvlJc w:val="left"/>
      <w:pPr>
        <w:ind w:left="3960" w:hanging="1440"/>
      </w:pPr>
      <w:rPr>
        <w:i/>
      </w:rPr>
    </w:lvl>
    <w:lvl w:ilvl="8">
      <w:start w:val="1"/>
      <w:numFmt w:val="decimal"/>
      <w:lvlText w:val="%1.%2.%3.%4.%5.%6.%7.%8.%9."/>
      <w:lvlJc w:val="left"/>
      <w:pPr>
        <w:ind w:left="4680" w:hanging="1800"/>
      </w:pPr>
      <w:rPr>
        <w:i/>
      </w:rPr>
    </w:lvl>
  </w:abstractNum>
  <w:abstractNum w:abstractNumId="1" w15:restartNumberingAfterBreak="0">
    <w:nsid w:val="06761436"/>
    <w:multiLevelType w:val="multilevel"/>
    <w:tmpl w:val="06761436"/>
    <w:lvl w:ilvl="0">
      <w:start w:val="4"/>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 w15:restartNumberingAfterBreak="0">
    <w:nsid w:val="1B234525"/>
    <w:multiLevelType w:val="multilevel"/>
    <w:tmpl w:val="1B234525"/>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4D877AEA"/>
    <w:multiLevelType w:val="hybridMultilevel"/>
    <w:tmpl w:val="901C220C"/>
    <w:lvl w:ilvl="0" w:tplc="8ED6328A">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QwNjUzMjcytbS0NDRQ0lEKTi0uzszPAykwrgUAAdywCywAAAA="/>
  </w:docVars>
  <w:rsids>
    <w:rsidRoot w:val="00567693"/>
    <w:rsid w:val="000051E1"/>
    <w:rsid w:val="0001743A"/>
    <w:rsid w:val="000256A7"/>
    <w:rsid w:val="0004589B"/>
    <w:rsid w:val="000663AA"/>
    <w:rsid w:val="000D39E7"/>
    <w:rsid w:val="000D5150"/>
    <w:rsid w:val="001044BB"/>
    <w:rsid w:val="001050A4"/>
    <w:rsid w:val="001347D3"/>
    <w:rsid w:val="0013709E"/>
    <w:rsid w:val="001660C9"/>
    <w:rsid w:val="00192D59"/>
    <w:rsid w:val="00197B65"/>
    <w:rsid w:val="001F2F26"/>
    <w:rsid w:val="0023108C"/>
    <w:rsid w:val="00243374"/>
    <w:rsid w:val="0025207B"/>
    <w:rsid w:val="002B6439"/>
    <w:rsid w:val="002C0049"/>
    <w:rsid w:val="002D569B"/>
    <w:rsid w:val="00353110"/>
    <w:rsid w:val="0037337F"/>
    <w:rsid w:val="003D44C2"/>
    <w:rsid w:val="003E18BF"/>
    <w:rsid w:val="00400F4E"/>
    <w:rsid w:val="00432D40"/>
    <w:rsid w:val="004E2FC0"/>
    <w:rsid w:val="00515D22"/>
    <w:rsid w:val="005438DD"/>
    <w:rsid w:val="00553472"/>
    <w:rsid w:val="0056275A"/>
    <w:rsid w:val="00567693"/>
    <w:rsid w:val="00584948"/>
    <w:rsid w:val="00586DB2"/>
    <w:rsid w:val="0058792C"/>
    <w:rsid w:val="0059634A"/>
    <w:rsid w:val="005A3BFC"/>
    <w:rsid w:val="005B74A5"/>
    <w:rsid w:val="005C5F0E"/>
    <w:rsid w:val="005C639C"/>
    <w:rsid w:val="00655BF6"/>
    <w:rsid w:val="00667C44"/>
    <w:rsid w:val="00691FC5"/>
    <w:rsid w:val="006A3E7A"/>
    <w:rsid w:val="006A3E85"/>
    <w:rsid w:val="00784B6E"/>
    <w:rsid w:val="007B0C9A"/>
    <w:rsid w:val="008218B0"/>
    <w:rsid w:val="008232EF"/>
    <w:rsid w:val="0082645C"/>
    <w:rsid w:val="008739A1"/>
    <w:rsid w:val="008739A2"/>
    <w:rsid w:val="008A47AA"/>
    <w:rsid w:val="008A7101"/>
    <w:rsid w:val="008E17A8"/>
    <w:rsid w:val="008E3476"/>
    <w:rsid w:val="0091281D"/>
    <w:rsid w:val="009175F7"/>
    <w:rsid w:val="00987E61"/>
    <w:rsid w:val="009E1E99"/>
    <w:rsid w:val="009E3C37"/>
    <w:rsid w:val="009F423F"/>
    <w:rsid w:val="009F7025"/>
    <w:rsid w:val="00A6197C"/>
    <w:rsid w:val="00B9647D"/>
    <w:rsid w:val="00BA43EC"/>
    <w:rsid w:val="00BC521B"/>
    <w:rsid w:val="00C348EE"/>
    <w:rsid w:val="00C53F28"/>
    <w:rsid w:val="00C77E31"/>
    <w:rsid w:val="00CB320D"/>
    <w:rsid w:val="00CB5ABF"/>
    <w:rsid w:val="00CE2780"/>
    <w:rsid w:val="00D20A07"/>
    <w:rsid w:val="00D30298"/>
    <w:rsid w:val="00DB02F2"/>
    <w:rsid w:val="00DD3112"/>
    <w:rsid w:val="00DF1B5A"/>
    <w:rsid w:val="00E74EF8"/>
    <w:rsid w:val="00EE2343"/>
    <w:rsid w:val="00F1319C"/>
    <w:rsid w:val="00F15AB6"/>
    <w:rsid w:val="00F27FAC"/>
    <w:rsid w:val="00F8748C"/>
    <w:rsid w:val="00FB6E5C"/>
    <w:rsid w:val="00FC6D95"/>
    <w:rsid w:val="5816689A"/>
    <w:rsid w:val="66203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327C9E1"/>
  <w15:docId w15:val="{1E20702C-F4AB-4950-B1E2-44F054BA5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styleId="Hyperlink">
    <w:name w:val="Hyperlink"/>
    <w:basedOn w:val="DefaultParagraphFont"/>
    <w:uiPriority w:val="99"/>
    <w:unhideWhenUsed/>
    <w:rsid w:val="00987E61"/>
    <w:rPr>
      <w:color w:val="0000FF" w:themeColor="hyperlink"/>
      <w:u w:val="single"/>
    </w:rPr>
  </w:style>
  <w:style w:type="character" w:styleId="UnresolvedMention">
    <w:name w:val="Unresolved Mention"/>
    <w:basedOn w:val="DefaultParagraphFont"/>
    <w:uiPriority w:val="99"/>
    <w:semiHidden/>
    <w:unhideWhenUsed/>
    <w:rsid w:val="00987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78A223-78D4-41BF-B9FE-CF0C959FF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24</Pages>
  <Words>121758</Words>
  <Characters>694025</Characters>
  <Application>Microsoft Office Word</Application>
  <DocSecurity>0</DocSecurity>
  <Lines>5783</Lines>
  <Paragraphs>1628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SALAHUDIN</cp:lastModifiedBy>
  <cp:revision>12</cp:revision>
  <dcterms:created xsi:type="dcterms:W3CDTF">2021-04-02T11:51:00Z</dcterms:created>
  <dcterms:modified xsi:type="dcterms:W3CDTF">2021-08-15T13:32:00Z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1033-11.2.0.10078</vt:lpwstr>
  </property>
  <property fmtid="{D5CDD505-2E9C-101B-9397-08002B2CF9AE}" pid="3" name="Mendeley Document_1">
    <vt:lpwstr>True</vt:lpwstr>
  </property>
  <property fmtid="{D5CDD505-2E9C-101B-9397-08002B2CF9AE}" pid="4" name="Mendeley Unique User Id_1">
    <vt:lpwstr>697920de-c81d-3e1c-ac4d-2a0b6586cd3a</vt:lpwstr>
  </property>
  <property fmtid="{D5CDD505-2E9C-101B-9397-08002B2CF9AE}" pid="5" name="Mendeley Citation Style_1">
    <vt:lpwstr>http://www.zotero.org/styles/harvard1</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