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A73E" w14:textId="186583CC" w:rsidR="00E74B74" w:rsidRPr="00E74B74" w:rsidRDefault="00E74B74" w:rsidP="006C5D03">
      <w:pPr>
        <w:spacing w:before="120"/>
        <w:jc w:val="center"/>
        <w:rPr>
          <w:rFonts w:asciiTheme="minorHAnsi" w:hAnsiTheme="minorHAnsi" w:cstheme="minorHAnsi"/>
          <w:sz w:val="30"/>
          <w:szCs w:val="30"/>
          <w:lang w:val="id-ID"/>
        </w:rPr>
      </w:pPr>
      <w:r w:rsidRPr="00E74B74">
        <w:rPr>
          <w:rFonts w:asciiTheme="minorHAnsi" w:hAnsiTheme="minorHAnsi" w:cstheme="minorHAnsi"/>
          <w:b/>
          <w:sz w:val="30"/>
          <w:szCs w:val="30"/>
        </w:rPr>
        <w:t>ETHNOMATHEMATICS BASED MPA’A GOPA GAME LEARNING MEDIA TO IMPROVE MATHEMATICAL LITERACY AND CULTURAL CHARACTER</w:t>
      </w:r>
      <w:r w:rsidRPr="00E74B74">
        <w:rPr>
          <w:rFonts w:asciiTheme="minorHAnsi" w:hAnsiTheme="minorHAnsi" w:cstheme="minorHAnsi"/>
          <w:sz w:val="30"/>
          <w:szCs w:val="30"/>
          <w:lang w:val="id-ID"/>
        </w:rPr>
        <w:t xml:space="preserve"> </w:t>
      </w:r>
    </w:p>
    <w:p w14:paraId="3DC38C99" w14:textId="77777777" w:rsidR="00250A66" w:rsidRDefault="00250A66" w:rsidP="00904D6D">
      <w:pPr>
        <w:jc w:val="center"/>
        <w:rPr>
          <w:rFonts w:asciiTheme="minorHAnsi" w:hAnsiTheme="minorHAnsi" w:cstheme="minorHAnsi"/>
          <w:lang w:val="id-ID"/>
        </w:rPr>
      </w:pPr>
    </w:p>
    <w:p w14:paraId="6C699C24" w14:textId="77777777" w:rsidR="00E74B74" w:rsidRPr="005C4C2D" w:rsidRDefault="00E74B74" w:rsidP="00904D6D">
      <w:pPr>
        <w:jc w:val="center"/>
        <w:rPr>
          <w:b/>
          <w:bCs/>
        </w:rPr>
      </w:pPr>
    </w:p>
    <w:p w14:paraId="11F59449" w14:textId="121090C6" w:rsidR="00904D6D" w:rsidRPr="00E74B74" w:rsidRDefault="00E74B74" w:rsidP="00904D6D">
      <w:pPr>
        <w:jc w:val="center"/>
        <w:rPr>
          <w:rFonts w:asciiTheme="minorHAnsi" w:hAnsiTheme="minorHAnsi" w:cstheme="minorHAnsi"/>
          <w:b/>
          <w:bCs/>
          <w:sz w:val="24"/>
          <w:szCs w:val="24"/>
          <w:vertAlign w:val="superscript"/>
        </w:rPr>
      </w:pPr>
      <w:proofErr w:type="spellStart"/>
      <w:r>
        <w:rPr>
          <w:rFonts w:asciiTheme="minorHAnsi" w:hAnsiTheme="minorHAnsi" w:cstheme="minorHAnsi"/>
          <w:b/>
          <w:bCs/>
          <w:sz w:val="24"/>
          <w:szCs w:val="24"/>
        </w:rPr>
        <w:t>Husnul</w:t>
      </w:r>
      <w:proofErr w:type="spellEnd"/>
      <w:r>
        <w:rPr>
          <w:rFonts w:asciiTheme="minorHAnsi" w:hAnsiTheme="minorHAnsi" w:cstheme="minorHAnsi"/>
          <w:b/>
          <w:bCs/>
          <w:sz w:val="24"/>
          <w:szCs w:val="24"/>
        </w:rPr>
        <w:t xml:space="preserve"> Khatimah</w:t>
      </w:r>
      <w:r w:rsidR="00B63984" w:rsidRPr="00F1406B">
        <w:rPr>
          <w:rFonts w:asciiTheme="minorHAnsi" w:hAnsiTheme="minorHAnsi" w:cstheme="minorHAnsi"/>
          <w:b/>
          <w:bCs/>
          <w:sz w:val="24"/>
          <w:szCs w:val="24"/>
          <w:vertAlign w:val="superscript"/>
        </w:rPr>
        <w:t>1</w:t>
      </w:r>
      <w:r w:rsidR="00E12660" w:rsidRPr="00F1406B">
        <w:rPr>
          <w:rFonts w:asciiTheme="minorHAnsi" w:hAnsiTheme="minorHAnsi" w:cstheme="minorHAnsi"/>
          <w:b/>
          <w:bCs/>
          <w:sz w:val="24"/>
          <w:szCs w:val="24"/>
          <w:lang w:val="id-ID"/>
        </w:rPr>
        <w:t xml:space="preserve">, </w:t>
      </w:r>
      <w:proofErr w:type="spellStart"/>
      <w:r>
        <w:rPr>
          <w:rFonts w:asciiTheme="minorHAnsi" w:hAnsiTheme="minorHAnsi" w:cstheme="minorHAnsi"/>
          <w:b/>
          <w:bCs/>
          <w:sz w:val="24"/>
          <w:szCs w:val="24"/>
        </w:rPr>
        <w:t>Nunung</w:t>
      </w:r>
      <w:proofErr w:type="spellEnd"/>
      <w:r>
        <w:rPr>
          <w:rFonts w:asciiTheme="minorHAnsi" w:hAnsiTheme="minorHAnsi" w:cstheme="minorHAnsi"/>
          <w:b/>
          <w:bCs/>
          <w:sz w:val="24"/>
          <w:szCs w:val="24"/>
        </w:rPr>
        <w:t xml:space="preserve"> Fatimah</w:t>
      </w:r>
      <w:r w:rsidR="00B63984" w:rsidRPr="00F1406B">
        <w:rPr>
          <w:rFonts w:asciiTheme="minorHAnsi" w:hAnsiTheme="minorHAnsi" w:cstheme="minorHAnsi"/>
          <w:b/>
          <w:bCs/>
          <w:sz w:val="24"/>
          <w:szCs w:val="24"/>
          <w:vertAlign w:val="superscript"/>
        </w:rPr>
        <w:t>2</w:t>
      </w:r>
      <w:r w:rsidR="00E12660" w:rsidRPr="00F1406B">
        <w:rPr>
          <w:rFonts w:asciiTheme="minorHAnsi" w:hAnsiTheme="minorHAnsi" w:cstheme="minorHAnsi"/>
          <w:b/>
          <w:bCs/>
          <w:sz w:val="24"/>
          <w:szCs w:val="24"/>
          <w:lang w:val="id-ID"/>
        </w:rPr>
        <w:t xml:space="preserve">, </w:t>
      </w:r>
      <w:r>
        <w:rPr>
          <w:rFonts w:asciiTheme="minorHAnsi" w:hAnsiTheme="minorHAnsi" w:cstheme="minorHAnsi"/>
          <w:b/>
          <w:bCs/>
          <w:sz w:val="24"/>
          <w:szCs w:val="24"/>
        </w:rPr>
        <w:t>M. Abid Saputra</w:t>
      </w:r>
      <w:r w:rsidR="00B63984" w:rsidRPr="00F1406B">
        <w:rPr>
          <w:rFonts w:asciiTheme="minorHAnsi" w:hAnsiTheme="minorHAnsi" w:cstheme="minorHAnsi"/>
          <w:b/>
          <w:bCs/>
          <w:sz w:val="24"/>
          <w:szCs w:val="24"/>
          <w:vertAlign w:val="superscript"/>
        </w:rPr>
        <w:t>3</w:t>
      </w:r>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Anggih</w:t>
      </w:r>
      <w:proofErr w:type="spellEnd"/>
      <w:r>
        <w:rPr>
          <w:rFonts w:asciiTheme="minorHAnsi" w:hAnsiTheme="minorHAnsi" w:cstheme="minorHAnsi"/>
          <w:b/>
          <w:bCs/>
          <w:sz w:val="24"/>
          <w:szCs w:val="24"/>
        </w:rPr>
        <w:t xml:space="preserve"> Tri Cahyadi</w:t>
      </w:r>
      <w:r>
        <w:rPr>
          <w:rFonts w:asciiTheme="minorHAnsi" w:hAnsiTheme="minorHAnsi" w:cstheme="minorHAnsi"/>
          <w:b/>
          <w:bCs/>
          <w:sz w:val="24"/>
          <w:szCs w:val="24"/>
          <w:vertAlign w:val="superscript"/>
        </w:rPr>
        <w:t>4</w:t>
      </w:r>
      <w:r>
        <w:rPr>
          <w:rFonts w:asciiTheme="minorHAnsi" w:hAnsiTheme="minorHAnsi" w:cstheme="minorHAnsi"/>
          <w:b/>
          <w:bCs/>
          <w:sz w:val="24"/>
          <w:szCs w:val="24"/>
        </w:rPr>
        <w:t>, Nanang Diana</w:t>
      </w:r>
      <w:r>
        <w:rPr>
          <w:rFonts w:asciiTheme="minorHAnsi" w:hAnsiTheme="minorHAnsi" w:cstheme="minorHAnsi"/>
          <w:b/>
          <w:bCs/>
          <w:sz w:val="24"/>
          <w:szCs w:val="24"/>
          <w:vertAlign w:val="superscript"/>
        </w:rPr>
        <w:t>5</w:t>
      </w:r>
      <w:r>
        <w:rPr>
          <w:rFonts w:asciiTheme="minorHAnsi" w:hAnsiTheme="minorHAnsi" w:cstheme="minorHAnsi"/>
          <w:b/>
          <w:bCs/>
          <w:sz w:val="24"/>
          <w:szCs w:val="24"/>
        </w:rPr>
        <w:t>, Nur Afni</w:t>
      </w:r>
      <w:r>
        <w:rPr>
          <w:rFonts w:asciiTheme="minorHAnsi" w:hAnsiTheme="minorHAnsi" w:cstheme="minorHAnsi"/>
          <w:b/>
          <w:bCs/>
          <w:sz w:val="24"/>
          <w:szCs w:val="24"/>
          <w:vertAlign w:val="superscript"/>
        </w:rPr>
        <w:t>6</w:t>
      </w:r>
    </w:p>
    <w:p w14:paraId="15466407" w14:textId="082D9A99" w:rsidR="00A17296" w:rsidRPr="00F1406B" w:rsidRDefault="00635A59" w:rsidP="00904D6D">
      <w:pPr>
        <w:jc w:val="center"/>
        <w:rPr>
          <w:rFonts w:asciiTheme="minorHAnsi" w:hAnsiTheme="minorHAnsi" w:cstheme="minorHAnsi"/>
        </w:rPr>
      </w:pPr>
      <w:r w:rsidRPr="00F1406B">
        <w:rPr>
          <w:rFonts w:asciiTheme="minorHAnsi" w:hAnsiTheme="minorHAnsi" w:cstheme="minorHAnsi"/>
          <w:vertAlign w:val="superscript"/>
        </w:rPr>
        <w:t>1</w:t>
      </w:r>
      <w:r w:rsidR="00E74B74">
        <w:rPr>
          <w:rFonts w:asciiTheme="minorHAnsi" w:hAnsiTheme="minorHAnsi" w:cstheme="minorHAnsi"/>
        </w:rPr>
        <w:t xml:space="preserve">Pendidikan </w:t>
      </w:r>
      <w:proofErr w:type="spellStart"/>
      <w:r w:rsidR="00E74B74">
        <w:rPr>
          <w:rFonts w:asciiTheme="minorHAnsi" w:hAnsiTheme="minorHAnsi" w:cstheme="minorHAnsi"/>
        </w:rPr>
        <w:t>Matematika</w:t>
      </w:r>
      <w:proofErr w:type="spellEnd"/>
      <w:r w:rsidR="00E74B74">
        <w:rPr>
          <w:rFonts w:asciiTheme="minorHAnsi" w:hAnsiTheme="minorHAnsi" w:cstheme="minorHAnsi"/>
        </w:rPr>
        <w:t xml:space="preserve">, STKIP Taman </w:t>
      </w:r>
      <w:proofErr w:type="spellStart"/>
      <w:r w:rsidR="00E74B74">
        <w:rPr>
          <w:rFonts w:asciiTheme="minorHAnsi" w:hAnsiTheme="minorHAnsi" w:cstheme="minorHAnsi"/>
        </w:rPr>
        <w:t>Siswa</w:t>
      </w:r>
      <w:proofErr w:type="spellEnd"/>
      <w:r w:rsidR="00E74B74">
        <w:rPr>
          <w:rFonts w:asciiTheme="minorHAnsi" w:hAnsiTheme="minorHAnsi" w:cstheme="minorHAnsi"/>
        </w:rPr>
        <w:t xml:space="preserve"> Bima, Bima, Indonesia</w:t>
      </w:r>
    </w:p>
    <w:p w14:paraId="48781A2A" w14:textId="06F38DEA" w:rsidR="00635A59" w:rsidRPr="00E74B74" w:rsidRDefault="0073490D" w:rsidP="00635A59">
      <w:pPr>
        <w:jc w:val="center"/>
        <w:rPr>
          <w:rFonts w:asciiTheme="minorHAnsi" w:hAnsiTheme="minorHAnsi" w:cstheme="minorHAnsi"/>
        </w:rPr>
      </w:pPr>
      <w:r w:rsidRPr="00F1406B">
        <w:rPr>
          <w:rFonts w:asciiTheme="minorHAnsi" w:hAnsiTheme="minorHAnsi" w:cstheme="minorHAnsi"/>
          <w:vertAlign w:val="superscript"/>
        </w:rPr>
        <w:t>2</w:t>
      </w:r>
      <w:r w:rsidR="00E74B74">
        <w:rPr>
          <w:rFonts w:asciiTheme="minorHAnsi" w:hAnsiTheme="minorHAnsi" w:cstheme="minorHAnsi"/>
          <w:vertAlign w:val="superscript"/>
        </w:rPr>
        <w:t>,3,4,5,6</w:t>
      </w:r>
      <w:r w:rsidR="00E74B74">
        <w:rPr>
          <w:rFonts w:asciiTheme="minorHAnsi" w:hAnsiTheme="minorHAnsi" w:cstheme="minorHAnsi"/>
        </w:rPr>
        <w:t xml:space="preserve">Pendidikan Guru </w:t>
      </w:r>
      <w:proofErr w:type="spellStart"/>
      <w:r w:rsidR="00E74B74">
        <w:rPr>
          <w:rFonts w:asciiTheme="minorHAnsi" w:hAnsiTheme="minorHAnsi" w:cstheme="minorHAnsi"/>
        </w:rPr>
        <w:t>Sekolah</w:t>
      </w:r>
      <w:proofErr w:type="spellEnd"/>
      <w:r w:rsidR="00E74B74">
        <w:rPr>
          <w:rFonts w:asciiTheme="minorHAnsi" w:hAnsiTheme="minorHAnsi" w:cstheme="minorHAnsi"/>
        </w:rPr>
        <w:t xml:space="preserve"> Dasar, </w:t>
      </w:r>
      <w:r w:rsidR="007871AB">
        <w:rPr>
          <w:rFonts w:asciiTheme="minorHAnsi" w:hAnsiTheme="minorHAnsi" w:cstheme="minorHAnsi"/>
        </w:rPr>
        <w:t xml:space="preserve">STKIP Taman </w:t>
      </w:r>
      <w:proofErr w:type="spellStart"/>
      <w:r w:rsidR="007871AB">
        <w:rPr>
          <w:rFonts w:asciiTheme="minorHAnsi" w:hAnsiTheme="minorHAnsi" w:cstheme="minorHAnsi"/>
        </w:rPr>
        <w:t>Siswa</w:t>
      </w:r>
      <w:proofErr w:type="spellEnd"/>
      <w:r w:rsidR="007871AB">
        <w:rPr>
          <w:rFonts w:asciiTheme="minorHAnsi" w:hAnsiTheme="minorHAnsi" w:cstheme="minorHAnsi"/>
        </w:rPr>
        <w:t xml:space="preserve"> Bima, Bima, Indonesia</w:t>
      </w:r>
    </w:p>
    <w:p w14:paraId="3E2CE0D6" w14:textId="114CE882" w:rsidR="00904D6D" w:rsidRDefault="00904D6D" w:rsidP="00904D6D">
      <w:pPr>
        <w:jc w:val="center"/>
        <w:rPr>
          <w:rFonts w:asciiTheme="minorHAnsi" w:hAnsiTheme="minorHAnsi" w:cstheme="minorHAnsi"/>
        </w:rPr>
      </w:pPr>
      <w:r w:rsidRPr="00F1406B">
        <w:rPr>
          <w:rFonts w:asciiTheme="minorHAnsi" w:hAnsiTheme="minorHAnsi" w:cstheme="minorHAnsi"/>
          <w:lang w:val="id-ID"/>
        </w:rPr>
        <w:t>e</w:t>
      </w:r>
      <w:r w:rsidR="00AA4B39" w:rsidRPr="00F1406B">
        <w:rPr>
          <w:rFonts w:asciiTheme="minorHAnsi" w:hAnsiTheme="minorHAnsi" w:cstheme="minorHAnsi"/>
        </w:rPr>
        <w:t>-</w:t>
      </w:r>
      <w:r w:rsidRPr="00F1406B">
        <w:rPr>
          <w:rFonts w:asciiTheme="minorHAnsi" w:hAnsiTheme="minorHAnsi" w:cstheme="minorHAnsi"/>
          <w:lang w:val="id-ID"/>
        </w:rPr>
        <w:t>mail</w:t>
      </w:r>
      <w:r w:rsidR="00AA4B39" w:rsidRPr="00F1406B">
        <w:rPr>
          <w:rFonts w:asciiTheme="minorHAnsi" w:hAnsiTheme="minorHAnsi" w:cstheme="minorHAnsi"/>
        </w:rPr>
        <w:t xml:space="preserve">: </w:t>
      </w:r>
      <w:hyperlink r:id="rId8" w:history="1">
        <w:r w:rsidR="002212F3" w:rsidRPr="00D919A8">
          <w:rPr>
            <w:rStyle w:val="Hyperlink"/>
            <w:rFonts w:asciiTheme="minorHAnsi" w:hAnsiTheme="minorHAnsi" w:cstheme="minorHAnsi"/>
          </w:rPr>
          <w:t>husnul.khatimahh21@gmail.com</w:t>
        </w:r>
      </w:hyperlink>
    </w:p>
    <w:p w14:paraId="5ABA3853" w14:textId="77777777" w:rsidR="00904D6D" w:rsidRPr="005C4C2D" w:rsidRDefault="00904D6D" w:rsidP="00AC7934">
      <w:pP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402D807" w14:textId="2020A579" w:rsidR="00B63984" w:rsidRPr="00AB288F" w:rsidRDefault="00AB288F" w:rsidP="00DC0AD7">
      <w:pPr>
        <w:pBdr>
          <w:top w:val="nil"/>
          <w:left w:val="nil"/>
          <w:bottom w:val="nil"/>
          <w:right w:val="nil"/>
          <w:between w:val="nil"/>
        </w:pBdr>
        <w:jc w:val="both"/>
        <w:rPr>
          <w:color w:val="000000"/>
          <w:sz w:val="22"/>
          <w:szCs w:val="22"/>
        </w:rPr>
      </w:pPr>
      <w:bookmarkStart w:id="0" w:name="_Hlk213211364"/>
      <w:r w:rsidRPr="00AB288F">
        <w:rPr>
          <w:rFonts w:asciiTheme="minorHAnsi" w:hAnsiTheme="minorHAnsi" w:cstheme="minorHAnsi"/>
          <w:color w:val="000000"/>
        </w:rPr>
        <w:t xml:space="preserve">Mathematics plays a crucial role in developing students’ problem-solving, reasoning, and communication skills, yet many learners in Indonesia, particularly in Bima Regency, continue to face challenges with low mathematical literacy. This issue is often linked to limited engagement in the classroom and the dominance of teacher-centered approaches, which hinder students from bridging conceptual understanding with real-world applications. To address this gap, ethnomathematics-based learning offers an innovative approach by contextualizing mathematical concepts through local culture. This study aimed to develop and evaluate mathematics learning media based on the traditional game </w:t>
      </w:r>
      <w:proofErr w:type="spellStart"/>
      <w:r w:rsidRPr="00AB288F">
        <w:rPr>
          <w:rFonts w:asciiTheme="minorHAnsi" w:hAnsiTheme="minorHAnsi" w:cstheme="minorHAnsi"/>
          <w:color w:val="000000"/>
        </w:rPr>
        <w:t>Mpa’a</w:t>
      </w:r>
      <w:proofErr w:type="spellEnd"/>
      <w:r w:rsidRPr="00AB288F">
        <w:rPr>
          <w:rFonts w:asciiTheme="minorHAnsi" w:hAnsiTheme="minorHAnsi" w:cstheme="minorHAnsi"/>
          <w:color w:val="000000"/>
        </w:rPr>
        <w:t xml:space="preserve"> Gopa, integrating cultural identity and mathematical concepts to enhance students’ literacy and character. The research adopted the 4D development model (Define, Design, Develop, Disseminate) and was conducted with 20 fourth-grade students at SD Negeri 2 Maria, Bima Regency. Data were collected through expert validation sheets, student questionnaires, teacher and student observation sheets, and pretest–posttest assessments to measure validity, practicality, and effectiveness. The results indicated that the developed media met all quality standards; expert validation rated the product from good to very good, while student responses were overwhelmingly positive, with 99% agreeing that the media improved motivation and comprehension. Teacher and student observations further confirmed smooth classroom implementation. The average student score increased from 66.19 (pretest) to 82.23 (posttest), with mastery levels rising from 52.38% to 90.47%, and the N-Gain score of 0.60 categorized as medium. In conclusion, integrating ethnomathematics-based traditional games into mathematics learning not only strengthens mathematical literacy and student motivation but also promotes cultural awareness, making </w:t>
      </w:r>
      <w:proofErr w:type="spellStart"/>
      <w:r w:rsidRPr="00AB288F">
        <w:rPr>
          <w:rFonts w:asciiTheme="minorHAnsi" w:hAnsiTheme="minorHAnsi" w:cstheme="minorHAnsi"/>
          <w:color w:val="000000"/>
        </w:rPr>
        <w:t>Mpa’a</w:t>
      </w:r>
      <w:proofErr w:type="spellEnd"/>
      <w:r w:rsidRPr="00AB288F">
        <w:rPr>
          <w:rFonts w:asciiTheme="minorHAnsi" w:hAnsiTheme="minorHAnsi" w:cstheme="minorHAnsi"/>
          <w:color w:val="000000"/>
        </w:rPr>
        <w:t xml:space="preserve"> Gopa a meaningful instructional tool and a strategy for cultural preservation</w:t>
      </w:r>
      <w:bookmarkEnd w:id="0"/>
      <w:r w:rsidRPr="00B603A7">
        <w:rPr>
          <w:color w:val="000000"/>
          <w:sz w:val="22"/>
          <w:szCs w:val="22"/>
        </w:rPr>
        <w:t>.</w:t>
      </w:r>
    </w:p>
    <w:p w14:paraId="7C262416" w14:textId="52EC4766"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bookmarkStart w:id="1" w:name="_Hlk213211403"/>
      <w:r w:rsidR="00AB288F" w:rsidRPr="00AB288F">
        <w:rPr>
          <w:rFonts w:asciiTheme="minorHAnsi" w:hAnsiTheme="minorHAnsi" w:cstheme="minorHAnsi"/>
          <w:color w:val="000000"/>
        </w:rPr>
        <w:t>Ethnomathematics, Game Based Learning, Mathematical Literacy, Cultural Character, Traditional Games</w:t>
      </w:r>
      <w:bookmarkEnd w:id="1"/>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6C5D03">
      <w:pPr>
        <w:jc w:val="center"/>
        <w:rPr>
          <w:rFonts w:asciiTheme="minorHAnsi" w:hAnsiTheme="minorHAnsi" w:cstheme="minorHAnsi"/>
          <w:b/>
          <w:sz w:val="24"/>
          <w:szCs w:val="24"/>
        </w:rPr>
      </w:pPr>
      <w:proofErr w:type="spellStart"/>
      <w:r w:rsidRPr="00F1406B">
        <w:rPr>
          <w:rFonts w:asciiTheme="minorHAnsi" w:hAnsiTheme="minorHAnsi" w:cstheme="minorHAnsi"/>
          <w:b/>
          <w:bCs/>
          <w:iCs/>
        </w:rPr>
        <w:t>Abstrak</w:t>
      </w:r>
      <w:proofErr w:type="spellEnd"/>
    </w:p>
    <w:p w14:paraId="029B9CCD" w14:textId="77777777" w:rsidR="00DC0AD7" w:rsidRDefault="00DC0AD7" w:rsidP="006C5D03">
      <w:pPr>
        <w:jc w:val="both"/>
        <w:rPr>
          <w:rFonts w:asciiTheme="minorHAnsi" w:hAnsiTheme="minorHAnsi" w:cstheme="minorHAnsi"/>
          <w:iCs/>
        </w:rPr>
      </w:pP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memainkan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peran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penting</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dalam</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mengembangkan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keterampilan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pemecahan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masalah</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penalaran</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komunikasi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namun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banyak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pelajar</w:t>
      </w:r>
      <w:proofErr w:type="spellEnd"/>
      <w:r w:rsidRPr="00DC0AD7">
        <w:rPr>
          <w:rFonts w:asciiTheme="minorHAnsi" w:hAnsiTheme="minorHAnsi" w:cstheme="minorHAnsi"/>
          <w:iCs/>
        </w:rPr>
        <w:t xml:space="preserve"> di Indonesia, </w:t>
      </w:r>
      <w:proofErr w:type="spellStart"/>
      <w:r w:rsidRPr="00DC0AD7">
        <w:rPr>
          <w:rFonts w:asciiTheme="minorHAnsi" w:hAnsiTheme="minorHAnsi" w:cstheme="minorHAnsi"/>
          <w:iCs/>
        </w:rPr>
        <w:t>khususnya</w:t>
      </w:r>
      <w:proofErr w:type="spellEnd"/>
      <w:r w:rsidRPr="00DC0AD7">
        <w:rPr>
          <w:rFonts w:asciiTheme="minorHAnsi" w:hAnsiTheme="minorHAnsi" w:cstheme="minorHAnsi"/>
          <w:iCs/>
        </w:rPr>
        <w:t xml:space="preserve"> di </w:t>
      </w:r>
      <w:proofErr w:type="spellStart"/>
      <w:r w:rsidRPr="00DC0AD7">
        <w:rPr>
          <w:rFonts w:asciiTheme="minorHAnsi" w:hAnsiTheme="minorHAnsi" w:cstheme="minorHAnsi"/>
          <w:iCs/>
        </w:rPr>
        <w:t>Kabupaten</w:t>
      </w:r>
      <w:proofErr w:type="spellEnd"/>
      <w:r w:rsidRPr="00DC0AD7">
        <w:rPr>
          <w:rFonts w:asciiTheme="minorHAnsi" w:hAnsiTheme="minorHAnsi" w:cstheme="minorHAnsi"/>
          <w:iCs/>
        </w:rPr>
        <w:t xml:space="preserve"> Bima, </w:t>
      </w:r>
      <w:proofErr w:type="spellStart"/>
      <w:r w:rsidRPr="00DC0AD7">
        <w:rPr>
          <w:rFonts w:asciiTheme="minorHAnsi" w:hAnsiTheme="minorHAnsi" w:cstheme="minorHAnsi"/>
          <w:iCs/>
        </w:rPr>
        <w:t>terus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menghadapi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tantangan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literasi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yang </w:t>
      </w:r>
      <w:proofErr w:type="spellStart"/>
      <w:r w:rsidRPr="00DC0AD7">
        <w:rPr>
          <w:rFonts w:asciiTheme="minorHAnsi" w:hAnsiTheme="minorHAnsi" w:cstheme="minorHAnsi"/>
          <w:iCs/>
        </w:rPr>
        <w:t>rendah</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Masalah</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ini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sering</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dikaitkan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keterlibatan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terbatas</w:t>
      </w:r>
      <w:proofErr w:type="spellEnd"/>
      <w:r w:rsidRPr="00DC0AD7">
        <w:rPr>
          <w:rFonts w:asciiTheme="minorHAnsi" w:hAnsiTheme="minorHAnsi" w:cstheme="minorHAnsi"/>
          <w:iCs/>
        </w:rPr>
        <w:t xml:space="preserve"> di </w:t>
      </w:r>
      <w:proofErr w:type="spellStart"/>
      <w:r w:rsidRPr="00DC0AD7">
        <w:rPr>
          <w:rFonts w:asciiTheme="minorHAnsi" w:hAnsiTheme="minorHAnsi" w:cstheme="minorHAnsi"/>
          <w:iCs/>
        </w:rPr>
        <w:t>kelas</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dominasi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pendekatan</w:t>
      </w:r>
      <w:proofErr w:type="spellEnd"/>
      <w:r w:rsidRPr="00DC0AD7">
        <w:rPr>
          <w:rFonts w:asciiTheme="minorHAnsi" w:hAnsiTheme="minorHAnsi" w:cstheme="minorHAnsi"/>
          <w:iCs/>
        </w:rPr>
        <w:t xml:space="preserve"> yang </w:t>
      </w:r>
      <w:proofErr w:type="spellStart"/>
      <w:r w:rsidRPr="00DC0AD7">
        <w:rPr>
          <w:rFonts w:asciiTheme="minorHAnsi" w:hAnsiTheme="minorHAnsi" w:cstheme="minorHAnsi"/>
          <w:iCs/>
        </w:rPr>
        <w:t>berpusat</w:t>
      </w:r>
      <w:proofErr w:type="spellEnd"/>
      <w:r w:rsidRPr="00DC0AD7">
        <w:rPr>
          <w:rFonts w:asciiTheme="minorHAnsi" w:hAnsiTheme="minorHAnsi" w:cstheme="minorHAnsi"/>
          <w:iCs/>
        </w:rPr>
        <w:t xml:space="preserve"> pada guru, yang </w:t>
      </w:r>
      <w:proofErr w:type="spellStart"/>
      <w:r w:rsidRPr="00DC0AD7">
        <w:rPr>
          <w:rFonts w:asciiTheme="minorHAnsi" w:hAnsiTheme="minorHAnsi" w:cstheme="minorHAnsi"/>
          <w:iCs/>
        </w:rPr>
        <w:t>menghambat</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menjembatani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pemahaman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konseptual</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aplikasi</w:t>
      </w:r>
      <w:proofErr w:type="spellEnd"/>
      <w:r w:rsidRPr="00DC0AD7">
        <w:rPr>
          <w:rFonts w:asciiTheme="minorHAnsi" w:hAnsiTheme="minorHAnsi" w:cstheme="minorHAnsi"/>
          <w:iCs/>
        </w:rPr>
        <w:t xml:space="preserve"> dunia </w:t>
      </w:r>
      <w:proofErr w:type="spellStart"/>
      <w:r w:rsidRPr="00DC0AD7">
        <w:rPr>
          <w:rFonts w:asciiTheme="minorHAnsi" w:hAnsiTheme="minorHAnsi" w:cstheme="minorHAnsi"/>
          <w:iCs/>
        </w:rPr>
        <w:t>nyata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Untuk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mengatasi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kesenjangan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ini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pembelajaran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berbasis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etnomatematika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menawarkan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pendekatan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inovatif</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mengontekstualisasikan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konsep</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melalui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budaya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lokal</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Penelitian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ini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bertujuan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untuk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mengembangkan</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mengevaluasi</w:t>
      </w:r>
      <w:proofErr w:type="spellEnd"/>
      <w:r w:rsidRPr="00DC0AD7">
        <w:rPr>
          <w:rFonts w:asciiTheme="minorHAnsi" w:hAnsiTheme="minorHAnsi" w:cstheme="minorHAnsi"/>
          <w:iCs/>
        </w:rPr>
        <w:t xml:space="preserve"> media </w:t>
      </w:r>
      <w:proofErr w:type="spellStart"/>
      <w:r w:rsidRPr="00DC0AD7">
        <w:rPr>
          <w:rFonts w:asciiTheme="minorHAnsi" w:hAnsiTheme="minorHAnsi" w:cstheme="minorHAnsi"/>
          <w:iCs/>
        </w:rPr>
        <w:t>pembelajaran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berbasis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permainan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tradisional</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Mpa'a</w:t>
      </w:r>
      <w:proofErr w:type="spellEnd"/>
      <w:r w:rsidRPr="00DC0AD7">
        <w:rPr>
          <w:rFonts w:asciiTheme="minorHAnsi" w:hAnsiTheme="minorHAnsi" w:cstheme="minorHAnsi"/>
          <w:iCs/>
        </w:rPr>
        <w:t xml:space="preserve"> Gopa, </w:t>
      </w:r>
      <w:proofErr w:type="spellStart"/>
      <w:r w:rsidRPr="00DC0AD7">
        <w:rPr>
          <w:rFonts w:asciiTheme="minorHAnsi" w:hAnsiTheme="minorHAnsi" w:cstheme="minorHAnsi"/>
          <w:iCs/>
        </w:rPr>
        <w:t>mengintegrasikan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identitas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budaya</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konsep</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untuk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meningkatkan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literasi</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karakter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Penelitian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ini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mengadopsi</w:t>
      </w:r>
      <w:proofErr w:type="spellEnd"/>
      <w:r w:rsidRPr="00DC0AD7">
        <w:rPr>
          <w:rFonts w:asciiTheme="minorHAnsi" w:hAnsiTheme="minorHAnsi" w:cstheme="minorHAnsi"/>
          <w:iCs/>
        </w:rPr>
        <w:t xml:space="preserve"> model </w:t>
      </w:r>
      <w:proofErr w:type="spellStart"/>
      <w:r w:rsidRPr="00DC0AD7">
        <w:rPr>
          <w:rFonts w:asciiTheme="minorHAnsi" w:hAnsiTheme="minorHAnsi" w:cstheme="minorHAnsi"/>
          <w:iCs/>
        </w:rPr>
        <w:t>pengembangan</w:t>
      </w:r>
      <w:proofErr w:type="spellEnd"/>
      <w:r w:rsidRPr="00DC0AD7">
        <w:rPr>
          <w:rFonts w:asciiTheme="minorHAnsi" w:hAnsiTheme="minorHAnsi" w:cstheme="minorHAnsi"/>
          <w:iCs/>
        </w:rPr>
        <w:t xml:space="preserve"> 4D (Define, Design, Develop, Disseminate) dan </w:t>
      </w:r>
      <w:proofErr w:type="spellStart"/>
      <w:r w:rsidRPr="00DC0AD7">
        <w:rPr>
          <w:rFonts w:asciiTheme="minorHAnsi" w:hAnsiTheme="minorHAnsi" w:cstheme="minorHAnsi"/>
          <w:iCs/>
        </w:rPr>
        <w:t>dilakukan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20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kelas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empat</w:t>
      </w:r>
      <w:proofErr w:type="spellEnd"/>
      <w:r w:rsidRPr="00DC0AD7">
        <w:rPr>
          <w:rFonts w:asciiTheme="minorHAnsi" w:hAnsiTheme="minorHAnsi" w:cstheme="minorHAnsi"/>
          <w:iCs/>
        </w:rPr>
        <w:t xml:space="preserve"> di SD Negeri 2 Maria, </w:t>
      </w:r>
      <w:proofErr w:type="spellStart"/>
      <w:r w:rsidRPr="00DC0AD7">
        <w:rPr>
          <w:rFonts w:asciiTheme="minorHAnsi" w:hAnsiTheme="minorHAnsi" w:cstheme="minorHAnsi"/>
          <w:iCs/>
        </w:rPr>
        <w:t>Kabupaten</w:t>
      </w:r>
      <w:proofErr w:type="spellEnd"/>
      <w:r w:rsidRPr="00DC0AD7">
        <w:rPr>
          <w:rFonts w:asciiTheme="minorHAnsi" w:hAnsiTheme="minorHAnsi" w:cstheme="minorHAnsi"/>
          <w:iCs/>
        </w:rPr>
        <w:t xml:space="preserve"> Bima. Data </w:t>
      </w:r>
      <w:proofErr w:type="spellStart"/>
      <w:r w:rsidRPr="00DC0AD7">
        <w:rPr>
          <w:rFonts w:asciiTheme="minorHAnsi" w:hAnsiTheme="minorHAnsi" w:cstheme="minorHAnsi"/>
          <w:iCs/>
        </w:rPr>
        <w:t>dikumpulkan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melalui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lembar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validasi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ahli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kuesioner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lembar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observasi</w:t>
      </w:r>
      <w:proofErr w:type="spellEnd"/>
      <w:r w:rsidRPr="00DC0AD7">
        <w:rPr>
          <w:rFonts w:asciiTheme="minorHAnsi" w:hAnsiTheme="minorHAnsi" w:cstheme="minorHAnsi"/>
          <w:iCs/>
        </w:rPr>
        <w:t xml:space="preserve"> guru dan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penilaian</w:t>
      </w:r>
      <w:proofErr w:type="spellEnd"/>
      <w:r w:rsidRPr="00DC0AD7">
        <w:rPr>
          <w:rFonts w:asciiTheme="minorHAnsi" w:hAnsiTheme="minorHAnsi" w:cstheme="minorHAnsi"/>
          <w:iCs/>
        </w:rPr>
        <w:t xml:space="preserve"> pretest-posttest </w:t>
      </w:r>
      <w:proofErr w:type="spellStart"/>
      <w:r w:rsidRPr="00DC0AD7">
        <w:rPr>
          <w:rFonts w:asciiTheme="minorHAnsi" w:hAnsiTheme="minorHAnsi" w:cstheme="minorHAnsi"/>
          <w:iCs/>
        </w:rPr>
        <w:t>untuk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mengukur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validitas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kepraktisan</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efektivitas</w:t>
      </w:r>
      <w:proofErr w:type="spellEnd"/>
      <w:r w:rsidRPr="00DC0AD7">
        <w:rPr>
          <w:rFonts w:asciiTheme="minorHAnsi" w:hAnsiTheme="minorHAnsi" w:cstheme="minorHAnsi"/>
          <w:iCs/>
        </w:rPr>
        <w:t xml:space="preserve">. Hasil </w:t>
      </w:r>
      <w:proofErr w:type="spellStart"/>
      <w:r w:rsidRPr="00DC0AD7">
        <w:rPr>
          <w:rFonts w:asciiTheme="minorHAnsi" w:hAnsiTheme="minorHAnsi" w:cstheme="minorHAnsi"/>
          <w:iCs/>
        </w:rPr>
        <w:t>penelitian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menunjukkan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bahwa</w:t>
      </w:r>
      <w:proofErr w:type="spellEnd"/>
      <w:r w:rsidRPr="00DC0AD7">
        <w:rPr>
          <w:rFonts w:asciiTheme="minorHAnsi" w:hAnsiTheme="minorHAnsi" w:cstheme="minorHAnsi"/>
          <w:iCs/>
        </w:rPr>
        <w:t xml:space="preserve"> media yang </w:t>
      </w:r>
      <w:proofErr w:type="spellStart"/>
      <w:r w:rsidRPr="00DC0AD7">
        <w:rPr>
          <w:rFonts w:asciiTheme="minorHAnsi" w:hAnsiTheme="minorHAnsi" w:cstheme="minorHAnsi"/>
          <w:iCs/>
        </w:rPr>
        <w:t>dikembangkan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memenuhi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semua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standar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kualitas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Validasi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pakar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menilai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produk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dari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baik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hingga</w:t>
      </w:r>
      <w:proofErr w:type="spellEnd"/>
      <w:r w:rsidRPr="00DC0AD7">
        <w:rPr>
          <w:rFonts w:asciiTheme="minorHAnsi" w:hAnsiTheme="minorHAnsi" w:cstheme="minorHAnsi"/>
          <w:iCs/>
        </w:rPr>
        <w:t xml:space="preserve"> sangat </w:t>
      </w:r>
      <w:proofErr w:type="spellStart"/>
      <w:r w:rsidRPr="00DC0AD7">
        <w:rPr>
          <w:rFonts w:asciiTheme="minorHAnsi" w:hAnsiTheme="minorHAnsi" w:cstheme="minorHAnsi"/>
          <w:iCs/>
        </w:rPr>
        <w:t>baik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sementara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respons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sangat </w:t>
      </w:r>
      <w:proofErr w:type="spellStart"/>
      <w:r w:rsidRPr="00DC0AD7">
        <w:rPr>
          <w:rFonts w:asciiTheme="minorHAnsi" w:hAnsiTheme="minorHAnsi" w:cstheme="minorHAnsi"/>
          <w:iCs/>
        </w:rPr>
        <w:t>positif</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99% </w:t>
      </w:r>
      <w:proofErr w:type="spellStart"/>
      <w:r w:rsidRPr="00DC0AD7">
        <w:rPr>
          <w:rFonts w:asciiTheme="minorHAnsi" w:hAnsiTheme="minorHAnsi" w:cstheme="minorHAnsi"/>
          <w:iCs/>
        </w:rPr>
        <w:t>setuju</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bahwa</w:t>
      </w:r>
      <w:proofErr w:type="spellEnd"/>
      <w:r w:rsidRPr="00DC0AD7">
        <w:rPr>
          <w:rFonts w:asciiTheme="minorHAnsi" w:hAnsiTheme="minorHAnsi" w:cstheme="minorHAnsi"/>
          <w:iCs/>
        </w:rPr>
        <w:t xml:space="preserve"> media </w:t>
      </w:r>
      <w:proofErr w:type="spellStart"/>
      <w:r w:rsidRPr="00DC0AD7">
        <w:rPr>
          <w:rFonts w:asciiTheme="minorHAnsi" w:hAnsiTheme="minorHAnsi" w:cstheme="minorHAnsi"/>
          <w:iCs/>
        </w:rPr>
        <w:t>meningkatkan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motivasi</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pemahaman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Observasi</w:t>
      </w:r>
      <w:proofErr w:type="spellEnd"/>
      <w:r w:rsidRPr="00DC0AD7">
        <w:rPr>
          <w:rFonts w:asciiTheme="minorHAnsi" w:hAnsiTheme="minorHAnsi" w:cstheme="minorHAnsi"/>
          <w:iCs/>
        </w:rPr>
        <w:t xml:space="preserve"> guru dan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semakin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menegaskan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kelancaran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implementasi</w:t>
      </w:r>
      <w:proofErr w:type="spellEnd"/>
      <w:r w:rsidRPr="00DC0AD7">
        <w:rPr>
          <w:rFonts w:asciiTheme="minorHAnsi" w:hAnsiTheme="minorHAnsi" w:cstheme="minorHAnsi"/>
          <w:iCs/>
        </w:rPr>
        <w:t xml:space="preserve"> di </w:t>
      </w:r>
      <w:proofErr w:type="spellStart"/>
      <w:r w:rsidRPr="00DC0AD7">
        <w:rPr>
          <w:rFonts w:asciiTheme="minorHAnsi" w:hAnsiTheme="minorHAnsi" w:cstheme="minorHAnsi"/>
          <w:iCs/>
        </w:rPr>
        <w:t>kelas</w:t>
      </w:r>
      <w:proofErr w:type="spellEnd"/>
      <w:r w:rsidRPr="00DC0AD7">
        <w:rPr>
          <w:rFonts w:asciiTheme="minorHAnsi" w:hAnsiTheme="minorHAnsi" w:cstheme="minorHAnsi"/>
          <w:iCs/>
        </w:rPr>
        <w:t xml:space="preserve">. Skor rata-rata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meningkat</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dari</w:t>
      </w:r>
      <w:proofErr w:type="spellEnd"/>
      <w:r w:rsidRPr="00DC0AD7">
        <w:rPr>
          <w:rFonts w:asciiTheme="minorHAnsi" w:hAnsiTheme="minorHAnsi" w:cstheme="minorHAnsi"/>
          <w:iCs/>
        </w:rPr>
        <w:t xml:space="preserve"> 66,19 (</w:t>
      </w:r>
      <w:proofErr w:type="spellStart"/>
      <w:r w:rsidRPr="00DC0AD7">
        <w:rPr>
          <w:rFonts w:asciiTheme="minorHAnsi" w:hAnsiTheme="minorHAnsi" w:cstheme="minorHAnsi"/>
          <w:iCs/>
        </w:rPr>
        <w:t>tes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awal</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menjadi</w:t>
      </w:r>
      <w:proofErr w:type="spellEnd"/>
      <w:r w:rsidRPr="00DC0AD7">
        <w:rPr>
          <w:rFonts w:asciiTheme="minorHAnsi" w:hAnsiTheme="minorHAnsi" w:cstheme="minorHAnsi"/>
          <w:iCs/>
        </w:rPr>
        <w:t xml:space="preserve"> 82,23 (</w:t>
      </w:r>
      <w:proofErr w:type="spellStart"/>
      <w:r w:rsidRPr="00DC0AD7">
        <w:rPr>
          <w:rFonts w:asciiTheme="minorHAnsi" w:hAnsiTheme="minorHAnsi" w:cstheme="minorHAnsi"/>
          <w:iCs/>
        </w:rPr>
        <w:t>tes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akhir</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dengan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tingkat</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penguasaan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meningkat</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dari</w:t>
      </w:r>
      <w:proofErr w:type="spellEnd"/>
      <w:r w:rsidRPr="00DC0AD7">
        <w:rPr>
          <w:rFonts w:asciiTheme="minorHAnsi" w:hAnsiTheme="minorHAnsi" w:cstheme="minorHAnsi"/>
          <w:iCs/>
        </w:rPr>
        <w:t xml:space="preserve"> 52,38% </w:t>
      </w:r>
      <w:proofErr w:type="spellStart"/>
      <w:r w:rsidRPr="00DC0AD7">
        <w:rPr>
          <w:rFonts w:asciiTheme="minorHAnsi" w:hAnsiTheme="minorHAnsi" w:cstheme="minorHAnsi"/>
          <w:iCs/>
        </w:rPr>
        <w:t>menjadi</w:t>
      </w:r>
      <w:proofErr w:type="spellEnd"/>
      <w:r w:rsidRPr="00DC0AD7">
        <w:rPr>
          <w:rFonts w:asciiTheme="minorHAnsi" w:hAnsiTheme="minorHAnsi" w:cstheme="minorHAnsi"/>
          <w:iCs/>
        </w:rPr>
        <w:t xml:space="preserve"> 90,47%, dan </w:t>
      </w:r>
      <w:proofErr w:type="spellStart"/>
      <w:r w:rsidRPr="00DC0AD7">
        <w:rPr>
          <w:rFonts w:asciiTheme="minorHAnsi" w:hAnsiTheme="minorHAnsi" w:cstheme="minorHAnsi"/>
          <w:iCs/>
        </w:rPr>
        <w:t>skor</w:t>
      </w:r>
      <w:proofErr w:type="spellEnd"/>
      <w:r w:rsidRPr="00DC0AD7">
        <w:rPr>
          <w:rFonts w:asciiTheme="minorHAnsi" w:hAnsiTheme="minorHAnsi" w:cstheme="minorHAnsi"/>
          <w:iCs/>
        </w:rPr>
        <w:t xml:space="preserve"> N-Gain </w:t>
      </w:r>
      <w:proofErr w:type="spellStart"/>
      <w:r w:rsidRPr="00DC0AD7">
        <w:rPr>
          <w:rFonts w:asciiTheme="minorHAnsi" w:hAnsiTheme="minorHAnsi" w:cstheme="minorHAnsi"/>
          <w:iCs/>
        </w:rPr>
        <w:t>sebesar</w:t>
      </w:r>
      <w:proofErr w:type="spellEnd"/>
      <w:r w:rsidRPr="00DC0AD7">
        <w:rPr>
          <w:rFonts w:asciiTheme="minorHAnsi" w:hAnsiTheme="minorHAnsi" w:cstheme="minorHAnsi"/>
          <w:iCs/>
        </w:rPr>
        <w:t xml:space="preserve"> 0,60 </w:t>
      </w:r>
      <w:proofErr w:type="spellStart"/>
      <w:r w:rsidRPr="00DC0AD7">
        <w:rPr>
          <w:rFonts w:asciiTheme="minorHAnsi" w:hAnsiTheme="minorHAnsi" w:cstheme="minorHAnsi"/>
          <w:iCs/>
        </w:rPr>
        <w:t>dikategorikan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sedang</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lastRenderedPageBreak/>
        <w:t>Kesimpulannya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mengintegrasikan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permainan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tradisional</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berbasis</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etnomatematika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dalam</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pembelajaran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tidak</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hanya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memperkuat</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literasi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matematika</w:t>
      </w:r>
      <w:proofErr w:type="spellEnd"/>
      <w:r w:rsidRPr="00DC0AD7">
        <w:rPr>
          <w:rFonts w:asciiTheme="minorHAnsi" w:hAnsiTheme="minorHAnsi" w:cstheme="minorHAnsi"/>
          <w:iCs/>
        </w:rPr>
        <w:t xml:space="preserve"> dan </w:t>
      </w:r>
      <w:proofErr w:type="spellStart"/>
      <w:r w:rsidRPr="00DC0AD7">
        <w:rPr>
          <w:rFonts w:asciiTheme="minorHAnsi" w:hAnsiTheme="minorHAnsi" w:cstheme="minorHAnsi"/>
          <w:iCs/>
        </w:rPr>
        <w:t>motivasi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siswa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tetapi</w:t>
      </w:r>
      <w:proofErr w:type="spellEnd"/>
      <w:r w:rsidRPr="00DC0AD7">
        <w:rPr>
          <w:rFonts w:asciiTheme="minorHAnsi" w:hAnsiTheme="minorHAnsi" w:cstheme="minorHAnsi"/>
          <w:iCs/>
        </w:rPr>
        <w:t xml:space="preserve"> juga </w:t>
      </w:r>
      <w:proofErr w:type="spellStart"/>
      <w:r w:rsidRPr="00DC0AD7">
        <w:rPr>
          <w:rFonts w:asciiTheme="minorHAnsi" w:hAnsiTheme="minorHAnsi" w:cstheme="minorHAnsi"/>
          <w:iCs/>
        </w:rPr>
        <w:t>meningkatkan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kesadaran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budaya</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menjadikan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Mpa’a</w:t>
      </w:r>
      <w:proofErr w:type="spellEnd"/>
      <w:r w:rsidRPr="00DC0AD7">
        <w:rPr>
          <w:rFonts w:asciiTheme="minorHAnsi" w:hAnsiTheme="minorHAnsi" w:cstheme="minorHAnsi"/>
          <w:iCs/>
        </w:rPr>
        <w:t xml:space="preserve"> Gopa </w:t>
      </w:r>
      <w:proofErr w:type="spellStart"/>
      <w:r w:rsidRPr="00DC0AD7">
        <w:rPr>
          <w:rFonts w:asciiTheme="minorHAnsi" w:hAnsiTheme="minorHAnsi" w:cstheme="minorHAnsi"/>
          <w:iCs/>
        </w:rPr>
        <w:t>sebagai</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alat</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pembelajaran</w:t>
      </w:r>
      <w:proofErr w:type="spellEnd"/>
      <w:r w:rsidRPr="00DC0AD7">
        <w:rPr>
          <w:rFonts w:asciiTheme="minorHAnsi" w:hAnsiTheme="minorHAnsi" w:cstheme="minorHAnsi"/>
          <w:iCs/>
        </w:rPr>
        <w:t xml:space="preserve"> yang </w:t>
      </w:r>
      <w:proofErr w:type="spellStart"/>
      <w:r w:rsidRPr="00DC0AD7">
        <w:rPr>
          <w:rFonts w:asciiTheme="minorHAnsi" w:hAnsiTheme="minorHAnsi" w:cstheme="minorHAnsi"/>
          <w:iCs/>
        </w:rPr>
        <w:t>bermakna</w:t>
      </w:r>
      <w:proofErr w:type="spellEnd"/>
      <w:r w:rsidRPr="00DC0AD7">
        <w:rPr>
          <w:rFonts w:asciiTheme="minorHAnsi" w:hAnsiTheme="minorHAnsi" w:cstheme="minorHAnsi"/>
          <w:iCs/>
        </w:rPr>
        <w:t xml:space="preserve"> dan strategi </w:t>
      </w:r>
      <w:proofErr w:type="spellStart"/>
      <w:r w:rsidRPr="00DC0AD7">
        <w:rPr>
          <w:rFonts w:asciiTheme="minorHAnsi" w:hAnsiTheme="minorHAnsi" w:cstheme="minorHAnsi"/>
          <w:iCs/>
        </w:rPr>
        <w:t>pelestarian</w:t>
      </w:r>
      <w:proofErr w:type="spellEnd"/>
      <w:r w:rsidRPr="00DC0AD7">
        <w:rPr>
          <w:rFonts w:asciiTheme="minorHAnsi" w:hAnsiTheme="minorHAnsi" w:cstheme="minorHAnsi"/>
          <w:iCs/>
        </w:rPr>
        <w:t xml:space="preserve"> </w:t>
      </w:r>
      <w:proofErr w:type="spellStart"/>
      <w:r w:rsidRPr="00DC0AD7">
        <w:rPr>
          <w:rFonts w:asciiTheme="minorHAnsi" w:hAnsiTheme="minorHAnsi" w:cstheme="minorHAnsi"/>
          <w:iCs/>
        </w:rPr>
        <w:t>budaya</w:t>
      </w:r>
      <w:proofErr w:type="spellEnd"/>
      <w:r w:rsidRPr="00DC0AD7">
        <w:rPr>
          <w:rFonts w:asciiTheme="minorHAnsi" w:hAnsiTheme="minorHAnsi" w:cstheme="minorHAnsi"/>
          <w:iCs/>
        </w:rPr>
        <w:t>.</w:t>
      </w:r>
    </w:p>
    <w:p w14:paraId="5D8EEFA7" w14:textId="33ECFF0C" w:rsidR="00DC0AD7" w:rsidRPr="00DC0AD7" w:rsidRDefault="00B63984" w:rsidP="00DC0AD7">
      <w:pPr>
        <w:spacing w:before="120"/>
        <w:jc w:val="both"/>
        <w:rPr>
          <w:rFonts w:asciiTheme="minorHAnsi" w:hAnsiTheme="minorHAnsi" w:cstheme="minorHAnsi"/>
          <w:iCs/>
        </w:rPr>
      </w:pPr>
      <w:r w:rsidRPr="00F1406B">
        <w:rPr>
          <w:rFonts w:asciiTheme="minorHAnsi" w:hAnsiTheme="minorHAnsi" w:cstheme="minorHAnsi"/>
          <w:b/>
          <w:bCs/>
          <w:iCs/>
        </w:rPr>
        <w:t xml:space="preserve">Kata </w:t>
      </w:r>
      <w:proofErr w:type="spellStart"/>
      <w:r w:rsidRPr="00F1406B">
        <w:rPr>
          <w:rFonts w:asciiTheme="minorHAnsi" w:hAnsiTheme="minorHAnsi" w:cstheme="minorHAnsi"/>
          <w:b/>
          <w:bCs/>
          <w:iCs/>
        </w:rPr>
        <w:t>k</w:t>
      </w:r>
      <w:r w:rsidR="00595CB2" w:rsidRPr="00F1406B">
        <w:rPr>
          <w:rFonts w:asciiTheme="minorHAnsi" w:hAnsiTheme="minorHAnsi" w:cstheme="minorHAnsi"/>
          <w:b/>
          <w:bCs/>
          <w:iCs/>
        </w:rPr>
        <w:t>unci</w:t>
      </w:r>
      <w:proofErr w:type="spellEnd"/>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proofErr w:type="spellStart"/>
      <w:r w:rsidR="00DC0AD7" w:rsidRPr="00DC0AD7">
        <w:rPr>
          <w:rFonts w:asciiTheme="minorHAnsi" w:hAnsiTheme="minorHAnsi" w:cstheme="minorHAnsi"/>
          <w:iCs/>
        </w:rPr>
        <w:t>Etnomatematika</w:t>
      </w:r>
      <w:proofErr w:type="spellEnd"/>
      <w:r w:rsidR="00DC0AD7" w:rsidRPr="00DC0AD7">
        <w:rPr>
          <w:rFonts w:asciiTheme="minorHAnsi" w:hAnsiTheme="minorHAnsi" w:cstheme="minorHAnsi"/>
          <w:iCs/>
        </w:rPr>
        <w:t xml:space="preserve">, </w:t>
      </w:r>
      <w:proofErr w:type="spellStart"/>
      <w:r w:rsidR="00DC0AD7" w:rsidRPr="00DC0AD7">
        <w:rPr>
          <w:rFonts w:asciiTheme="minorHAnsi" w:hAnsiTheme="minorHAnsi" w:cstheme="minorHAnsi"/>
          <w:iCs/>
        </w:rPr>
        <w:t>Pembelajaran</w:t>
      </w:r>
      <w:proofErr w:type="spellEnd"/>
      <w:r w:rsidR="00DC0AD7" w:rsidRPr="00DC0AD7">
        <w:rPr>
          <w:rFonts w:asciiTheme="minorHAnsi" w:hAnsiTheme="minorHAnsi" w:cstheme="minorHAnsi"/>
          <w:iCs/>
        </w:rPr>
        <w:t xml:space="preserve"> </w:t>
      </w:r>
      <w:proofErr w:type="spellStart"/>
      <w:r w:rsidR="00DC0AD7" w:rsidRPr="00DC0AD7">
        <w:rPr>
          <w:rFonts w:asciiTheme="minorHAnsi" w:hAnsiTheme="minorHAnsi" w:cstheme="minorHAnsi"/>
          <w:iCs/>
        </w:rPr>
        <w:t>Berbasis</w:t>
      </w:r>
      <w:proofErr w:type="spellEnd"/>
      <w:r w:rsidR="00DC0AD7" w:rsidRPr="00DC0AD7">
        <w:rPr>
          <w:rFonts w:asciiTheme="minorHAnsi" w:hAnsiTheme="minorHAnsi" w:cstheme="minorHAnsi"/>
          <w:iCs/>
        </w:rPr>
        <w:t xml:space="preserve"> </w:t>
      </w:r>
      <w:proofErr w:type="spellStart"/>
      <w:r w:rsidR="00DC0AD7" w:rsidRPr="00DC0AD7">
        <w:rPr>
          <w:rFonts w:asciiTheme="minorHAnsi" w:hAnsiTheme="minorHAnsi" w:cstheme="minorHAnsi"/>
          <w:iCs/>
        </w:rPr>
        <w:t>Permainan</w:t>
      </w:r>
      <w:proofErr w:type="spellEnd"/>
      <w:r w:rsidR="00DC0AD7" w:rsidRPr="00DC0AD7">
        <w:rPr>
          <w:rFonts w:asciiTheme="minorHAnsi" w:hAnsiTheme="minorHAnsi" w:cstheme="minorHAnsi"/>
          <w:iCs/>
        </w:rPr>
        <w:t xml:space="preserve">, </w:t>
      </w:r>
      <w:proofErr w:type="spellStart"/>
      <w:r w:rsidR="00DC0AD7" w:rsidRPr="00DC0AD7">
        <w:rPr>
          <w:rFonts w:asciiTheme="minorHAnsi" w:hAnsiTheme="minorHAnsi" w:cstheme="minorHAnsi"/>
          <w:iCs/>
        </w:rPr>
        <w:t>Literasi</w:t>
      </w:r>
      <w:proofErr w:type="spellEnd"/>
      <w:r w:rsidR="00DC0AD7" w:rsidRPr="00DC0AD7">
        <w:rPr>
          <w:rFonts w:asciiTheme="minorHAnsi" w:hAnsiTheme="minorHAnsi" w:cstheme="minorHAnsi"/>
          <w:iCs/>
        </w:rPr>
        <w:t xml:space="preserve"> Matematika, </w:t>
      </w:r>
      <w:proofErr w:type="spellStart"/>
      <w:r w:rsidR="00DC0AD7" w:rsidRPr="00DC0AD7">
        <w:rPr>
          <w:rFonts w:asciiTheme="minorHAnsi" w:hAnsiTheme="minorHAnsi" w:cstheme="minorHAnsi"/>
          <w:iCs/>
        </w:rPr>
        <w:t>Karakter</w:t>
      </w:r>
      <w:proofErr w:type="spellEnd"/>
      <w:r w:rsidR="00DC0AD7" w:rsidRPr="00DC0AD7">
        <w:rPr>
          <w:rFonts w:asciiTheme="minorHAnsi" w:hAnsiTheme="minorHAnsi" w:cstheme="minorHAnsi"/>
          <w:iCs/>
        </w:rPr>
        <w:t xml:space="preserve"> Budaya, </w:t>
      </w:r>
      <w:proofErr w:type="spellStart"/>
      <w:r w:rsidR="00DC0AD7" w:rsidRPr="00DC0AD7">
        <w:rPr>
          <w:rFonts w:asciiTheme="minorHAnsi" w:hAnsiTheme="minorHAnsi" w:cstheme="minorHAnsi"/>
          <w:iCs/>
        </w:rPr>
        <w:t>Permainan</w:t>
      </w:r>
      <w:proofErr w:type="spellEnd"/>
      <w:r w:rsidR="00DC0AD7" w:rsidRPr="00DC0AD7">
        <w:rPr>
          <w:rFonts w:asciiTheme="minorHAnsi" w:hAnsiTheme="minorHAnsi" w:cstheme="minorHAnsi"/>
          <w:iCs/>
        </w:rPr>
        <w:t xml:space="preserve"> </w:t>
      </w:r>
      <w:proofErr w:type="spellStart"/>
      <w:r w:rsidR="00DC0AD7" w:rsidRPr="00DC0AD7">
        <w:rPr>
          <w:rFonts w:asciiTheme="minorHAnsi" w:hAnsiTheme="minorHAnsi" w:cstheme="minorHAnsi"/>
          <w:iCs/>
        </w:rPr>
        <w:t>Tradisional</w:t>
      </w:r>
      <w:proofErr w:type="spellEnd"/>
    </w:p>
    <w:p w14:paraId="7C759C58" w14:textId="3A1B26C1" w:rsidR="00904D6D" w:rsidRPr="00B84F4A" w:rsidRDefault="0066344A" w:rsidP="009D21D6">
      <w:pPr>
        <w:pStyle w:val="Heading1"/>
      </w:pPr>
      <w:r>
        <w:t>INTRODUCTION</w:t>
      </w:r>
    </w:p>
    <w:p w14:paraId="55216BE6" w14:textId="77777777" w:rsidR="002A5E6F" w:rsidRPr="00251B7B" w:rsidRDefault="002A5E6F" w:rsidP="00BB2195">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Mathematics is a fundamental science that plays a crucial role in developing students’ critical thinking, problem-solving, and reasoning abilities. It is not only concerned with numbers and formulas but also involves understanding concepts and applying them in real-life situations. According to Hui and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Mahmud (2023)</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 mathematics is an essential skill for facing the challenges of the 21st century, where students are required to develop higher-order thinking skills, creativity, and adaptability. However, various national and international assessments indicate that students’ mathematical literacy in Indonesia is still relatively low.</w:t>
      </w:r>
    </w:p>
    <w:p w14:paraId="7E354273" w14:textId="77777777" w:rsidR="002A5E6F" w:rsidRPr="00251B7B" w:rsidRDefault="002A5E6F"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Based on the </w:t>
      </w:r>
      <w:proofErr w:type="spellStart"/>
      <w:r w:rsidRPr="00251B7B">
        <w:rPr>
          <w:rFonts w:asciiTheme="minorHAnsi" w:hAnsiTheme="minorHAnsi" w:cstheme="minorHAnsi"/>
          <w:color w:val="000000"/>
          <w:sz w:val="24"/>
          <w:szCs w:val="24"/>
        </w:rPr>
        <w:t>Programme</w:t>
      </w:r>
      <w:proofErr w:type="spellEnd"/>
      <w:r w:rsidRPr="00251B7B">
        <w:rPr>
          <w:rFonts w:asciiTheme="minorHAnsi" w:hAnsiTheme="minorHAnsi" w:cstheme="minorHAnsi"/>
          <w:color w:val="000000"/>
          <w:sz w:val="24"/>
          <w:szCs w:val="24"/>
        </w:rPr>
        <w:t xml:space="preserve"> for International Student Assessment (PISA) 2018 results, Indonesia ranked 72nd out of 79 participating countries in mathematics literacy, with an average score of only 379, far below the OECD average of 489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(OECD, 2019)</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This data shows that Indonesian students have difficulty connecting mathematical concepts with real-life situations. Similarly, the results of the Trends in International Mathematics and Science Study (TIMSS) 2019 revealed that Indonesia ranked 45th out of 58 countries, indicating that students’ problem-solving abilities are still limited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 xml:space="preserve">(Mullis et al., 2020). </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These findings highlight the urgent need for innovative learning approaches to improve mathematical literacy.</w:t>
      </w:r>
    </w:p>
    <w:p w14:paraId="5C432532" w14:textId="77777777" w:rsidR="002A5E6F" w:rsidRPr="00251B7B" w:rsidRDefault="002A5E6F"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One of the causes of low mathematical literacy is the dominance of teacher-centered learning methods. Teachers often rely on lectures and rote memorization, leading students to focus only on formulas without understanding the underlying concepts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 xml:space="preserve">(Budarsini et al., 2018). </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As a result, students become passive learners and struggle to relate mathematics to real-life contexts. Shifting towards student-centered, contextual learning models is necessary to foster active participation and deeper conceptual understanding.</w:t>
      </w:r>
    </w:p>
    <w:p w14:paraId="16F6CCE7" w14:textId="77777777" w:rsidR="002A5E6F" w:rsidRPr="00251B7B" w:rsidRDefault="002A5E6F"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An effective approach to overcoming these challenges is to integrate ethnomathematics into mathematics learning. Ethnomathematics, as recently reviewed, refers to the relationship between culture and mathematics and how mathematical concepts are embedded in cultural practices, traditions, and daily life. For example, a literature review </w:t>
      </w:r>
      <w:r w:rsidRPr="00251B7B">
        <w:rPr>
          <w:rFonts w:asciiTheme="minorHAnsi" w:hAnsiTheme="minorHAnsi" w:cstheme="minorHAnsi"/>
          <w:color w:val="000000"/>
          <w:sz w:val="24"/>
          <w:szCs w:val="24"/>
        </w:rPr>
        <w:lastRenderedPageBreak/>
        <w:t xml:space="preserve">by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Batiibwe (2024)</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found that cultural games, weaving, buildings, meals, and local number systems frequently embody mathematical ideas and that embedding these in school mathematics enhances students’ reasoning, creativity, and problem-solving. Studies such as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Unu and Santoso (2025)</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show that using culturally contextualized instruction significantly improves students’ ability to express mathematical ideas in verbal, symbolic, and visual forms. Through this approach, mathematics becomes more meaningful because students can relate abstract concepts to real-world cultural contexts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(Agustin et al., 2022)</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w:t>
      </w:r>
    </w:p>
    <w:p w14:paraId="151F7650" w14:textId="77777777" w:rsidR="002A5E6F" w:rsidRPr="00251B7B" w:rsidRDefault="002A5E6F"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Indonesia, as a culturally rich nation, has a wealth of traditions and local games that can be used as learning resources. One example is the </w:t>
      </w:r>
      <w:proofErr w:type="spellStart"/>
      <w:r w:rsidRPr="00251B7B">
        <w:rPr>
          <w:rFonts w:asciiTheme="minorHAnsi" w:hAnsiTheme="minorHAnsi" w:cstheme="minorHAnsi"/>
          <w:color w:val="000000"/>
          <w:sz w:val="24"/>
          <w:szCs w:val="24"/>
        </w:rPr>
        <w:t>Mpa’a</w:t>
      </w:r>
      <w:proofErr w:type="spellEnd"/>
      <w:r w:rsidRPr="00251B7B">
        <w:rPr>
          <w:rFonts w:asciiTheme="minorHAnsi" w:hAnsiTheme="minorHAnsi" w:cstheme="minorHAnsi"/>
          <w:color w:val="000000"/>
          <w:sz w:val="24"/>
          <w:szCs w:val="24"/>
        </w:rPr>
        <w:t xml:space="preserve"> Gopa traditional game from Bima, West Nusa Tenggara, which contains elements of counting, geometry, and strategy that can be linked to mathematical concepts. Utilizing such cultural elements in learning can increase student engagement, foster appreciation of local traditions, and enhance mathematical literacy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(Sholihah et al., 2021)</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w:t>
      </w:r>
    </w:p>
    <w:p w14:paraId="730A9DF8" w14:textId="77777777" w:rsidR="002A5E6F" w:rsidRPr="00251B7B" w:rsidRDefault="002A5E6F"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In addition to improving mathematical literacy, ethnomathematics-based learning can strengthen students’ cultural character. According to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Khatimah and Fatimah (2023)</w:t>
      </w:r>
      <w:r w:rsidRPr="00251B7B">
        <w:rPr>
          <w:rFonts w:asciiTheme="minorHAnsi" w:hAnsiTheme="minorHAnsi" w:cstheme="minorHAnsi"/>
          <w:sz w:val="24"/>
          <w:szCs w:val="24"/>
        </w:rPr>
        <w:fldChar w:fldCharType="end"/>
      </w:r>
      <w:r w:rsidRPr="00251B7B">
        <w:rPr>
          <w:rFonts w:asciiTheme="minorHAnsi" w:hAnsiTheme="minorHAnsi" w:cstheme="minorHAnsi"/>
          <w:sz w:val="24"/>
          <w:szCs w:val="24"/>
        </w:rPr>
        <w:t>,</w:t>
      </w:r>
      <w:r w:rsidRPr="00251B7B">
        <w:rPr>
          <w:rFonts w:asciiTheme="minorHAnsi" w:hAnsiTheme="minorHAnsi" w:cstheme="minorHAnsi"/>
          <w:color w:val="000000"/>
          <w:sz w:val="24"/>
          <w:szCs w:val="24"/>
        </w:rPr>
        <w:t xml:space="preserve"> integrating local cultural values into learning helps preserve cultural heritage and instills a sense of identity and pride in students. It also aligns with the objectives of the Indonesian national curriculum, which emphasizes character education alongside cognitive skills development.</w:t>
      </w:r>
    </w:p>
    <w:p w14:paraId="795B3B29" w14:textId="77777777" w:rsidR="002A5E6F" w:rsidRPr="00251B7B" w:rsidRDefault="002A5E6F"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However, the integration of ethnomathematics into mathematics education remains limited. Many teachers are not yet familiar with how to design innovative learning media that combine mathematical concepts with cultural practices. Developing effective learning media based on traditional games like </w:t>
      </w:r>
      <w:proofErr w:type="spellStart"/>
      <w:r w:rsidRPr="00251B7B">
        <w:rPr>
          <w:rFonts w:asciiTheme="minorHAnsi" w:hAnsiTheme="minorHAnsi" w:cstheme="minorHAnsi"/>
          <w:color w:val="000000"/>
          <w:sz w:val="24"/>
          <w:szCs w:val="24"/>
        </w:rPr>
        <w:t>Mpa’a</w:t>
      </w:r>
      <w:proofErr w:type="spellEnd"/>
      <w:r w:rsidRPr="00251B7B">
        <w:rPr>
          <w:rFonts w:asciiTheme="minorHAnsi" w:hAnsiTheme="minorHAnsi" w:cstheme="minorHAnsi"/>
          <w:color w:val="000000"/>
          <w:sz w:val="24"/>
          <w:szCs w:val="24"/>
        </w:rPr>
        <w:t xml:space="preserve"> Gopa is therefore crucial to bridging this gap and achieving meaningful mathematics learning.</w:t>
      </w:r>
    </w:p>
    <w:p w14:paraId="1F9426AB" w14:textId="6F88FD4D" w:rsidR="004F70F8" w:rsidRPr="00251B7B" w:rsidRDefault="002A5E6F" w:rsidP="00251B7B">
      <w:pPr>
        <w:spacing w:line="360" w:lineRule="auto"/>
        <w:ind w:firstLine="567"/>
        <w:jc w:val="both"/>
        <w:rPr>
          <w:rFonts w:asciiTheme="minorHAnsi" w:hAnsiTheme="minorHAnsi" w:cstheme="minorHAnsi"/>
          <w:sz w:val="24"/>
          <w:szCs w:val="24"/>
        </w:rPr>
      </w:pPr>
      <w:r w:rsidRPr="00251B7B">
        <w:rPr>
          <w:rFonts w:asciiTheme="minorHAnsi" w:hAnsiTheme="minorHAnsi" w:cstheme="minorHAnsi"/>
          <w:color w:val="000000"/>
          <w:sz w:val="24"/>
          <w:szCs w:val="24"/>
        </w:rPr>
        <w:t xml:space="preserve">This study aims to develop, validate, and evaluate ethnomathematics-based learning media using the </w:t>
      </w:r>
      <w:proofErr w:type="spellStart"/>
      <w:r w:rsidRPr="00251B7B">
        <w:rPr>
          <w:rFonts w:asciiTheme="minorHAnsi" w:hAnsiTheme="minorHAnsi" w:cstheme="minorHAnsi"/>
          <w:color w:val="000000"/>
          <w:sz w:val="24"/>
          <w:szCs w:val="24"/>
        </w:rPr>
        <w:t>Mpa’a</w:t>
      </w:r>
      <w:proofErr w:type="spellEnd"/>
      <w:r w:rsidRPr="00251B7B">
        <w:rPr>
          <w:rFonts w:asciiTheme="minorHAnsi" w:hAnsiTheme="minorHAnsi" w:cstheme="minorHAnsi"/>
          <w:color w:val="000000"/>
          <w:sz w:val="24"/>
          <w:szCs w:val="24"/>
        </w:rPr>
        <w:t xml:space="preserve"> Gopa traditional game to improve mathematical literacy and strengthen cultural character. The research focuses on designing instructional materials that are valid, practical, and effective in engaging students and enhancing learning outcomes.</w:t>
      </w:r>
    </w:p>
    <w:p w14:paraId="5D92AB06" w14:textId="32BB133B" w:rsidR="00904D6D" w:rsidRPr="00B84F4A" w:rsidRDefault="00A9370D" w:rsidP="009D21D6">
      <w:pPr>
        <w:pStyle w:val="Heading1"/>
      </w:pPr>
      <w:r w:rsidRPr="00B84F4A">
        <w:lastRenderedPageBreak/>
        <w:t>MET</w:t>
      </w:r>
      <w:r w:rsidR="0066344A">
        <w:t>H</w:t>
      </w:r>
      <w:r w:rsidRPr="00B84F4A">
        <w:t>OD</w:t>
      </w:r>
      <w:r w:rsidR="0066344A">
        <w:t>S</w:t>
      </w:r>
    </w:p>
    <w:p w14:paraId="0A8BAE94" w14:textId="77777777" w:rsidR="00251B7B" w:rsidRPr="00251B7B" w:rsidRDefault="00251B7B"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This study utilized a Research and Development (R&amp;D) methodology by adopting the 4D development model, which includes four systematic stages: Define, Design, Develop, and Disseminate. This model was chosen because it is suitable for developing innovative learning media based on local culture that are valid, practical, and effective. The Define stage involved analyzing students’ needs, the curriculum, and learner characteristics. The Design stage included formulating learning objectives, designing the learning media based on the traditional </w:t>
      </w:r>
      <w:proofErr w:type="spellStart"/>
      <w:r w:rsidRPr="00251B7B">
        <w:rPr>
          <w:rFonts w:asciiTheme="minorHAnsi" w:hAnsiTheme="minorHAnsi" w:cstheme="minorHAnsi"/>
          <w:color w:val="000000"/>
          <w:sz w:val="24"/>
          <w:szCs w:val="24"/>
        </w:rPr>
        <w:t>Mpa’a</w:t>
      </w:r>
      <w:proofErr w:type="spellEnd"/>
      <w:r w:rsidRPr="00251B7B">
        <w:rPr>
          <w:rFonts w:asciiTheme="minorHAnsi" w:hAnsiTheme="minorHAnsi" w:cstheme="minorHAnsi"/>
          <w:color w:val="000000"/>
          <w:sz w:val="24"/>
          <w:szCs w:val="24"/>
        </w:rPr>
        <w:t xml:space="preserve"> Gopa game, and creating the initial prototype. The Develop stage consisted of expert validation, media revisions, and limited trials with students, while the Disseminate stage focused on socialization, implementation guidance, and publication of the research findings.</w:t>
      </w:r>
    </w:p>
    <w:p w14:paraId="2BB5288D" w14:textId="77777777" w:rsidR="00251B7B" w:rsidRPr="00251B7B" w:rsidRDefault="00251B7B"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The participants of this study were 20 fourth-grade students from SD Negeri 2 Maria, Kota Bima, consisting of 9 male students and 11 female students. The class teacher was also involved in the learning process as a facilitator and provided input regarding the feasibility and practicality of the developed learning media.</w:t>
      </w:r>
    </w:p>
    <w:p w14:paraId="5FE17952" w14:textId="77777777" w:rsidR="00251B7B" w:rsidRPr="00251B7B" w:rsidRDefault="00251B7B"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Several research instruments were used to collect comprehensive data. Expert validation sheets were used to assess the validity of the learning media in terms of content, language, presentation, and cultural relevance. In addition, a student response questionnaire was distributed to evaluate the practicality of the media, including students’ motivation, engagement, and ease of use. During the learning process, observation sheets for teachers and students were utilized to monitor lesson implementation and students’ interactions with the media. Finally, pretest and posttest questions were administered to measure the effectiveness of the learning media in improving students’ learning outcomes.</w:t>
      </w:r>
    </w:p>
    <w:p w14:paraId="67F81F4B" w14:textId="77777777" w:rsidR="00251B7B" w:rsidRPr="00251B7B" w:rsidRDefault="00251B7B" w:rsidP="00251B7B">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251B7B">
        <w:rPr>
          <w:rFonts w:asciiTheme="minorHAnsi" w:hAnsiTheme="minorHAnsi" w:cstheme="minorHAnsi"/>
          <w:color w:val="000000"/>
          <w:sz w:val="24"/>
          <w:szCs w:val="24"/>
        </w:rPr>
        <w:t xml:space="preserve">Data were analyzed based on three main aspects: validity, practicality, and effectiveness. Validity was determined by calculating the expert evaluation scores on the developed media. Practicality was analyzed using the results of lesson implementation observations and students’ responses to the media. Meanwhile, effectiveness was measured by comparing students’ pretest and posttest scores, followed by the calculation of the N-Gain. The effectiveness category in learning evaluation is often measured using the Normalized Gain (N-Gain) index, which classifies outcomes into three levels: high effectiveness if N-Gain &gt; 0.7, moderate effectiveness if 0.3 ≤ N-Gain ≤ 0.7, and low effectiveness if N-Gain &lt; 0.3. </w:t>
      </w:r>
      <w:r w:rsidRPr="00251B7B">
        <w:rPr>
          <w:rFonts w:asciiTheme="minorHAnsi" w:hAnsiTheme="minorHAnsi" w:cstheme="minorHAnsi"/>
          <w:color w:val="000000"/>
          <w:sz w:val="24"/>
          <w:szCs w:val="24"/>
        </w:rPr>
        <w:lastRenderedPageBreak/>
        <w:t xml:space="preserve">Recent studies continue to apply and validate these thresholds. For instance,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Nuraini et al. (2024)</w:t>
      </w:r>
      <w:r w:rsidRPr="00251B7B">
        <w:rPr>
          <w:rFonts w:asciiTheme="minorHAnsi" w:hAnsiTheme="minorHAnsi" w:cstheme="minorHAnsi"/>
          <w:sz w:val="24"/>
          <w:szCs w:val="24"/>
        </w:rPr>
        <w:fldChar w:fldCharType="end"/>
      </w:r>
      <w:r w:rsidRPr="00251B7B">
        <w:rPr>
          <w:rFonts w:asciiTheme="minorHAnsi" w:hAnsiTheme="minorHAnsi" w:cstheme="minorHAnsi"/>
          <w:sz w:val="24"/>
          <w:szCs w:val="24"/>
        </w:rPr>
        <w:t xml:space="preserve"> </w:t>
      </w:r>
      <w:r w:rsidRPr="00251B7B">
        <w:rPr>
          <w:rFonts w:asciiTheme="minorHAnsi" w:hAnsiTheme="minorHAnsi" w:cstheme="minorHAnsi"/>
          <w:color w:val="000000"/>
          <w:sz w:val="24"/>
          <w:szCs w:val="24"/>
        </w:rPr>
        <w:t xml:space="preserve">showed that the integration of digital comic media in environmental education achieved an average N-Gain of 0.58, which falls into the moderate effectiveness category. </w:t>
      </w:r>
      <w:r w:rsidRPr="00251B7B">
        <w:rPr>
          <w:rFonts w:asciiTheme="minorHAnsi" w:hAnsiTheme="minorHAnsi" w:cstheme="minorHAnsi"/>
          <w:sz w:val="24"/>
          <w:szCs w:val="24"/>
        </w:rPr>
        <w:fldChar w:fldCharType="begin" w:fldLock="1"/>
      </w:r>
      <w:r w:rsidRPr="00251B7B">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251B7B">
        <w:rPr>
          <w:rFonts w:asciiTheme="minorHAnsi" w:hAnsiTheme="minorHAnsi" w:cstheme="minorHAnsi"/>
          <w:sz w:val="24"/>
          <w:szCs w:val="24"/>
        </w:rPr>
        <w:fldChar w:fldCharType="separate"/>
      </w:r>
      <w:r w:rsidRPr="00251B7B">
        <w:rPr>
          <w:rFonts w:asciiTheme="minorHAnsi" w:hAnsiTheme="minorHAnsi" w:cstheme="minorHAnsi"/>
          <w:color w:val="000000"/>
          <w:sz w:val="24"/>
          <w:szCs w:val="24"/>
        </w:rPr>
        <w:t xml:space="preserve"> Wahab &amp; Azhar (2021)</w:t>
      </w:r>
      <w:r w:rsidRPr="00251B7B">
        <w:rPr>
          <w:rFonts w:asciiTheme="minorHAnsi" w:hAnsiTheme="minorHAnsi" w:cstheme="minorHAnsi"/>
          <w:sz w:val="24"/>
          <w:szCs w:val="24"/>
        </w:rPr>
        <w:fldChar w:fldCharType="end"/>
      </w:r>
      <w:r w:rsidRPr="00251B7B">
        <w:rPr>
          <w:rFonts w:asciiTheme="minorHAnsi" w:hAnsiTheme="minorHAnsi" w:cstheme="minorHAnsi"/>
          <w:color w:val="000000"/>
          <w:sz w:val="24"/>
          <w:szCs w:val="24"/>
        </w:rPr>
        <w:t xml:space="preserve"> reported an N-Gain of 0.62 in statistics education, confirming its moderate effectiveness. These findings indicate that N-Gain remains a reliable benchmark for evaluating the impact of innovative learning strategies in recent educational research.</w:t>
      </w:r>
    </w:p>
    <w:p w14:paraId="756220ED" w14:textId="6123FF55" w:rsidR="00904D6D" w:rsidRPr="00B84F4A" w:rsidRDefault="0066344A" w:rsidP="009D21D6">
      <w:pPr>
        <w:pStyle w:val="Heading1"/>
      </w:pPr>
      <w:r>
        <w:t>RESULTS AND DISCUSSION</w:t>
      </w:r>
    </w:p>
    <w:p w14:paraId="2E03CF22"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b/>
          <w:i/>
          <w:color w:val="000000"/>
          <w:sz w:val="24"/>
          <w:szCs w:val="24"/>
        </w:rPr>
      </w:pPr>
      <w:r w:rsidRPr="00351D39">
        <w:rPr>
          <w:rFonts w:asciiTheme="minorHAnsi" w:hAnsiTheme="minorHAnsi" w:cstheme="minorHAnsi"/>
          <w:b/>
          <w:i/>
          <w:color w:val="000000"/>
          <w:sz w:val="24"/>
          <w:szCs w:val="24"/>
        </w:rPr>
        <w:t>Result</w:t>
      </w:r>
    </w:p>
    <w:p w14:paraId="632E1933"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b/>
          <w:iCs/>
          <w:color w:val="000000"/>
          <w:sz w:val="24"/>
          <w:szCs w:val="24"/>
        </w:rPr>
      </w:pPr>
      <w:r w:rsidRPr="00351D39">
        <w:rPr>
          <w:rFonts w:asciiTheme="minorHAnsi" w:hAnsiTheme="minorHAnsi" w:cstheme="minorHAnsi"/>
          <w:b/>
          <w:iCs/>
          <w:color w:val="000000"/>
          <w:sz w:val="24"/>
          <w:szCs w:val="24"/>
        </w:rPr>
        <w:t>Define Stage</w:t>
      </w:r>
    </w:p>
    <w:p w14:paraId="7A89AF29" w14:textId="2C2BA412"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bCs/>
          <w:iCs/>
          <w:color w:val="000000"/>
          <w:sz w:val="24"/>
          <w:szCs w:val="24"/>
        </w:rPr>
      </w:pPr>
      <w:r w:rsidRPr="00351D39">
        <w:rPr>
          <w:rFonts w:asciiTheme="minorHAnsi" w:hAnsiTheme="minorHAnsi" w:cstheme="minorHAnsi"/>
          <w:bCs/>
          <w:iCs/>
          <w:color w:val="000000"/>
          <w:sz w:val="24"/>
          <w:szCs w:val="24"/>
        </w:rPr>
        <w:t>The define stage aimed to identify the fundamental learning problems and student needs. The preliminary observation revealed that students’ mathematical literacy was still low, as indicated by the average pretest score of 66.19, with only 52.38% of students achieving mastery. Out of 20 students, 11 met the minimum criteria, while 9 did not. This implies that conventional teaching methods have not been sufficiently effective in motivating and engaging students.</w:t>
      </w:r>
    </w:p>
    <w:p w14:paraId="0F11BED8" w14:textId="2142143E"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bCs/>
          <w:iCs/>
          <w:color w:val="000000"/>
          <w:sz w:val="24"/>
          <w:szCs w:val="24"/>
        </w:rPr>
      </w:pPr>
      <w:r w:rsidRPr="00351D39">
        <w:rPr>
          <w:rFonts w:asciiTheme="minorHAnsi" w:hAnsiTheme="minorHAnsi" w:cstheme="minorHAnsi"/>
          <w:bCs/>
          <w:iCs/>
          <w:color w:val="000000"/>
          <w:sz w:val="24"/>
          <w:szCs w:val="24"/>
        </w:rPr>
        <w:t xml:space="preserve">Furthermore, curriculum analysis confirmed that the selected materials were in line with the fifth-grade mathematics competencies, especially basic operations and logical thinking. Student analysis also showed that they tend to learn better when engaged in concrete and playful activities. Therefore, integrating the local traditional game </w:t>
      </w:r>
      <w:proofErr w:type="spellStart"/>
      <w:r w:rsidRPr="00351D39">
        <w:rPr>
          <w:rFonts w:asciiTheme="minorHAnsi" w:hAnsiTheme="minorHAnsi" w:cstheme="minorHAnsi"/>
          <w:bCs/>
          <w:iCs/>
          <w:color w:val="000000"/>
          <w:sz w:val="24"/>
          <w:szCs w:val="24"/>
        </w:rPr>
        <w:t>Mpa’a</w:t>
      </w:r>
      <w:proofErr w:type="spellEnd"/>
      <w:r w:rsidRPr="00351D39">
        <w:rPr>
          <w:rFonts w:asciiTheme="minorHAnsi" w:hAnsiTheme="minorHAnsi" w:cstheme="minorHAnsi"/>
          <w:bCs/>
          <w:iCs/>
          <w:color w:val="000000"/>
          <w:sz w:val="24"/>
          <w:szCs w:val="24"/>
        </w:rPr>
        <w:t xml:space="preserve"> Gopa into mathematics lessons was considered relevant. This is consistent with)</w:t>
      </w:r>
      <w:r w:rsidRPr="00351D39">
        <w:rPr>
          <w:rFonts w:asciiTheme="minorHAnsi" w:hAnsiTheme="minorHAnsi" w:cstheme="minorHAnsi"/>
          <w:sz w:val="24"/>
          <w:szCs w:val="24"/>
        </w:rPr>
        <w:t xml:space="preserve">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bCs/>
          <w:iCs/>
          <w:color w:val="000000"/>
          <w:sz w:val="24"/>
          <w:szCs w:val="24"/>
        </w:rPr>
        <w:t>Husna, Samin, &amp; Abidin (2021</w:t>
      </w:r>
      <w:r w:rsidRPr="00351D39">
        <w:rPr>
          <w:rFonts w:asciiTheme="minorHAnsi" w:hAnsiTheme="minorHAnsi" w:cstheme="minorHAnsi"/>
          <w:color w:val="000000"/>
          <w:sz w:val="24"/>
          <w:szCs w:val="24"/>
        </w:rPr>
        <w:t>)</w:t>
      </w:r>
      <w:r w:rsidRPr="00351D39">
        <w:rPr>
          <w:rFonts w:asciiTheme="minorHAnsi" w:hAnsiTheme="minorHAnsi" w:cstheme="minorHAnsi"/>
          <w:sz w:val="24"/>
          <w:szCs w:val="24"/>
        </w:rPr>
        <w:fldChar w:fldCharType="end"/>
      </w:r>
      <w:r w:rsidRPr="00351D39">
        <w:rPr>
          <w:rFonts w:asciiTheme="minorHAnsi" w:hAnsiTheme="minorHAnsi" w:cstheme="minorHAnsi"/>
          <w:bCs/>
          <w:iCs/>
          <w:color w:val="000000"/>
          <w:sz w:val="24"/>
          <w:szCs w:val="24"/>
        </w:rPr>
        <w:t>, who emphasized that local culture-based learning media can improve students’ understanding as it relates to their daily life experiences.</w:t>
      </w:r>
    </w:p>
    <w:p w14:paraId="36D31D31"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b/>
          <w:iCs/>
          <w:color w:val="000000"/>
          <w:sz w:val="24"/>
          <w:szCs w:val="24"/>
        </w:rPr>
      </w:pPr>
      <w:r w:rsidRPr="00351D39">
        <w:rPr>
          <w:rFonts w:asciiTheme="minorHAnsi" w:hAnsiTheme="minorHAnsi" w:cstheme="minorHAnsi"/>
          <w:b/>
          <w:iCs/>
          <w:color w:val="000000"/>
          <w:sz w:val="24"/>
          <w:szCs w:val="24"/>
        </w:rPr>
        <w:t>Design Stage</w:t>
      </w:r>
    </w:p>
    <w:p w14:paraId="5C13A788" w14:textId="7F0F4FDB"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bCs/>
          <w:iCs/>
          <w:color w:val="000000"/>
          <w:sz w:val="24"/>
          <w:szCs w:val="24"/>
        </w:rPr>
      </w:pPr>
      <w:r w:rsidRPr="00351D39">
        <w:rPr>
          <w:rFonts w:asciiTheme="minorHAnsi" w:hAnsiTheme="minorHAnsi" w:cstheme="minorHAnsi"/>
          <w:bCs/>
          <w:iCs/>
          <w:color w:val="000000"/>
          <w:sz w:val="24"/>
          <w:szCs w:val="24"/>
        </w:rPr>
        <w:t xml:space="preserve">In this stage, the learning media was designed by integrating mathematical content into the traditional game </w:t>
      </w:r>
      <w:proofErr w:type="spellStart"/>
      <w:r w:rsidRPr="00351D39">
        <w:rPr>
          <w:rFonts w:asciiTheme="minorHAnsi" w:hAnsiTheme="minorHAnsi" w:cstheme="minorHAnsi"/>
          <w:bCs/>
          <w:iCs/>
          <w:color w:val="000000"/>
          <w:sz w:val="24"/>
          <w:szCs w:val="24"/>
        </w:rPr>
        <w:t>Mpa’a</w:t>
      </w:r>
      <w:proofErr w:type="spellEnd"/>
      <w:r w:rsidRPr="00351D39">
        <w:rPr>
          <w:rFonts w:asciiTheme="minorHAnsi" w:hAnsiTheme="minorHAnsi" w:cstheme="minorHAnsi"/>
          <w:bCs/>
          <w:iCs/>
          <w:color w:val="000000"/>
          <w:sz w:val="24"/>
          <w:szCs w:val="24"/>
        </w:rPr>
        <w:t xml:space="preserve"> Gopa. The product was complemented with a student pocketbook, evaluation instruments, and teaching guidelines. The design emphasized clarity, language simplicity, and alignment with the curriculum, while also considering aesthetic aspects such as color, layout, and attractiveness.</w:t>
      </w:r>
    </w:p>
    <w:p w14:paraId="790EF83A" w14:textId="097793C0"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bCs/>
          <w:iCs/>
          <w:color w:val="000000"/>
          <w:sz w:val="24"/>
          <w:szCs w:val="24"/>
        </w:rPr>
      </w:pPr>
      <w:r w:rsidRPr="00351D39">
        <w:rPr>
          <w:rFonts w:asciiTheme="minorHAnsi" w:hAnsiTheme="minorHAnsi" w:cstheme="minorHAnsi"/>
          <w:bCs/>
          <w:iCs/>
          <w:color w:val="000000"/>
          <w:sz w:val="24"/>
          <w:szCs w:val="24"/>
        </w:rPr>
        <w:t xml:space="preserve">The design process also </w:t>
      </w:r>
      <w:proofErr w:type="spellStart"/>
      <w:r w:rsidRPr="00351D39">
        <w:rPr>
          <w:rFonts w:asciiTheme="minorHAnsi" w:hAnsiTheme="minorHAnsi" w:cstheme="minorHAnsi"/>
          <w:bCs/>
          <w:iCs/>
          <w:color w:val="000000"/>
          <w:sz w:val="24"/>
          <w:szCs w:val="24"/>
        </w:rPr>
        <w:t>includeed</w:t>
      </w:r>
      <w:proofErr w:type="spellEnd"/>
      <w:r w:rsidRPr="00351D39">
        <w:rPr>
          <w:rFonts w:asciiTheme="minorHAnsi" w:hAnsiTheme="minorHAnsi" w:cstheme="minorHAnsi"/>
          <w:bCs/>
          <w:iCs/>
          <w:color w:val="000000"/>
          <w:sz w:val="24"/>
          <w:szCs w:val="24"/>
        </w:rPr>
        <w:t xml:space="preserve"> the preparation of validation sheets, student questionnaires, observation forms, and test instruments to measure effectiveness. Stated, </w:t>
      </w:r>
      <w:r w:rsidRPr="00351D39">
        <w:rPr>
          <w:rFonts w:asciiTheme="minorHAnsi" w:hAnsiTheme="minorHAnsi" w:cstheme="minorHAnsi"/>
          <w:bCs/>
          <w:iCs/>
          <w:color w:val="000000"/>
          <w:sz w:val="24"/>
          <w:szCs w:val="24"/>
        </w:rPr>
        <w:lastRenderedPageBreak/>
        <w:t>the design stage is crucial because it determines the quality of the final product. By carefully planning the instructional design, the media was expected to facilitate active student engagement and support teachers in creating joyful learning experiences.</w:t>
      </w:r>
    </w:p>
    <w:p w14:paraId="4E55B185"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b/>
          <w:iCs/>
          <w:color w:val="000000"/>
          <w:sz w:val="24"/>
          <w:szCs w:val="24"/>
        </w:rPr>
      </w:pPr>
      <w:r w:rsidRPr="00351D39">
        <w:rPr>
          <w:rFonts w:asciiTheme="minorHAnsi" w:hAnsiTheme="minorHAnsi" w:cstheme="minorHAnsi"/>
          <w:b/>
          <w:iCs/>
          <w:color w:val="000000"/>
          <w:sz w:val="24"/>
          <w:szCs w:val="24"/>
        </w:rPr>
        <w:t>Develop Stage</w:t>
      </w:r>
    </w:p>
    <w:p w14:paraId="48881D3F" w14:textId="4B6BE4B9"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bCs/>
          <w:iCs/>
          <w:color w:val="000000"/>
          <w:sz w:val="24"/>
          <w:szCs w:val="24"/>
        </w:rPr>
      </w:pPr>
      <w:r w:rsidRPr="00351D39">
        <w:rPr>
          <w:rFonts w:asciiTheme="minorHAnsi" w:hAnsiTheme="minorHAnsi" w:cstheme="minorHAnsi"/>
          <w:bCs/>
          <w:iCs/>
          <w:color w:val="000000"/>
          <w:sz w:val="24"/>
          <w:szCs w:val="24"/>
        </w:rPr>
        <w:t>At this stage, the designed product was developed and validated by experts, followed by limited and field trials.</w:t>
      </w:r>
    </w:p>
    <w:p w14:paraId="28D6E33D" w14:textId="77777777" w:rsidR="00251B7B" w:rsidRPr="00351D39" w:rsidRDefault="00251B7B" w:rsidP="00351D39">
      <w:pPr>
        <w:pBdr>
          <w:top w:val="nil"/>
          <w:left w:val="nil"/>
          <w:bottom w:val="nil"/>
          <w:right w:val="nil"/>
          <w:between w:val="nil"/>
        </w:pBdr>
        <w:ind w:firstLine="567"/>
        <w:jc w:val="center"/>
        <w:rPr>
          <w:rFonts w:asciiTheme="minorHAnsi" w:hAnsiTheme="minorHAnsi" w:cstheme="minorHAnsi"/>
          <w:b/>
          <w:bCs/>
          <w:color w:val="000000"/>
        </w:rPr>
      </w:pPr>
      <w:r w:rsidRPr="00351D39">
        <w:rPr>
          <w:rFonts w:asciiTheme="minorHAnsi" w:hAnsiTheme="minorHAnsi" w:cstheme="minorHAnsi"/>
          <w:b/>
          <w:bCs/>
          <w:color w:val="000000"/>
        </w:rPr>
        <w:t>Table 1. Expert Validation Results</w:t>
      </w:r>
    </w:p>
    <w:tbl>
      <w:tblPr>
        <w:tblW w:w="0" w:type="auto"/>
        <w:jc w:val="center"/>
        <w:tblLook w:val="04A0" w:firstRow="1" w:lastRow="0" w:firstColumn="1" w:lastColumn="0" w:noHBand="0" w:noVBand="1"/>
      </w:tblPr>
      <w:tblGrid>
        <w:gridCol w:w="3729"/>
        <w:gridCol w:w="1516"/>
        <w:gridCol w:w="1985"/>
      </w:tblGrid>
      <w:tr w:rsidR="00251B7B" w:rsidRPr="00351D39" w14:paraId="073524EF" w14:textId="77777777" w:rsidTr="00E578C3">
        <w:trPr>
          <w:jc w:val="center"/>
        </w:trPr>
        <w:tc>
          <w:tcPr>
            <w:tcW w:w="3729" w:type="dxa"/>
            <w:tcBorders>
              <w:top w:val="single" w:sz="4" w:space="0" w:color="auto"/>
              <w:bottom w:val="single" w:sz="4" w:space="0" w:color="auto"/>
            </w:tcBorders>
            <w:tcMar>
              <w:top w:w="0" w:type="dxa"/>
              <w:left w:w="108" w:type="dxa"/>
              <w:bottom w:w="0" w:type="dxa"/>
              <w:right w:w="108" w:type="dxa"/>
            </w:tcMar>
          </w:tcPr>
          <w:p w14:paraId="56D85D78" w14:textId="77777777" w:rsidR="00251B7B" w:rsidRPr="00351D39" w:rsidRDefault="00251B7B" w:rsidP="00351D39">
            <w:pPr>
              <w:jc w:val="center"/>
              <w:rPr>
                <w:rFonts w:asciiTheme="minorHAnsi" w:eastAsia="Bookman Old Style" w:hAnsiTheme="minorHAnsi" w:cstheme="minorHAnsi"/>
                <w:bCs/>
                <w:iCs/>
              </w:rPr>
            </w:pPr>
            <w:r w:rsidRPr="00351D39">
              <w:rPr>
                <w:rFonts w:asciiTheme="minorHAnsi" w:hAnsiTheme="minorHAnsi" w:cstheme="minorHAnsi"/>
                <w:b/>
                <w:bCs/>
                <w:lang w:eastAsia="id-ID"/>
              </w:rPr>
              <w:t>Assessed Aspect</w:t>
            </w:r>
          </w:p>
        </w:tc>
        <w:tc>
          <w:tcPr>
            <w:tcW w:w="1516" w:type="dxa"/>
            <w:tcBorders>
              <w:top w:val="single" w:sz="4" w:space="0" w:color="auto"/>
              <w:bottom w:val="single" w:sz="4" w:space="0" w:color="auto"/>
            </w:tcBorders>
            <w:tcMar>
              <w:top w:w="0" w:type="dxa"/>
              <w:left w:w="108" w:type="dxa"/>
              <w:bottom w:w="0" w:type="dxa"/>
              <w:right w:w="108" w:type="dxa"/>
            </w:tcMar>
          </w:tcPr>
          <w:p w14:paraId="4586BB48" w14:textId="77777777" w:rsidR="00251B7B" w:rsidRPr="00351D39" w:rsidRDefault="00251B7B" w:rsidP="00351D39">
            <w:pPr>
              <w:jc w:val="center"/>
              <w:rPr>
                <w:rFonts w:asciiTheme="minorHAnsi" w:eastAsia="Bookman Old Style" w:hAnsiTheme="minorHAnsi" w:cstheme="minorHAnsi"/>
                <w:bCs/>
                <w:iCs/>
              </w:rPr>
            </w:pPr>
            <w:r w:rsidRPr="00351D39">
              <w:rPr>
                <w:rFonts w:asciiTheme="minorHAnsi" w:hAnsiTheme="minorHAnsi" w:cstheme="minorHAnsi"/>
                <w:b/>
                <w:bCs/>
                <w:color w:val="000000"/>
                <w:lang w:eastAsia="id-ID"/>
              </w:rPr>
              <w:t>Average Score</w:t>
            </w:r>
          </w:p>
        </w:tc>
        <w:tc>
          <w:tcPr>
            <w:tcW w:w="1985" w:type="dxa"/>
            <w:tcBorders>
              <w:top w:val="single" w:sz="4" w:space="0" w:color="auto"/>
              <w:bottom w:val="single" w:sz="4" w:space="0" w:color="auto"/>
            </w:tcBorders>
            <w:tcMar>
              <w:top w:w="0" w:type="dxa"/>
              <w:left w:w="108" w:type="dxa"/>
              <w:bottom w:w="0" w:type="dxa"/>
              <w:right w:w="108" w:type="dxa"/>
            </w:tcMar>
          </w:tcPr>
          <w:p w14:paraId="5CCB8834" w14:textId="77777777" w:rsidR="00251B7B" w:rsidRPr="00351D39" w:rsidRDefault="00251B7B" w:rsidP="00351D39">
            <w:pPr>
              <w:jc w:val="center"/>
              <w:rPr>
                <w:rFonts w:asciiTheme="minorHAnsi" w:eastAsia="Bookman Old Style" w:hAnsiTheme="minorHAnsi" w:cstheme="minorHAnsi"/>
                <w:bCs/>
                <w:iCs/>
              </w:rPr>
            </w:pPr>
            <w:r w:rsidRPr="00351D39">
              <w:rPr>
                <w:rFonts w:asciiTheme="minorHAnsi" w:hAnsiTheme="minorHAnsi" w:cstheme="minorHAnsi"/>
                <w:b/>
                <w:bCs/>
                <w:color w:val="000000"/>
                <w:lang w:eastAsia="id-ID"/>
              </w:rPr>
              <w:t>Category</w:t>
            </w:r>
          </w:p>
        </w:tc>
      </w:tr>
      <w:tr w:rsidR="00251B7B" w:rsidRPr="00351D39" w14:paraId="3492ACA1" w14:textId="77777777" w:rsidTr="00E578C3">
        <w:trPr>
          <w:jc w:val="center"/>
        </w:trPr>
        <w:tc>
          <w:tcPr>
            <w:tcW w:w="3729" w:type="dxa"/>
            <w:tcBorders>
              <w:top w:val="single" w:sz="4" w:space="0" w:color="auto"/>
            </w:tcBorders>
            <w:tcMar>
              <w:top w:w="0" w:type="dxa"/>
              <w:left w:w="108" w:type="dxa"/>
              <w:bottom w:w="0" w:type="dxa"/>
              <w:right w:w="108" w:type="dxa"/>
            </w:tcMar>
          </w:tcPr>
          <w:p w14:paraId="1CD6A9D6"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Relevance to curriculum and learning goals</w:t>
            </w:r>
          </w:p>
        </w:tc>
        <w:tc>
          <w:tcPr>
            <w:tcW w:w="1516" w:type="dxa"/>
            <w:tcBorders>
              <w:top w:val="single" w:sz="4" w:space="0" w:color="auto"/>
            </w:tcBorders>
            <w:tcMar>
              <w:top w:w="0" w:type="dxa"/>
              <w:left w:w="108" w:type="dxa"/>
              <w:bottom w:w="0" w:type="dxa"/>
              <w:right w:w="108" w:type="dxa"/>
            </w:tcMar>
          </w:tcPr>
          <w:p w14:paraId="723E3561"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3.5 – 4.0</w:t>
            </w:r>
          </w:p>
        </w:tc>
        <w:tc>
          <w:tcPr>
            <w:tcW w:w="1985" w:type="dxa"/>
            <w:tcBorders>
              <w:top w:val="single" w:sz="4" w:space="0" w:color="auto"/>
            </w:tcBorders>
            <w:tcMar>
              <w:top w:w="0" w:type="dxa"/>
              <w:left w:w="108" w:type="dxa"/>
              <w:bottom w:w="0" w:type="dxa"/>
              <w:right w:w="108" w:type="dxa"/>
            </w:tcMar>
          </w:tcPr>
          <w:p w14:paraId="5792C4BF"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Good – Very Good</w:t>
            </w:r>
          </w:p>
        </w:tc>
      </w:tr>
      <w:tr w:rsidR="00251B7B" w:rsidRPr="00351D39" w14:paraId="0F0235F9" w14:textId="77777777" w:rsidTr="00E578C3">
        <w:trPr>
          <w:jc w:val="center"/>
        </w:trPr>
        <w:tc>
          <w:tcPr>
            <w:tcW w:w="3729" w:type="dxa"/>
            <w:tcMar>
              <w:top w:w="0" w:type="dxa"/>
              <w:left w:w="108" w:type="dxa"/>
              <w:bottom w:w="0" w:type="dxa"/>
              <w:right w:w="108" w:type="dxa"/>
            </w:tcMar>
          </w:tcPr>
          <w:p w14:paraId="79F55CC6"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Language clarity</w:t>
            </w:r>
          </w:p>
        </w:tc>
        <w:tc>
          <w:tcPr>
            <w:tcW w:w="1516" w:type="dxa"/>
            <w:tcMar>
              <w:top w:w="0" w:type="dxa"/>
              <w:left w:w="108" w:type="dxa"/>
              <w:bottom w:w="0" w:type="dxa"/>
              <w:right w:w="108" w:type="dxa"/>
            </w:tcMar>
          </w:tcPr>
          <w:p w14:paraId="54F51249"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lang w:eastAsia="id-ID"/>
              </w:rPr>
              <w:t>3.0 – 4.0</w:t>
            </w:r>
          </w:p>
        </w:tc>
        <w:tc>
          <w:tcPr>
            <w:tcW w:w="1985" w:type="dxa"/>
            <w:tcMar>
              <w:top w:w="0" w:type="dxa"/>
              <w:left w:w="108" w:type="dxa"/>
              <w:bottom w:w="0" w:type="dxa"/>
              <w:right w:w="108" w:type="dxa"/>
            </w:tcMar>
          </w:tcPr>
          <w:p w14:paraId="58CB6C2F"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Good</w:t>
            </w:r>
          </w:p>
        </w:tc>
      </w:tr>
      <w:tr w:rsidR="00251B7B" w:rsidRPr="00351D39" w14:paraId="051BBA6E" w14:textId="77777777" w:rsidTr="00E578C3">
        <w:trPr>
          <w:jc w:val="center"/>
        </w:trPr>
        <w:tc>
          <w:tcPr>
            <w:tcW w:w="3729" w:type="dxa"/>
            <w:tcMar>
              <w:top w:w="0" w:type="dxa"/>
              <w:left w:w="108" w:type="dxa"/>
              <w:bottom w:w="0" w:type="dxa"/>
              <w:right w:w="108" w:type="dxa"/>
            </w:tcMar>
          </w:tcPr>
          <w:p w14:paraId="62DD3E56"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Media design and visual appeal</w:t>
            </w:r>
          </w:p>
        </w:tc>
        <w:tc>
          <w:tcPr>
            <w:tcW w:w="1516" w:type="dxa"/>
            <w:tcMar>
              <w:top w:w="0" w:type="dxa"/>
              <w:left w:w="108" w:type="dxa"/>
              <w:bottom w:w="0" w:type="dxa"/>
              <w:right w:w="108" w:type="dxa"/>
            </w:tcMar>
          </w:tcPr>
          <w:p w14:paraId="5CAD61E0"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lang w:eastAsia="id-ID"/>
              </w:rPr>
              <w:t>3.0 – 4.0</w:t>
            </w:r>
          </w:p>
        </w:tc>
        <w:tc>
          <w:tcPr>
            <w:tcW w:w="1985" w:type="dxa"/>
            <w:tcMar>
              <w:top w:w="0" w:type="dxa"/>
              <w:left w:w="108" w:type="dxa"/>
              <w:bottom w:w="0" w:type="dxa"/>
              <w:right w:w="108" w:type="dxa"/>
            </w:tcMar>
          </w:tcPr>
          <w:p w14:paraId="0290B927"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lang w:eastAsia="id-ID"/>
              </w:rPr>
              <w:t>Good – Very Good</w:t>
            </w:r>
          </w:p>
        </w:tc>
      </w:tr>
      <w:tr w:rsidR="00251B7B" w:rsidRPr="00351D39" w14:paraId="6021AFF5" w14:textId="77777777" w:rsidTr="00E578C3">
        <w:trPr>
          <w:jc w:val="center"/>
        </w:trPr>
        <w:tc>
          <w:tcPr>
            <w:tcW w:w="3729" w:type="dxa"/>
            <w:tcMar>
              <w:top w:w="0" w:type="dxa"/>
              <w:left w:w="108" w:type="dxa"/>
              <w:bottom w:w="0" w:type="dxa"/>
              <w:right w:w="108" w:type="dxa"/>
            </w:tcMar>
          </w:tcPr>
          <w:p w14:paraId="13CBB65A"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Pocketbook illustrations and content</w:t>
            </w:r>
          </w:p>
        </w:tc>
        <w:tc>
          <w:tcPr>
            <w:tcW w:w="1516" w:type="dxa"/>
            <w:tcMar>
              <w:top w:w="0" w:type="dxa"/>
              <w:left w:w="108" w:type="dxa"/>
              <w:bottom w:w="0" w:type="dxa"/>
              <w:right w:w="108" w:type="dxa"/>
            </w:tcMar>
          </w:tcPr>
          <w:p w14:paraId="091F617F"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lang w:eastAsia="id-ID"/>
              </w:rPr>
              <w:t>3.5 – 4.0</w:t>
            </w:r>
          </w:p>
        </w:tc>
        <w:tc>
          <w:tcPr>
            <w:tcW w:w="1985" w:type="dxa"/>
            <w:tcMar>
              <w:top w:w="0" w:type="dxa"/>
              <w:left w:w="108" w:type="dxa"/>
              <w:bottom w:w="0" w:type="dxa"/>
              <w:right w:w="108" w:type="dxa"/>
            </w:tcMar>
          </w:tcPr>
          <w:p w14:paraId="13EC0252"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color w:val="000000"/>
                <w:lang w:eastAsia="id-ID"/>
              </w:rPr>
              <w:t>Good – Very Good</w:t>
            </w:r>
          </w:p>
        </w:tc>
      </w:tr>
      <w:tr w:rsidR="00251B7B" w:rsidRPr="00351D39" w14:paraId="47F877AE" w14:textId="77777777" w:rsidTr="00E578C3">
        <w:trPr>
          <w:jc w:val="center"/>
        </w:trPr>
        <w:tc>
          <w:tcPr>
            <w:tcW w:w="3729" w:type="dxa"/>
            <w:tcBorders>
              <w:bottom w:val="single" w:sz="4" w:space="0" w:color="auto"/>
            </w:tcBorders>
            <w:tcMar>
              <w:top w:w="0" w:type="dxa"/>
              <w:left w:w="108" w:type="dxa"/>
              <w:bottom w:w="0" w:type="dxa"/>
              <w:right w:w="108" w:type="dxa"/>
            </w:tcMar>
          </w:tcPr>
          <w:p w14:paraId="076839FD"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b/>
                <w:bCs/>
                <w:color w:val="000000"/>
                <w:lang w:eastAsia="id-ID"/>
              </w:rPr>
              <w:t>Overall Average</w:t>
            </w:r>
          </w:p>
        </w:tc>
        <w:tc>
          <w:tcPr>
            <w:tcW w:w="1516" w:type="dxa"/>
            <w:tcBorders>
              <w:bottom w:val="single" w:sz="4" w:space="0" w:color="auto"/>
            </w:tcBorders>
            <w:tcMar>
              <w:top w:w="0" w:type="dxa"/>
              <w:left w:w="108" w:type="dxa"/>
              <w:bottom w:w="0" w:type="dxa"/>
              <w:right w:w="108" w:type="dxa"/>
            </w:tcMar>
          </w:tcPr>
          <w:p w14:paraId="448550F6"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lang w:eastAsia="id-ID"/>
              </w:rPr>
              <w:t>3.6 – 4.0</w:t>
            </w:r>
          </w:p>
        </w:tc>
        <w:tc>
          <w:tcPr>
            <w:tcW w:w="1985" w:type="dxa"/>
            <w:tcBorders>
              <w:bottom w:val="single" w:sz="4" w:space="0" w:color="auto"/>
            </w:tcBorders>
            <w:tcMar>
              <w:top w:w="0" w:type="dxa"/>
              <w:left w:w="108" w:type="dxa"/>
              <w:bottom w:w="0" w:type="dxa"/>
              <w:right w:w="108" w:type="dxa"/>
            </w:tcMar>
          </w:tcPr>
          <w:p w14:paraId="497FD418" w14:textId="77777777" w:rsidR="00251B7B" w:rsidRPr="00351D39" w:rsidRDefault="00251B7B" w:rsidP="00351D39">
            <w:pPr>
              <w:jc w:val="both"/>
              <w:rPr>
                <w:rFonts w:asciiTheme="minorHAnsi" w:eastAsia="Bookman Old Style" w:hAnsiTheme="minorHAnsi" w:cstheme="minorHAnsi"/>
                <w:bCs/>
                <w:iCs/>
              </w:rPr>
            </w:pPr>
            <w:r w:rsidRPr="00351D39">
              <w:rPr>
                <w:rFonts w:asciiTheme="minorHAnsi" w:hAnsiTheme="minorHAnsi" w:cstheme="minorHAnsi"/>
                <w:lang w:eastAsia="id-ID"/>
              </w:rPr>
              <w:t>Good</w:t>
            </w:r>
          </w:p>
        </w:tc>
      </w:tr>
    </w:tbl>
    <w:p w14:paraId="22143BAF"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color w:val="000000"/>
          <w:sz w:val="24"/>
          <w:szCs w:val="24"/>
        </w:rPr>
      </w:pPr>
    </w:p>
    <w:p w14:paraId="7D426A82"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 results showed that the media was valid and suitable for classroom use. These findings are consistent with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Fajriyah (2018)</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who stated that ethnomathematics-based media generally fulfill the criteria of content and design validity.</w:t>
      </w:r>
    </w:p>
    <w:p w14:paraId="77FCF76E"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In the limited trial, more than 95% of students reported feeling happy, motivated, and active during learning. Teacher and student observations also showed average scores of 3–4, categorized as good to very good. This indicates that the product is practical and easy to implement. Similar findings were reported by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Sarafiah &amp; Khatimah (2023)</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who demonstrated that traditional game-based media encouraged student participation in mathematics lessons.</w:t>
      </w:r>
    </w:p>
    <w:p w14:paraId="3EAD410E" w14:textId="5315F51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The field trial confirmed the effectiveness of the media. The average posttest score increased from 66.19 to 82.23, while classical mastery rose from 52.38% to 90.47%. Normality tests showed that both pretest and posttest scores were normally distributed, and the calculated N-Gain of 0.60 (60.7%) was categorized as medium effectiveness.</w:t>
      </w:r>
    </w:p>
    <w:p w14:paraId="17A586F0" w14:textId="77777777" w:rsidR="00251B7B" w:rsidRPr="004F4C3E" w:rsidRDefault="00251B7B" w:rsidP="004F4C3E">
      <w:pPr>
        <w:pBdr>
          <w:top w:val="nil"/>
          <w:left w:val="nil"/>
          <w:bottom w:val="nil"/>
          <w:right w:val="nil"/>
          <w:between w:val="nil"/>
        </w:pBdr>
        <w:jc w:val="center"/>
        <w:rPr>
          <w:rFonts w:asciiTheme="minorHAnsi" w:hAnsiTheme="minorHAnsi" w:cstheme="minorHAnsi"/>
          <w:b/>
          <w:bCs/>
          <w:color w:val="000000"/>
        </w:rPr>
      </w:pPr>
      <w:r w:rsidRPr="004F4C3E">
        <w:rPr>
          <w:rFonts w:asciiTheme="minorHAnsi" w:hAnsiTheme="minorHAnsi" w:cstheme="minorHAnsi"/>
          <w:b/>
          <w:bCs/>
          <w:color w:val="000000"/>
        </w:rPr>
        <w:t>Tabel 2. Students’ Responses to Learning</w:t>
      </w:r>
    </w:p>
    <w:tbl>
      <w:tblPr>
        <w:tblW w:w="7235" w:type="dxa"/>
        <w:jc w:val="center"/>
        <w:tblLayout w:type="fixed"/>
        <w:tblLook w:val="04A0" w:firstRow="1" w:lastRow="0" w:firstColumn="1" w:lastColumn="0" w:noHBand="0" w:noVBand="1"/>
      </w:tblPr>
      <w:tblGrid>
        <w:gridCol w:w="4106"/>
        <w:gridCol w:w="709"/>
        <w:gridCol w:w="709"/>
        <w:gridCol w:w="850"/>
        <w:gridCol w:w="861"/>
      </w:tblGrid>
      <w:tr w:rsidR="004F4C3E" w:rsidRPr="00351D39" w14:paraId="1E161014" w14:textId="77777777" w:rsidTr="004106A3">
        <w:trPr>
          <w:trHeight w:val="382"/>
          <w:jc w:val="center"/>
        </w:trPr>
        <w:tc>
          <w:tcPr>
            <w:tcW w:w="4106" w:type="dxa"/>
            <w:tcBorders>
              <w:top w:val="single" w:sz="4" w:space="0" w:color="auto"/>
              <w:bottom w:val="single" w:sz="4" w:space="0" w:color="auto"/>
            </w:tcBorders>
            <w:tcMar>
              <w:top w:w="0" w:type="dxa"/>
              <w:left w:w="108" w:type="dxa"/>
              <w:bottom w:w="0" w:type="dxa"/>
              <w:right w:w="108" w:type="dxa"/>
            </w:tcMar>
            <w:vAlign w:val="center"/>
          </w:tcPr>
          <w:p w14:paraId="4436584A" w14:textId="77777777" w:rsidR="00251B7B" w:rsidRPr="004F4C3E" w:rsidRDefault="00251B7B" w:rsidP="004106A3">
            <w:pPr>
              <w:jc w:val="center"/>
              <w:rPr>
                <w:rFonts w:asciiTheme="minorHAnsi" w:eastAsia="Bookman Old Style" w:hAnsiTheme="minorHAnsi" w:cstheme="minorHAnsi"/>
                <w:bCs/>
                <w:iCs/>
              </w:rPr>
            </w:pPr>
            <w:r w:rsidRPr="004F4C3E">
              <w:rPr>
                <w:rFonts w:asciiTheme="minorHAnsi" w:hAnsiTheme="minorHAnsi" w:cstheme="minorHAnsi"/>
                <w:b/>
                <w:bCs/>
                <w:lang w:eastAsia="id-ID"/>
              </w:rPr>
              <w:t>Statement</w:t>
            </w:r>
          </w:p>
        </w:tc>
        <w:tc>
          <w:tcPr>
            <w:tcW w:w="709" w:type="dxa"/>
            <w:tcBorders>
              <w:top w:val="single" w:sz="4" w:space="0" w:color="auto"/>
              <w:bottom w:val="single" w:sz="4" w:space="0" w:color="auto"/>
            </w:tcBorders>
            <w:tcMar>
              <w:top w:w="0" w:type="dxa"/>
              <w:left w:w="108" w:type="dxa"/>
              <w:bottom w:w="0" w:type="dxa"/>
              <w:right w:w="108" w:type="dxa"/>
            </w:tcMar>
            <w:vAlign w:val="center"/>
          </w:tcPr>
          <w:p w14:paraId="73E5E413" w14:textId="77777777" w:rsidR="00251B7B" w:rsidRPr="004F4C3E" w:rsidRDefault="00251B7B" w:rsidP="004106A3">
            <w:pPr>
              <w:jc w:val="center"/>
              <w:rPr>
                <w:rFonts w:asciiTheme="minorHAnsi" w:eastAsia="Bookman Old Style" w:hAnsiTheme="minorHAnsi" w:cstheme="minorHAnsi"/>
                <w:bCs/>
                <w:iCs/>
              </w:rPr>
            </w:pPr>
            <w:r w:rsidRPr="004F4C3E">
              <w:rPr>
                <w:rFonts w:asciiTheme="minorHAnsi" w:hAnsiTheme="minorHAnsi" w:cstheme="minorHAnsi"/>
                <w:b/>
                <w:bCs/>
                <w:color w:val="000000"/>
                <w:lang w:eastAsia="id-ID"/>
              </w:rPr>
              <w:t>Yes</w:t>
            </w:r>
          </w:p>
        </w:tc>
        <w:tc>
          <w:tcPr>
            <w:tcW w:w="709" w:type="dxa"/>
            <w:tcBorders>
              <w:top w:val="single" w:sz="4" w:space="0" w:color="auto"/>
              <w:bottom w:val="single" w:sz="4" w:space="0" w:color="auto"/>
            </w:tcBorders>
            <w:tcMar>
              <w:top w:w="0" w:type="dxa"/>
              <w:left w:w="108" w:type="dxa"/>
              <w:bottom w:w="0" w:type="dxa"/>
              <w:right w:w="108" w:type="dxa"/>
            </w:tcMar>
            <w:vAlign w:val="center"/>
          </w:tcPr>
          <w:p w14:paraId="556B9AE5" w14:textId="77777777" w:rsidR="00251B7B" w:rsidRPr="004F4C3E" w:rsidRDefault="00251B7B" w:rsidP="004106A3">
            <w:pPr>
              <w:jc w:val="center"/>
              <w:rPr>
                <w:rFonts w:asciiTheme="minorHAnsi" w:eastAsia="Bookman Old Style" w:hAnsiTheme="minorHAnsi" w:cstheme="minorHAnsi"/>
                <w:bCs/>
                <w:iCs/>
              </w:rPr>
            </w:pPr>
            <w:r w:rsidRPr="004F4C3E">
              <w:rPr>
                <w:rFonts w:asciiTheme="minorHAnsi" w:hAnsiTheme="minorHAnsi" w:cstheme="minorHAnsi"/>
                <w:b/>
                <w:bCs/>
                <w:lang w:eastAsia="id-ID"/>
              </w:rPr>
              <w:t>No</w:t>
            </w:r>
          </w:p>
        </w:tc>
        <w:tc>
          <w:tcPr>
            <w:tcW w:w="850" w:type="dxa"/>
            <w:tcBorders>
              <w:top w:val="single" w:sz="4" w:space="0" w:color="auto"/>
              <w:bottom w:val="single" w:sz="4" w:space="0" w:color="auto"/>
            </w:tcBorders>
            <w:tcMar>
              <w:top w:w="0" w:type="dxa"/>
              <w:left w:w="108" w:type="dxa"/>
              <w:bottom w:w="0" w:type="dxa"/>
              <w:right w:w="108" w:type="dxa"/>
            </w:tcMar>
            <w:vAlign w:val="center"/>
          </w:tcPr>
          <w:p w14:paraId="1C2235E9" w14:textId="77777777" w:rsidR="00251B7B" w:rsidRPr="004F4C3E" w:rsidRDefault="00251B7B" w:rsidP="004106A3">
            <w:pPr>
              <w:jc w:val="center"/>
              <w:rPr>
                <w:rFonts w:asciiTheme="minorHAnsi" w:eastAsia="Bookman Old Style" w:hAnsiTheme="minorHAnsi" w:cstheme="minorHAnsi"/>
                <w:bCs/>
                <w:iCs/>
              </w:rPr>
            </w:pPr>
            <w:r w:rsidRPr="004F4C3E">
              <w:rPr>
                <w:rFonts w:asciiTheme="minorHAnsi" w:hAnsiTheme="minorHAnsi" w:cstheme="minorHAnsi"/>
                <w:b/>
                <w:bCs/>
                <w:color w:val="000000"/>
                <w:lang w:eastAsia="id-ID"/>
              </w:rPr>
              <w:t>% Yes</w:t>
            </w:r>
          </w:p>
        </w:tc>
        <w:tc>
          <w:tcPr>
            <w:tcW w:w="861" w:type="dxa"/>
            <w:tcBorders>
              <w:top w:val="single" w:sz="4" w:space="0" w:color="auto"/>
              <w:bottom w:val="single" w:sz="4" w:space="0" w:color="auto"/>
            </w:tcBorders>
            <w:tcMar>
              <w:top w:w="0" w:type="dxa"/>
              <w:left w:w="108" w:type="dxa"/>
              <w:bottom w:w="0" w:type="dxa"/>
              <w:right w:w="108" w:type="dxa"/>
            </w:tcMar>
            <w:vAlign w:val="center"/>
          </w:tcPr>
          <w:p w14:paraId="705593DA" w14:textId="03ECACD7" w:rsidR="00251B7B" w:rsidRPr="004F4C3E" w:rsidRDefault="00251B7B" w:rsidP="004106A3">
            <w:pPr>
              <w:jc w:val="center"/>
              <w:rPr>
                <w:rFonts w:asciiTheme="minorHAnsi" w:hAnsiTheme="minorHAnsi" w:cstheme="minorHAnsi"/>
                <w:b/>
                <w:bCs/>
                <w:lang w:eastAsia="id-ID"/>
              </w:rPr>
            </w:pPr>
            <w:r w:rsidRPr="004F4C3E">
              <w:rPr>
                <w:rFonts w:asciiTheme="minorHAnsi" w:hAnsiTheme="minorHAnsi" w:cstheme="minorHAnsi"/>
                <w:b/>
                <w:bCs/>
                <w:lang w:eastAsia="id-ID"/>
              </w:rPr>
              <w:t>%</w:t>
            </w:r>
            <w:r w:rsidR="004F4C3E">
              <w:rPr>
                <w:rFonts w:asciiTheme="minorHAnsi" w:hAnsiTheme="minorHAnsi" w:cstheme="minorHAnsi"/>
                <w:b/>
                <w:bCs/>
                <w:lang w:eastAsia="id-ID"/>
              </w:rPr>
              <w:t xml:space="preserve"> </w:t>
            </w:r>
            <w:r w:rsidRPr="004F4C3E">
              <w:rPr>
                <w:rFonts w:asciiTheme="minorHAnsi" w:hAnsiTheme="minorHAnsi" w:cstheme="minorHAnsi"/>
                <w:b/>
                <w:bCs/>
                <w:lang w:eastAsia="id-ID"/>
              </w:rPr>
              <w:t>No</w:t>
            </w:r>
          </w:p>
        </w:tc>
      </w:tr>
      <w:tr w:rsidR="004F4C3E" w:rsidRPr="00351D39" w14:paraId="7A686F6A" w14:textId="77777777" w:rsidTr="004106A3">
        <w:trPr>
          <w:trHeight w:val="467"/>
          <w:jc w:val="center"/>
        </w:trPr>
        <w:tc>
          <w:tcPr>
            <w:tcW w:w="4106" w:type="dxa"/>
            <w:tcBorders>
              <w:top w:val="single" w:sz="4" w:space="0" w:color="auto"/>
            </w:tcBorders>
            <w:tcMar>
              <w:top w:w="0" w:type="dxa"/>
              <w:left w:w="108" w:type="dxa"/>
              <w:bottom w:w="0" w:type="dxa"/>
              <w:right w:w="108" w:type="dxa"/>
            </w:tcMar>
          </w:tcPr>
          <w:p w14:paraId="4F7388BC"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 xml:space="preserve">I find it easier to understand plane geometry using the </w:t>
            </w:r>
            <w:proofErr w:type="spellStart"/>
            <w:r w:rsidRPr="004F4C3E">
              <w:rPr>
                <w:rFonts w:asciiTheme="minorHAnsi" w:hAnsiTheme="minorHAnsi" w:cstheme="minorHAnsi"/>
                <w:color w:val="000000"/>
                <w:lang w:eastAsia="id-ID"/>
              </w:rPr>
              <w:t>Mpa’a</w:t>
            </w:r>
            <w:proofErr w:type="spellEnd"/>
            <w:r w:rsidRPr="004F4C3E">
              <w:rPr>
                <w:rFonts w:asciiTheme="minorHAnsi" w:hAnsiTheme="minorHAnsi" w:cstheme="minorHAnsi"/>
                <w:color w:val="000000"/>
                <w:lang w:eastAsia="id-ID"/>
              </w:rPr>
              <w:t xml:space="preserve"> Gopa game media</w:t>
            </w:r>
          </w:p>
        </w:tc>
        <w:tc>
          <w:tcPr>
            <w:tcW w:w="709" w:type="dxa"/>
            <w:tcBorders>
              <w:top w:val="single" w:sz="4" w:space="0" w:color="auto"/>
            </w:tcBorders>
            <w:tcMar>
              <w:top w:w="0" w:type="dxa"/>
              <w:left w:w="108" w:type="dxa"/>
              <w:bottom w:w="0" w:type="dxa"/>
              <w:right w:w="108" w:type="dxa"/>
            </w:tcMar>
          </w:tcPr>
          <w:p w14:paraId="1E517A5A"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Borders>
              <w:top w:val="single" w:sz="4" w:space="0" w:color="auto"/>
            </w:tcBorders>
            <w:tcMar>
              <w:top w:w="0" w:type="dxa"/>
              <w:left w:w="108" w:type="dxa"/>
              <w:bottom w:w="0" w:type="dxa"/>
              <w:right w:w="108" w:type="dxa"/>
            </w:tcMar>
          </w:tcPr>
          <w:p w14:paraId="36CF914F"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Borders>
              <w:top w:val="single" w:sz="4" w:space="0" w:color="auto"/>
            </w:tcBorders>
            <w:tcMar>
              <w:top w:w="0" w:type="dxa"/>
              <w:left w:w="108" w:type="dxa"/>
              <w:bottom w:w="0" w:type="dxa"/>
              <w:right w:w="108" w:type="dxa"/>
            </w:tcMar>
          </w:tcPr>
          <w:p w14:paraId="54064988"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color w:val="000000"/>
                <w:lang w:eastAsia="id-ID"/>
              </w:rPr>
              <w:t>100 %</w:t>
            </w:r>
          </w:p>
        </w:tc>
        <w:tc>
          <w:tcPr>
            <w:tcW w:w="861" w:type="dxa"/>
            <w:tcBorders>
              <w:top w:val="single" w:sz="4" w:space="0" w:color="auto"/>
            </w:tcBorders>
            <w:tcMar>
              <w:top w:w="0" w:type="dxa"/>
              <w:left w:w="108" w:type="dxa"/>
              <w:bottom w:w="0" w:type="dxa"/>
              <w:right w:w="108" w:type="dxa"/>
            </w:tcMar>
          </w:tcPr>
          <w:p w14:paraId="103FCB57"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7DB2136E" w14:textId="77777777" w:rsidTr="004106A3">
        <w:trPr>
          <w:trHeight w:val="277"/>
          <w:jc w:val="center"/>
        </w:trPr>
        <w:tc>
          <w:tcPr>
            <w:tcW w:w="4106" w:type="dxa"/>
            <w:tcMar>
              <w:top w:w="0" w:type="dxa"/>
              <w:left w:w="108" w:type="dxa"/>
              <w:bottom w:w="0" w:type="dxa"/>
              <w:right w:w="108" w:type="dxa"/>
            </w:tcMar>
          </w:tcPr>
          <w:p w14:paraId="13873929"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I am more active when learning in groups</w:t>
            </w:r>
          </w:p>
        </w:tc>
        <w:tc>
          <w:tcPr>
            <w:tcW w:w="709" w:type="dxa"/>
            <w:tcMar>
              <w:top w:w="0" w:type="dxa"/>
              <w:left w:w="108" w:type="dxa"/>
              <w:bottom w:w="0" w:type="dxa"/>
              <w:right w:w="108" w:type="dxa"/>
            </w:tcMar>
          </w:tcPr>
          <w:p w14:paraId="45A892EA"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color w:val="000000"/>
                <w:lang w:eastAsia="id-ID"/>
              </w:rPr>
              <w:t>18</w:t>
            </w:r>
          </w:p>
        </w:tc>
        <w:tc>
          <w:tcPr>
            <w:tcW w:w="709" w:type="dxa"/>
            <w:tcMar>
              <w:top w:w="0" w:type="dxa"/>
              <w:left w:w="108" w:type="dxa"/>
              <w:bottom w:w="0" w:type="dxa"/>
              <w:right w:w="108" w:type="dxa"/>
            </w:tcMar>
          </w:tcPr>
          <w:p w14:paraId="6F18FD9C"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color w:val="000000"/>
                <w:lang w:eastAsia="id-ID"/>
              </w:rPr>
              <w:t>2</w:t>
            </w:r>
          </w:p>
        </w:tc>
        <w:tc>
          <w:tcPr>
            <w:tcW w:w="850" w:type="dxa"/>
            <w:tcMar>
              <w:top w:w="0" w:type="dxa"/>
              <w:left w:w="108" w:type="dxa"/>
              <w:bottom w:w="0" w:type="dxa"/>
              <w:right w:w="108" w:type="dxa"/>
            </w:tcMar>
          </w:tcPr>
          <w:p w14:paraId="2CC64B60"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color w:val="000000"/>
                <w:lang w:eastAsia="id-ID"/>
              </w:rPr>
              <w:t>90%</w:t>
            </w:r>
          </w:p>
        </w:tc>
        <w:tc>
          <w:tcPr>
            <w:tcW w:w="861" w:type="dxa"/>
            <w:tcMar>
              <w:top w:w="0" w:type="dxa"/>
              <w:left w:w="108" w:type="dxa"/>
              <w:bottom w:w="0" w:type="dxa"/>
              <w:right w:w="108" w:type="dxa"/>
            </w:tcMar>
          </w:tcPr>
          <w:p w14:paraId="4E466589"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10 %</w:t>
            </w:r>
          </w:p>
        </w:tc>
      </w:tr>
      <w:tr w:rsidR="004F4C3E" w:rsidRPr="00351D39" w14:paraId="6CE6B28C" w14:textId="77777777" w:rsidTr="004106A3">
        <w:trPr>
          <w:trHeight w:val="382"/>
          <w:jc w:val="center"/>
        </w:trPr>
        <w:tc>
          <w:tcPr>
            <w:tcW w:w="4106" w:type="dxa"/>
            <w:tcMar>
              <w:top w:w="0" w:type="dxa"/>
              <w:left w:w="108" w:type="dxa"/>
              <w:bottom w:w="0" w:type="dxa"/>
              <w:right w:w="108" w:type="dxa"/>
            </w:tcMar>
          </w:tcPr>
          <w:p w14:paraId="33A05AEC"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Connecting the material to real-life experiences motivates me to learn more</w:t>
            </w:r>
          </w:p>
        </w:tc>
        <w:tc>
          <w:tcPr>
            <w:tcW w:w="709" w:type="dxa"/>
            <w:tcMar>
              <w:top w:w="0" w:type="dxa"/>
              <w:left w:w="108" w:type="dxa"/>
              <w:bottom w:w="0" w:type="dxa"/>
              <w:right w:w="108" w:type="dxa"/>
            </w:tcMar>
          </w:tcPr>
          <w:p w14:paraId="29CCE23B"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color w:val="000000"/>
                <w:lang w:eastAsia="id-ID"/>
              </w:rPr>
              <w:t>20</w:t>
            </w:r>
          </w:p>
        </w:tc>
        <w:tc>
          <w:tcPr>
            <w:tcW w:w="709" w:type="dxa"/>
            <w:tcMar>
              <w:top w:w="0" w:type="dxa"/>
              <w:left w:w="108" w:type="dxa"/>
              <w:bottom w:w="0" w:type="dxa"/>
              <w:right w:w="108" w:type="dxa"/>
            </w:tcMar>
          </w:tcPr>
          <w:p w14:paraId="340FCAC0"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5CE1EF01"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629AEF99"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46058E87" w14:textId="77777777" w:rsidTr="004106A3">
        <w:trPr>
          <w:trHeight w:val="100"/>
          <w:jc w:val="center"/>
        </w:trPr>
        <w:tc>
          <w:tcPr>
            <w:tcW w:w="4106" w:type="dxa"/>
            <w:tcMar>
              <w:top w:w="0" w:type="dxa"/>
              <w:left w:w="108" w:type="dxa"/>
              <w:bottom w:w="0" w:type="dxa"/>
              <w:right w:w="108" w:type="dxa"/>
            </w:tcMar>
          </w:tcPr>
          <w:p w14:paraId="695C8943"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Relating the material to what I have learned before helps me understand better</w:t>
            </w:r>
          </w:p>
        </w:tc>
        <w:tc>
          <w:tcPr>
            <w:tcW w:w="709" w:type="dxa"/>
            <w:tcMar>
              <w:top w:w="0" w:type="dxa"/>
              <w:left w:w="108" w:type="dxa"/>
              <w:bottom w:w="0" w:type="dxa"/>
              <w:right w:w="108" w:type="dxa"/>
            </w:tcMar>
          </w:tcPr>
          <w:p w14:paraId="1E0AB877"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1C538101"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4A88B9B0"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7A4862DC"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283A88DD" w14:textId="77777777" w:rsidTr="004106A3">
        <w:trPr>
          <w:trHeight w:val="100"/>
          <w:jc w:val="center"/>
        </w:trPr>
        <w:tc>
          <w:tcPr>
            <w:tcW w:w="4106" w:type="dxa"/>
            <w:tcMar>
              <w:top w:w="0" w:type="dxa"/>
              <w:left w:w="108" w:type="dxa"/>
              <w:bottom w:w="0" w:type="dxa"/>
              <w:right w:w="108" w:type="dxa"/>
            </w:tcMar>
          </w:tcPr>
          <w:p w14:paraId="5E39AD94"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I enjoy learning through games, so I do not feel bored studying mathematics</w:t>
            </w:r>
          </w:p>
        </w:tc>
        <w:tc>
          <w:tcPr>
            <w:tcW w:w="709" w:type="dxa"/>
            <w:tcMar>
              <w:top w:w="0" w:type="dxa"/>
              <w:left w:w="108" w:type="dxa"/>
              <w:bottom w:w="0" w:type="dxa"/>
              <w:right w:w="108" w:type="dxa"/>
            </w:tcMar>
          </w:tcPr>
          <w:p w14:paraId="65C4ED1E"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4EC97662"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21CF6951"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2D08087E"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371D9B70" w14:textId="77777777" w:rsidTr="004106A3">
        <w:trPr>
          <w:trHeight w:val="100"/>
          <w:jc w:val="center"/>
        </w:trPr>
        <w:tc>
          <w:tcPr>
            <w:tcW w:w="4106" w:type="dxa"/>
            <w:tcMar>
              <w:top w:w="0" w:type="dxa"/>
              <w:left w:w="108" w:type="dxa"/>
              <w:bottom w:w="0" w:type="dxa"/>
              <w:right w:w="108" w:type="dxa"/>
            </w:tcMar>
          </w:tcPr>
          <w:p w14:paraId="68A15DE0"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 xml:space="preserve">The </w:t>
            </w:r>
            <w:proofErr w:type="spellStart"/>
            <w:r w:rsidRPr="004F4C3E">
              <w:rPr>
                <w:rFonts w:asciiTheme="minorHAnsi" w:hAnsiTheme="minorHAnsi" w:cstheme="minorHAnsi"/>
                <w:color w:val="000000"/>
                <w:lang w:eastAsia="id-ID"/>
              </w:rPr>
              <w:t>Mpa’a</w:t>
            </w:r>
            <w:proofErr w:type="spellEnd"/>
            <w:r w:rsidRPr="004F4C3E">
              <w:rPr>
                <w:rFonts w:asciiTheme="minorHAnsi" w:hAnsiTheme="minorHAnsi" w:cstheme="minorHAnsi"/>
                <w:color w:val="000000"/>
                <w:lang w:eastAsia="id-ID"/>
              </w:rPr>
              <w:t xml:space="preserve"> Gopa game media enhances my understanding of both culture and mathematics</w:t>
            </w:r>
          </w:p>
        </w:tc>
        <w:tc>
          <w:tcPr>
            <w:tcW w:w="709" w:type="dxa"/>
            <w:tcMar>
              <w:top w:w="0" w:type="dxa"/>
              <w:left w:w="108" w:type="dxa"/>
              <w:bottom w:w="0" w:type="dxa"/>
              <w:right w:w="108" w:type="dxa"/>
            </w:tcMar>
          </w:tcPr>
          <w:p w14:paraId="119B412E"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0C203D48"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4BDBB624"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46E76BC1"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37371075" w14:textId="77777777" w:rsidTr="004106A3">
        <w:trPr>
          <w:trHeight w:val="100"/>
          <w:jc w:val="center"/>
        </w:trPr>
        <w:tc>
          <w:tcPr>
            <w:tcW w:w="4106" w:type="dxa"/>
            <w:tcMar>
              <w:top w:w="0" w:type="dxa"/>
              <w:left w:w="108" w:type="dxa"/>
              <w:bottom w:w="0" w:type="dxa"/>
              <w:right w:w="108" w:type="dxa"/>
            </w:tcMar>
          </w:tcPr>
          <w:p w14:paraId="05E0E6BE"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lastRenderedPageBreak/>
              <w:t>Applying mathematical ideas to problem-solving improves my understanding</w:t>
            </w:r>
          </w:p>
        </w:tc>
        <w:tc>
          <w:tcPr>
            <w:tcW w:w="709" w:type="dxa"/>
            <w:tcMar>
              <w:top w:w="0" w:type="dxa"/>
              <w:left w:w="108" w:type="dxa"/>
              <w:bottom w:w="0" w:type="dxa"/>
              <w:right w:w="108" w:type="dxa"/>
            </w:tcMar>
          </w:tcPr>
          <w:p w14:paraId="2000AC57"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54E04A9D"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3B9B4E0A"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500DA9C7"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790E932C" w14:textId="77777777" w:rsidTr="004106A3">
        <w:trPr>
          <w:trHeight w:val="100"/>
          <w:jc w:val="center"/>
        </w:trPr>
        <w:tc>
          <w:tcPr>
            <w:tcW w:w="4106" w:type="dxa"/>
            <w:tcMar>
              <w:top w:w="0" w:type="dxa"/>
              <w:left w:w="108" w:type="dxa"/>
              <w:bottom w:w="0" w:type="dxa"/>
              <w:right w:w="108" w:type="dxa"/>
            </w:tcMar>
          </w:tcPr>
          <w:p w14:paraId="567F3830"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Completing exercises in the booklet motivates me to build deeper comprehension</w:t>
            </w:r>
          </w:p>
        </w:tc>
        <w:tc>
          <w:tcPr>
            <w:tcW w:w="709" w:type="dxa"/>
            <w:tcMar>
              <w:top w:w="0" w:type="dxa"/>
              <w:left w:w="108" w:type="dxa"/>
              <w:bottom w:w="0" w:type="dxa"/>
              <w:right w:w="108" w:type="dxa"/>
            </w:tcMar>
          </w:tcPr>
          <w:p w14:paraId="699B618D"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08FA4F71"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05C66723"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276F6F53"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60C7402F" w14:textId="77777777" w:rsidTr="004106A3">
        <w:trPr>
          <w:trHeight w:val="100"/>
          <w:jc w:val="center"/>
        </w:trPr>
        <w:tc>
          <w:tcPr>
            <w:tcW w:w="4106" w:type="dxa"/>
            <w:tcMar>
              <w:top w:w="0" w:type="dxa"/>
              <w:left w:w="108" w:type="dxa"/>
              <w:bottom w:w="0" w:type="dxa"/>
              <w:right w:w="108" w:type="dxa"/>
            </w:tcMar>
          </w:tcPr>
          <w:p w14:paraId="3F30FEE3"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I feel challenged and motivated when solving evaluation activities</w:t>
            </w:r>
          </w:p>
        </w:tc>
        <w:tc>
          <w:tcPr>
            <w:tcW w:w="709" w:type="dxa"/>
            <w:tcMar>
              <w:top w:w="0" w:type="dxa"/>
              <w:left w:w="108" w:type="dxa"/>
              <w:bottom w:w="0" w:type="dxa"/>
              <w:right w:w="108" w:type="dxa"/>
            </w:tcMar>
          </w:tcPr>
          <w:p w14:paraId="55AF26B3"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3B6C91DF"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4F24E09E"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54C9E79C"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77AD38E5" w14:textId="77777777" w:rsidTr="00BE2280">
        <w:trPr>
          <w:trHeight w:val="100"/>
          <w:jc w:val="center"/>
        </w:trPr>
        <w:tc>
          <w:tcPr>
            <w:tcW w:w="4106" w:type="dxa"/>
            <w:tcMar>
              <w:top w:w="0" w:type="dxa"/>
              <w:left w:w="108" w:type="dxa"/>
              <w:bottom w:w="0" w:type="dxa"/>
              <w:right w:w="108" w:type="dxa"/>
            </w:tcMar>
          </w:tcPr>
          <w:p w14:paraId="56F63638"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color w:val="000000"/>
                <w:lang w:eastAsia="id-ID"/>
              </w:rPr>
              <w:t>The exercises in the booklet train me to connect mathematical concepts to solve problems</w:t>
            </w:r>
          </w:p>
        </w:tc>
        <w:tc>
          <w:tcPr>
            <w:tcW w:w="709" w:type="dxa"/>
            <w:tcMar>
              <w:top w:w="0" w:type="dxa"/>
              <w:left w:w="108" w:type="dxa"/>
              <w:bottom w:w="0" w:type="dxa"/>
              <w:right w:w="108" w:type="dxa"/>
            </w:tcMar>
          </w:tcPr>
          <w:p w14:paraId="3E8AF8CE"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20</w:t>
            </w:r>
          </w:p>
        </w:tc>
        <w:tc>
          <w:tcPr>
            <w:tcW w:w="709" w:type="dxa"/>
            <w:tcMar>
              <w:top w:w="0" w:type="dxa"/>
              <w:left w:w="108" w:type="dxa"/>
              <w:bottom w:w="0" w:type="dxa"/>
              <w:right w:w="108" w:type="dxa"/>
            </w:tcMar>
          </w:tcPr>
          <w:p w14:paraId="7477D757"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w:t>
            </w:r>
          </w:p>
        </w:tc>
        <w:tc>
          <w:tcPr>
            <w:tcW w:w="850" w:type="dxa"/>
            <w:tcMar>
              <w:top w:w="0" w:type="dxa"/>
              <w:left w:w="108" w:type="dxa"/>
              <w:bottom w:w="0" w:type="dxa"/>
              <w:right w:w="108" w:type="dxa"/>
            </w:tcMar>
          </w:tcPr>
          <w:p w14:paraId="348D2303"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100 %</w:t>
            </w:r>
          </w:p>
        </w:tc>
        <w:tc>
          <w:tcPr>
            <w:tcW w:w="861" w:type="dxa"/>
            <w:tcMar>
              <w:top w:w="0" w:type="dxa"/>
              <w:left w:w="108" w:type="dxa"/>
              <w:bottom w:w="0" w:type="dxa"/>
              <w:right w:w="108" w:type="dxa"/>
            </w:tcMar>
          </w:tcPr>
          <w:p w14:paraId="2584EE0D"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lang w:eastAsia="id-ID"/>
              </w:rPr>
              <w:t>0 %</w:t>
            </w:r>
          </w:p>
        </w:tc>
      </w:tr>
      <w:tr w:rsidR="004F4C3E" w:rsidRPr="00351D39" w14:paraId="77D26B9F" w14:textId="77777777" w:rsidTr="00BE2280">
        <w:trPr>
          <w:trHeight w:val="100"/>
          <w:jc w:val="center"/>
        </w:trPr>
        <w:tc>
          <w:tcPr>
            <w:tcW w:w="4106" w:type="dxa"/>
            <w:tcBorders>
              <w:bottom w:val="single" w:sz="4" w:space="0" w:color="auto"/>
            </w:tcBorders>
            <w:tcMar>
              <w:top w:w="0" w:type="dxa"/>
              <w:left w:w="108" w:type="dxa"/>
              <w:bottom w:w="0" w:type="dxa"/>
              <w:right w:w="108" w:type="dxa"/>
            </w:tcMar>
          </w:tcPr>
          <w:p w14:paraId="4B6C90AB" w14:textId="77777777" w:rsidR="00251B7B" w:rsidRPr="004F4C3E" w:rsidRDefault="00251B7B" w:rsidP="004F4C3E">
            <w:pPr>
              <w:jc w:val="both"/>
              <w:rPr>
                <w:rFonts w:asciiTheme="minorHAnsi" w:eastAsia="Bookman Old Style" w:hAnsiTheme="minorHAnsi" w:cstheme="minorHAnsi"/>
                <w:bCs/>
                <w:iCs/>
              </w:rPr>
            </w:pPr>
            <w:r w:rsidRPr="004F4C3E">
              <w:rPr>
                <w:rFonts w:asciiTheme="minorHAnsi" w:hAnsiTheme="minorHAnsi" w:cstheme="minorHAnsi"/>
                <w:b/>
                <w:bCs/>
                <w:color w:val="000000"/>
                <w:lang w:eastAsia="id-ID"/>
              </w:rPr>
              <w:t>Total</w:t>
            </w:r>
          </w:p>
        </w:tc>
        <w:tc>
          <w:tcPr>
            <w:tcW w:w="709" w:type="dxa"/>
            <w:tcBorders>
              <w:bottom w:val="single" w:sz="4" w:space="0" w:color="auto"/>
            </w:tcBorders>
            <w:tcMar>
              <w:top w:w="0" w:type="dxa"/>
              <w:left w:w="108" w:type="dxa"/>
              <w:bottom w:w="0" w:type="dxa"/>
              <w:right w:w="108" w:type="dxa"/>
            </w:tcMar>
          </w:tcPr>
          <w:p w14:paraId="1EF6C41E"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b/>
                <w:bCs/>
                <w:lang w:eastAsia="id-ID"/>
              </w:rPr>
              <w:t>198</w:t>
            </w:r>
          </w:p>
        </w:tc>
        <w:tc>
          <w:tcPr>
            <w:tcW w:w="709" w:type="dxa"/>
            <w:tcBorders>
              <w:bottom w:val="single" w:sz="4" w:space="0" w:color="auto"/>
            </w:tcBorders>
            <w:tcMar>
              <w:top w:w="0" w:type="dxa"/>
              <w:left w:w="108" w:type="dxa"/>
              <w:bottom w:w="0" w:type="dxa"/>
              <w:right w:w="108" w:type="dxa"/>
            </w:tcMar>
          </w:tcPr>
          <w:p w14:paraId="7BCE7E20"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b/>
                <w:bCs/>
                <w:lang w:eastAsia="id-ID"/>
              </w:rPr>
              <w:t>2</w:t>
            </w:r>
          </w:p>
        </w:tc>
        <w:tc>
          <w:tcPr>
            <w:tcW w:w="850" w:type="dxa"/>
            <w:tcBorders>
              <w:bottom w:val="single" w:sz="4" w:space="0" w:color="auto"/>
            </w:tcBorders>
            <w:tcMar>
              <w:top w:w="0" w:type="dxa"/>
              <w:left w:w="108" w:type="dxa"/>
              <w:bottom w:w="0" w:type="dxa"/>
              <w:right w:w="108" w:type="dxa"/>
            </w:tcMar>
          </w:tcPr>
          <w:p w14:paraId="3BC9798D"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b/>
                <w:bCs/>
                <w:lang w:eastAsia="id-ID"/>
              </w:rPr>
              <w:t>99%</w:t>
            </w:r>
          </w:p>
        </w:tc>
        <w:tc>
          <w:tcPr>
            <w:tcW w:w="861" w:type="dxa"/>
            <w:tcBorders>
              <w:bottom w:val="single" w:sz="4" w:space="0" w:color="auto"/>
            </w:tcBorders>
            <w:tcMar>
              <w:top w:w="0" w:type="dxa"/>
              <w:left w:w="108" w:type="dxa"/>
              <w:bottom w:w="0" w:type="dxa"/>
              <w:right w:w="108" w:type="dxa"/>
            </w:tcMar>
          </w:tcPr>
          <w:p w14:paraId="3B48EDAA" w14:textId="77777777" w:rsidR="00251B7B" w:rsidRPr="004F4C3E" w:rsidRDefault="00251B7B" w:rsidP="004F4C3E">
            <w:pPr>
              <w:rPr>
                <w:rFonts w:asciiTheme="minorHAnsi" w:eastAsia="Bookman Old Style" w:hAnsiTheme="minorHAnsi" w:cstheme="minorHAnsi"/>
                <w:bCs/>
                <w:iCs/>
              </w:rPr>
            </w:pPr>
            <w:r w:rsidRPr="004F4C3E">
              <w:rPr>
                <w:rFonts w:asciiTheme="minorHAnsi" w:hAnsiTheme="minorHAnsi" w:cstheme="minorHAnsi"/>
                <w:b/>
                <w:bCs/>
                <w:lang w:eastAsia="id-ID"/>
              </w:rPr>
              <w:t>1%</w:t>
            </w:r>
          </w:p>
        </w:tc>
      </w:tr>
    </w:tbl>
    <w:p w14:paraId="081A0C86" w14:textId="77777777" w:rsidR="00B15138" w:rsidRDefault="00B15138" w:rsidP="00B15138">
      <w:pPr>
        <w:ind w:firstLine="567"/>
        <w:jc w:val="both"/>
        <w:rPr>
          <w:rFonts w:asciiTheme="minorHAnsi" w:hAnsiTheme="minorHAnsi" w:cstheme="minorHAnsi"/>
          <w:color w:val="000000"/>
          <w:sz w:val="24"/>
          <w:szCs w:val="24"/>
          <w:lang w:eastAsia="id-ID"/>
        </w:rPr>
      </w:pPr>
    </w:p>
    <w:p w14:paraId="5E779CEF" w14:textId="1CA52F73" w:rsidR="00251B7B" w:rsidRPr="00351D39" w:rsidRDefault="00251B7B" w:rsidP="00B15138">
      <w:pPr>
        <w:spacing w:line="360" w:lineRule="auto"/>
        <w:ind w:firstLine="567"/>
        <w:jc w:val="both"/>
        <w:rPr>
          <w:rFonts w:asciiTheme="minorHAnsi" w:eastAsia="Bookman Old Style" w:hAnsiTheme="minorHAnsi" w:cstheme="minorHAnsi"/>
          <w:bCs/>
          <w:iCs/>
          <w:sz w:val="24"/>
          <w:szCs w:val="24"/>
        </w:rPr>
      </w:pPr>
      <w:r w:rsidRPr="00351D39">
        <w:rPr>
          <w:rFonts w:asciiTheme="minorHAnsi" w:hAnsiTheme="minorHAnsi" w:cstheme="minorHAnsi"/>
          <w:color w:val="000000"/>
          <w:sz w:val="24"/>
          <w:szCs w:val="24"/>
          <w:lang w:eastAsia="id-ID"/>
        </w:rPr>
        <w:t xml:space="preserve">Table 2 shows that the majority of students gave a positive response toward the use of the ethnomathematics-based </w:t>
      </w:r>
      <w:proofErr w:type="spellStart"/>
      <w:r w:rsidRPr="00351D39">
        <w:rPr>
          <w:rFonts w:asciiTheme="minorHAnsi" w:hAnsiTheme="minorHAnsi" w:cstheme="minorHAnsi"/>
          <w:color w:val="000000"/>
          <w:sz w:val="24"/>
          <w:szCs w:val="24"/>
          <w:lang w:eastAsia="id-ID"/>
        </w:rPr>
        <w:t>Mpa’a</w:t>
      </w:r>
      <w:proofErr w:type="spellEnd"/>
      <w:r w:rsidRPr="00351D39">
        <w:rPr>
          <w:rFonts w:asciiTheme="minorHAnsi" w:hAnsiTheme="minorHAnsi" w:cstheme="minorHAnsi"/>
          <w:color w:val="000000"/>
          <w:sz w:val="24"/>
          <w:szCs w:val="24"/>
          <w:lang w:eastAsia="id-ID"/>
        </w:rPr>
        <w:t xml:space="preserve"> Gopa game in learning plane geometry. A total of 99 % of responses indicated “Yes,” while only 1 % responded “No.”</w:t>
      </w:r>
    </w:p>
    <w:p w14:paraId="2DCC6580" w14:textId="77777777" w:rsidR="00251B7B" w:rsidRPr="00351D39" w:rsidRDefault="00251B7B" w:rsidP="002E601F">
      <w:pPr>
        <w:spacing w:line="360" w:lineRule="auto"/>
        <w:ind w:firstLine="567"/>
        <w:jc w:val="both"/>
        <w:rPr>
          <w:rFonts w:asciiTheme="minorHAnsi" w:hAnsiTheme="minorHAnsi" w:cstheme="minorHAnsi"/>
          <w:color w:val="000000"/>
          <w:sz w:val="24"/>
          <w:szCs w:val="24"/>
          <w:lang w:eastAsia="id-ID"/>
        </w:rPr>
      </w:pPr>
      <w:r w:rsidRPr="00351D39">
        <w:rPr>
          <w:rFonts w:asciiTheme="minorHAnsi" w:hAnsiTheme="minorHAnsi" w:cstheme="minorHAnsi"/>
          <w:color w:val="000000"/>
          <w:sz w:val="24"/>
          <w:szCs w:val="24"/>
          <w:lang w:eastAsia="id-ID"/>
        </w:rPr>
        <w:t>Statements with the highest approval rate (100 %) indicate that the learning media successfully enhanced understanding of mathematical concepts, increased motivation, and introduced cultural values. Meanwhile, the lowest agreement (90 %) came from the statement about group learning, showing that a small portion of students still prefer individual learning styles.</w:t>
      </w:r>
    </w:p>
    <w:p w14:paraId="155EAFD3" w14:textId="77777777" w:rsidR="00251B7B" w:rsidRPr="002E601F" w:rsidRDefault="00251B7B" w:rsidP="002E601F">
      <w:pPr>
        <w:jc w:val="center"/>
        <w:rPr>
          <w:rFonts w:asciiTheme="minorHAnsi" w:eastAsia="Bookman Old Style" w:hAnsiTheme="minorHAnsi" w:cstheme="minorHAnsi"/>
          <w:b/>
          <w:bCs/>
          <w:iCs/>
        </w:rPr>
      </w:pPr>
      <w:r w:rsidRPr="002E601F">
        <w:rPr>
          <w:rFonts w:asciiTheme="minorHAnsi" w:hAnsiTheme="minorHAnsi" w:cstheme="minorHAnsi"/>
          <w:b/>
          <w:bCs/>
          <w:color w:val="000000"/>
          <w:lang w:eastAsia="id-ID"/>
        </w:rPr>
        <w:t>Table 3. Pretest and Posttest Results</w:t>
      </w:r>
    </w:p>
    <w:tbl>
      <w:tblPr>
        <w:tblW w:w="0" w:type="auto"/>
        <w:jc w:val="center"/>
        <w:tblLook w:val="04A0" w:firstRow="1" w:lastRow="0" w:firstColumn="1" w:lastColumn="0" w:noHBand="0" w:noVBand="1"/>
      </w:tblPr>
      <w:tblGrid>
        <w:gridCol w:w="3686"/>
        <w:gridCol w:w="426"/>
        <w:gridCol w:w="1275"/>
        <w:gridCol w:w="1843"/>
      </w:tblGrid>
      <w:tr w:rsidR="00251B7B" w:rsidRPr="00351D39" w14:paraId="63D6879A" w14:textId="77777777" w:rsidTr="00381E7C">
        <w:trPr>
          <w:jc w:val="center"/>
        </w:trPr>
        <w:tc>
          <w:tcPr>
            <w:tcW w:w="4112" w:type="dxa"/>
            <w:gridSpan w:val="2"/>
            <w:tcBorders>
              <w:top w:val="single" w:sz="4" w:space="0" w:color="auto"/>
              <w:bottom w:val="single" w:sz="4" w:space="0" w:color="auto"/>
            </w:tcBorders>
            <w:tcMar>
              <w:top w:w="0" w:type="dxa"/>
              <w:left w:w="108" w:type="dxa"/>
              <w:bottom w:w="0" w:type="dxa"/>
              <w:right w:w="108" w:type="dxa"/>
            </w:tcMar>
          </w:tcPr>
          <w:p w14:paraId="6C8C00B3" w14:textId="77777777" w:rsidR="00251B7B" w:rsidRPr="002E601F" w:rsidRDefault="00251B7B" w:rsidP="00381E7C">
            <w:pPr>
              <w:jc w:val="center"/>
              <w:rPr>
                <w:rFonts w:asciiTheme="minorHAnsi" w:eastAsia="Bookman Old Style" w:hAnsiTheme="minorHAnsi" w:cstheme="minorHAnsi"/>
                <w:bCs/>
                <w:iCs/>
              </w:rPr>
            </w:pPr>
            <w:r w:rsidRPr="002E601F">
              <w:rPr>
                <w:rFonts w:asciiTheme="minorHAnsi" w:hAnsiTheme="minorHAnsi" w:cstheme="minorHAnsi"/>
                <w:b/>
                <w:bCs/>
                <w:lang w:eastAsia="id-ID"/>
              </w:rPr>
              <w:t>Statistic</w:t>
            </w:r>
          </w:p>
        </w:tc>
        <w:tc>
          <w:tcPr>
            <w:tcW w:w="1275" w:type="dxa"/>
            <w:tcBorders>
              <w:top w:val="single" w:sz="4" w:space="0" w:color="auto"/>
              <w:bottom w:val="single" w:sz="4" w:space="0" w:color="auto"/>
            </w:tcBorders>
            <w:tcMar>
              <w:top w:w="0" w:type="dxa"/>
              <w:left w:w="108" w:type="dxa"/>
              <w:bottom w:w="0" w:type="dxa"/>
              <w:right w:w="108" w:type="dxa"/>
            </w:tcMar>
          </w:tcPr>
          <w:p w14:paraId="5203C511" w14:textId="77777777" w:rsidR="00251B7B" w:rsidRPr="002E601F" w:rsidRDefault="00251B7B" w:rsidP="00381E7C">
            <w:pPr>
              <w:jc w:val="center"/>
              <w:rPr>
                <w:rFonts w:asciiTheme="minorHAnsi" w:eastAsia="Bookman Old Style" w:hAnsiTheme="minorHAnsi" w:cstheme="minorHAnsi"/>
                <w:bCs/>
                <w:iCs/>
              </w:rPr>
            </w:pPr>
            <w:r w:rsidRPr="002E601F">
              <w:rPr>
                <w:rFonts w:asciiTheme="minorHAnsi" w:hAnsiTheme="minorHAnsi" w:cstheme="minorHAnsi"/>
                <w:b/>
                <w:bCs/>
                <w:color w:val="000000"/>
                <w:lang w:eastAsia="id-ID"/>
              </w:rPr>
              <w:t>Pretest</w:t>
            </w:r>
          </w:p>
        </w:tc>
        <w:tc>
          <w:tcPr>
            <w:tcW w:w="1843" w:type="dxa"/>
            <w:tcBorders>
              <w:top w:val="single" w:sz="4" w:space="0" w:color="auto"/>
              <w:bottom w:val="single" w:sz="4" w:space="0" w:color="auto"/>
            </w:tcBorders>
            <w:tcMar>
              <w:top w:w="0" w:type="dxa"/>
              <w:left w:w="108" w:type="dxa"/>
              <w:bottom w:w="0" w:type="dxa"/>
              <w:right w:w="108" w:type="dxa"/>
            </w:tcMar>
          </w:tcPr>
          <w:p w14:paraId="75AC08B2" w14:textId="77777777" w:rsidR="00251B7B" w:rsidRPr="002E601F" w:rsidRDefault="00251B7B" w:rsidP="00381E7C">
            <w:pPr>
              <w:jc w:val="center"/>
              <w:rPr>
                <w:rFonts w:asciiTheme="minorHAnsi" w:eastAsia="Bookman Old Style" w:hAnsiTheme="minorHAnsi" w:cstheme="minorHAnsi"/>
                <w:bCs/>
                <w:iCs/>
              </w:rPr>
            </w:pPr>
            <w:r w:rsidRPr="002E601F">
              <w:rPr>
                <w:rFonts w:asciiTheme="minorHAnsi" w:hAnsiTheme="minorHAnsi" w:cstheme="minorHAnsi"/>
                <w:b/>
                <w:bCs/>
                <w:color w:val="000000"/>
                <w:lang w:eastAsia="id-ID"/>
              </w:rPr>
              <w:t>Posttest</w:t>
            </w:r>
          </w:p>
        </w:tc>
      </w:tr>
      <w:tr w:rsidR="00251B7B" w:rsidRPr="00351D39" w14:paraId="448CE209" w14:textId="77777777" w:rsidTr="00381E7C">
        <w:trPr>
          <w:jc w:val="center"/>
        </w:trPr>
        <w:tc>
          <w:tcPr>
            <w:tcW w:w="3686" w:type="dxa"/>
            <w:tcBorders>
              <w:top w:val="single" w:sz="4" w:space="0" w:color="auto"/>
            </w:tcBorders>
            <w:tcMar>
              <w:top w:w="0" w:type="dxa"/>
              <w:left w:w="108" w:type="dxa"/>
              <w:bottom w:w="0" w:type="dxa"/>
              <w:right w:w="108" w:type="dxa"/>
            </w:tcMar>
          </w:tcPr>
          <w:p w14:paraId="381D115D"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Average score</w:t>
            </w:r>
          </w:p>
        </w:tc>
        <w:tc>
          <w:tcPr>
            <w:tcW w:w="1701" w:type="dxa"/>
            <w:gridSpan w:val="2"/>
            <w:tcBorders>
              <w:top w:val="single" w:sz="4" w:space="0" w:color="auto"/>
            </w:tcBorders>
            <w:tcMar>
              <w:top w:w="0" w:type="dxa"/>
              <w:left w:w="108" w:type="dxa"/>
              <w:bottom w:w="0" w:type="dxa"/>
              <w:right w:w="108" w:type="dxa"/>
            </w:tcMar>
          </w:tcPr>
          <w:p w14:paraId="4E2FDE46"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66.19</w:t>
            </w:r>
          </w:p>
        </w:tc>
        <w:tc>
          <w:tcPr>
            <w:tcW w:w="1843" w:type="dxa"/>
            <w:tcBorders>
              <w:top w:val="single" w:sz="4" w:space="0" w:color="auto"/>
            </w:tcBorders>
            <w:tcMar>
              <w:top w:w="0" w:type="dxa"/>
              <w:left w:w="108" w:type="dxa"/>
              <w:bottom w:w="0" w:type="dxa"/>
              <w:right w:w="108" w:type="dxa"/>
            </w:tcMar>
          </w:tcPr>
          <w:p w14:paraId="1D6EF3D5"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82.23</w:t>
            </w:r>
          </w:p>
        </w:tc>
      </w:tr>
      <w:tr w:rsidR="00251B7B" w:rsidRPr="00351D39" w14:paraId="26B1EB7D" w14:textId="77777777" w:rsidTr="00381E7C">
        <w:trPr>
          <w:jc w:val="center"/>
        </w:trPr>
        <w:tc>
          <w:tcPr>
            <w:tcW w:w="3686" w:type="dxa"/>
            <w:tcMar>
              <w:top w:w="0" w:type="dxa"/>
              <w:left w:w="108" w:type="dxa"/>
              <w:bottom w:w="0" w:type="dxa"/>
              <w:right w:w="108" w:type="dxa"/>
            </w:tcMar>
          </w:tcPr>
          <w:p w14:paraId="6BC83AD3"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Classical mastery (%)</w:t>
            </w:r>
          </w:p>
        </w:tc>
        <w:tc>
          <w:tcPr>
            <w:tcW w:w="1701" w:type="dxa"/>
            <w:gridSpan w:val="2"/>
            <w:tcMar>
              <w:top w:w="0" w:type="dxa"/>
              <w:left w:w="108" w:type="dxa"/>
              <w:bottom w:w="0" w:type="dxa"/>
              <w:right w:w="108" w:type="dxa"/>
            </w:tcMar>
          </w:tcPr>
          <w:p w14:paraId="7B859C65"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52.38</w:t>
            </w:r>
          </w:p>
        </w:tc>
        <w:tc>
          <w:tcPr>
            <w:tcW w:w="1843" w:type="dxa"/>
            <w:tcMar>
              <w:top w:w="0" w:type="dxa"/>
              <w:left w:w="108" w:type="dxa"/>
              <w:bottom w:w="0" w:type="dxa"/>
              <w:right w:w="108" w:type="dxa"/>
            </w:tcMar>
          </w:tcPr>
          <w:p w14:paraId="4FCDD6B0"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90.47</w:t>
            </w:r>
          </w:p>
        </w:tc>
      </w:tr>
      <w:tr w:rsidR="00251B7B" w:rsidRPr="00351D39" w14:paraId="17A6B0A6" w14:textId="77777777" w:rsidTr="00381E7C">
        <w:trPr>
          <w:jc w:val="center"/>
        </w:trPr>
        <w:tc>
          <w:tcPr>
            <w:tcW w:w="3686" w:type="dxa"/>
            <w:tcMar>
              <w:top w:w="0" w:type="dxa"/>
              <w:left w:w="108" w:type="dxa"/>
              <w:bottom w:w="0" w:type="dxa"/>
              <w:right w:w="108" w:type="dxa"/>
            </w:tcMar>
          </w:tcPr>
          <w:p w14:paraId="12A3F42D"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Number of students pass</w:t>
            </w:r>
          </w:p>
        </w:tc>
        <w:tc>
          <w:tcPr>
            <w:tcW w:w="1701" w:type="dxa"/>
            <w:gridSpan w:val="2"/>
            <w:tcMar>
              <w:top w:w="0" w:type="dxa"/>
              <w:left w:w="108" w:type="dxa"/>
              <w:bottom w:w="0" w:type="dxa"/>
              <w:right w:w="108" w:type="dxa"/>
            </w:tcMar>
          </w:tcPr>
          <w:p w14:paraId="36DB2D0D"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11</w:t>
            </w:r>
          </w:p>
        </w:tc>
        <w:tc>
          <w:tcPr>
            <w:tcW w:w="1843" w:type="dxa"/>
            <w:tcMar>
              <w:top w:w="0" w:type="dxa"/>
              <w:left w:w="108" w:type="dxa"/>
              <w:bottom w:w="0" w:type="dxa"/>
              <w:right w:w="108" w:type="dxa"/>
            </w:tcMar>
          </w:tcPr>
          <w:p w14:paraId="115C293D"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19</w:t>
            </w:r>
          </w:p>
        </w:tc>
      </w:tr>
      <w:tr w:rsidR="00251B7B" w:rsidRPr="00351D39" w14:paraId="0EB6299C" w14:textId="77777777" w:rsidTr="00381E7C">
        <w:trPr>
          <w:jc w:val="center"/>
        </w:trPr>
        <w:tc>
          <w:tcPr>
            <w:tcW w:w="3686" w:type="dxa"/>
            <w:tcBorders>
              <w:bottom w:val="single" w:sz="4" w:space="0" w:color="auto"/>
            </w:tcBorders>
            <w:tcMar>
              <w:top w:w="0" w:type="dxa"/>
              <w:left w:w="108" w:type="dxa"/>
              <w:bottom w:w="0" w:type="dxa"/>
              <w:right w:w="108" w:type="dxa"/>
            </w:tcMar>
          </w:tcPr>
          <w:p w14:paraId="70D39F93"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Number of students fail</w:t>
            </w:r>
          </w:p>
        </w:tc>
        <w:tc>
          <w:tcPr>
            <w:tcW w:w="1701" w:type="dxa"/>
            <w:gridSpan w:val="2"/>
            <w:tcBorders>
              <w:bottom w:val="single" w:sz="4" w:space="0" w:color="auto"/>
            </w:tcBorders>
            <w:tcMar>
              <w:top w:w="0" w:type="dxa"/>
              <w:left w:w="108" w:type="dxa"/>
              <w:bottom w:w="0" w:type="dxa"/>
              <w:right w:w="108" w:type="dxa"/>
            </w:tcMar>
          </w:tcPr>
          <w:p w14:paraId="019DD15A"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9</w:t>
            </w:r>
          </w:p>
        </w:tc>
        <w:tc>
          <w:tcPr>
            <w:tcW w:w="1843" w:type="dxa"/>
            <w:tcBorders>
              <w:bottom w:val="single" w:sz="4" w:space="0" w:color="auto"/>
            </w:tcBorders>
            <w:tcMar>
              <w:top w:w="0" w:type="dxa"/>
              <w:left w:w="108" w:type="dxa"/>
              <w:bottom w:w="0" w:type="dxa"/>
              <w:right w:w="108" w:type="dxa"/>
            </w:tcMar>
          </w:tcPr>
          <w:p w14:paraId="1E75226B" w14:textId="77777777" w:rsidR="00251B7B" w:rsidRPr="002E601F" w:rsidRDefault="00251B7B" w:rsidP="00381E7C">
            <w:pPr>
              <w:jc w:val="both"/>
              <w:rPr>
                <w:rFonts w:asciiTheme="minorHAnsi" w:eastAsia="Bookman Old Style" w:hAnsiTheme="minorHAnsi" w:cstheme="minorHAnsi"/>
                <w:bCs/>
                <w:iCs/>
              </w:rPr>
            </w:pPr>
            <w:r w:rsidRPr="002E601F">
              <w:rPr>
                <w:rFonts w:asciiTheme="minorHAnsi" w:hAnsiTheme="minorHAnsi" w:cstheme="minorHAnsi"/>
                <w:color w:val="000000"/>
                <w:lang w:eastAsia="id-ID"/>
              </w:rPr>
              <w:t>1</w:t>
            </w:r>
          </w:p>
        </w:tc>
      </w:tr>
    </w:tbl>
    <w:p w14:paraId="4F9301CC" w14:textId="77777777" w:rsidR="002E601F" w:rsidRDefault="002E601F" w:rsidP="002E601F">
      <w:pPr>
        <w:pBdr>
          <w:top w:val="nil"/>
          <w:left w:val="nil"/>
          <w:bottom w:val="nil"/>
          <w:right w:val="nil"/>
          <w:between w:val="nil"/>
        </w:pBdr>
        <w:ind w:firstLine="720"/>
        <w:jc w:val="both"/>
        <w:rPr>
          <w:rFonts w:asciiTheme="minorHAnsi" w:hAnsiTheme="minorHAnsi" w:cstheme="minorHAnsi"/>
          <w:color w:val="000000"/>
          <w:sz w:val="24"/>
          <w:szCs w:val="24"/>
        </w:rPr>
      </w:pPr>
    </w:p>
    <w:p w14:paraId="7D66F044" w14:textId="70DC5418" w:rsidR="00251B7B" w:rsidRPr="00351D39" w:rsidRDefault="00251B7B" w:rsidP="00351D39">
      <w:pPr>
        <w:pBdr>
          <w:top w:val="nil"/>
          <w:left w:val="nil"/>
          <w:bottom w:val="nil"/>
          <w:right w:val="nil"/>
          <w:between w:val="nil"/>
        </w:pBdr>
        <w:spacing w:line="360" w:lineRule="auto"/>
        <w:ind w:firstLine="720"/>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Table 3 shows the comparison between students’ pretest and posttest scores before and after using the ethnomathematics-based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learning media. Based on the results, there was a significant improvement in students’ mathematical literacy.</w:t>
      </w:r>
    </w:p>
    <w:p w14:paraId="711C57CD" w14:textId="77777777" w:rsidR="00251B7B" w:rsidRPr="00703884" w:rsidRDefault="00251B7B" w:rsidP="00703884">
      <w:pPr>
        <w:jc w:val="center"/>
        <w:rPr>
          <w:rFonts w:asciiTheme="minorHAnsi" w:eastAsia="Bookman Old Style" w:hAnsiTheme="minorHAnsi" w:cstheme="minorHAnsi"/>
          <w:b/>
          <w:bCs/>
          <w:iCs/>
        </w:rPr>
      </w:pPr>
      <w:r w:rsidRPr="00703884">
        <w:rPr>
          <w:rFonts w:asciiTheme="minorHAnsi" w:hAnsiTheme="minorHAnsi" w:cstheme="minorHAnsi"/>
          <w:b/>
          <w:bCs/>
          <w:color w:val="000000"/>
          <w:lang w:eastAsia="id-ID"/>
        </w:rPr>
        <w:t>Table 4. N-Gain Calculation</w:t>
      </w:r>
    </w:p>
    <w:tbl>
      <w:tblPr>
        <w:tblW w:w="0" w:type="auto"/>
        <w:jc w:val="center"/>
        <w:tblLook w:val="04A0" w:firstRow="1" w:lastRow="0" w:firstColumn="1" w:lastColumn="0" w:noHBand="0" w:noVBand="1"/>
      </w:tblPr>
      <w:tblGrid>
        <w:gridCol w:w="3539"/>
        <w:gridCol w:w="3691"/>
      </w:tblGrid>
      <w:tr w:rsidR="00251B7B" w:rsidRPr="00703884" w14:paraId="5D16644F" w14:textId="77777777" w:rsidTr="00703884">
        <w:trPr>
          <w:jc w:val="center"/>
        </w:trPr>
        <w:tc>
          <w:tcPr>
            <w:tcW w:w="3539" w:type="dxa"/>
            <w:tcBorders>
              <w:top w:val="single" w:sz="4" w:space="0" w:color="auto"/>
              <w:bottom w:val="single" w:sz="4" w:space="0" w:color="auto"/>
            </w:tcBorders>
            <w:tcMar>
              <w:top w:w="0" w:type="dxa"/>
              <w:left w:w="108" w:type="dxa"/>
              <w:bottom w:w="0" w:type="dxa"/>
              <w:right w:w="108" w:type="dxa"/>
            </w:tcMar>
          </w:tcPr>
          <w:p w14:paraId="676135B4" w14:textId="77777777" w:rsidR="00251B7B" w:rsidRPr="00703884" w:rsidRDefault="00251B7B" w:rsidP="00703884">
            <w:pPr>
              <w:jc w:val="center"/>
              <w:rPr>
                <w:rFonts w:asciiTheme="minorHAnsi" w:eastAsia="Bookman Old Style" w:hAnsiTheme="minorHAnsi" w:cstheme="minorHAnsi"/>
                <w:bCs/>
                <w:iCs/>
              </w:rPr>
            </w:pPr>
            <w:r w:rsidRPr="00703884">
              <w:rPr>
                <w:rFonts w:asciiTheme="minorHAnsi" w:hAnsiTheme="minorHAnsi" w:cstheme="minorHAnsi"/>
                <w:b/>
                <w:bCs/>
                <w:lang w:eastAsia="id-ID"/>
              </w:rPr>
              <w:t>Statistic</w:t>
            </w:r>
          </w:p>
        </w:tc>
        <w:tc>
          <w:tcPr>
            <w:tcW w:w="3691" w:type="dxa"/>
            <w:tcBorders>
              <w:top w:val="single" w:sz="4" w:space="0" w:color="auto"/>
              <w:bottom w:val="single" w:sz="4" w:space="0" w:color="auto"/>
            </w:tcBorders>
            <w:tcMar>
              <w:top w:w="0" w:type="dxa"/>
              <w:left w:w="108" w:type="dxa"/>
              <w:bottom w:w="0" w:type="dxa"/>
              <w:right w:w="108" w:type="dxa"/>
            </w:tcMar>
          </w:tcPr>
          <w:p w14:paraId="17561954" w14:textId="77777777" w:rsidR="00251B7B" w:rsidRPr="00703884" w:rsidRDefault="00251B7B" w:rsidP="00703884">
            <w:pPr>
              <w:jc w:val="center"/>
              <w:rPr>
                <w:rFonts w:asciiTheme="minorHAnsi" w:eastAsia="Bookman Old Style" w:hAnsiTheme="minorHAnsi" w:cstheme="minorHAnsi"/>
                <w:bCs/>
                <w:iCs/>
              </w:rPr>
            </w:pPr>
            <w:r w:rsidRPr="00703884">
              <w:rPr>
                <w:rFonts w:asciiTheme="minorHAnsi" w:hAnsiTheme="minorHAnsi" w:cstheme="minorHAnsi"/>
                <w:b/>
                <w:bCs/>
                <w:color w:val="000000"/>
                <w:lang w:eastAsia="id-ID"/>
              </w:rPr>
              <w:t>Value</w:t>
            </w:r>
          </w:p>
        </w:tc>
      </w:tr>
      <w:tr w:rsidR="00251B7B" w:rsidRPr="00703884" w14:paraId="3F57C4F5" w14:textId="77777777" w:rsidTr="00703884">
        <w:trPr>
          <w:jc w:val="center"/>
        </w:trPr>
        <w:tc>
          <w:tcPr>
            <w:tcW w:w="3539" w:type="dxa"/>
            <w:tcBorders>
              <w:top w:val="single" w:sz="4" w:space="0" w:color="auto"/>
            </w:tcBorders>
            <w:tcMar>
              <w:top w:w="0" w:type="dxa"/>
              <w:left w:w="108" w:type="dxa"/>
              <w:bottom w:w="0" w:type="dxa"/>
              <w:right w:w="108" w:type="dxa"/>
            </w:tcMar>
          </w:tcPr>
          <w:p w14:paraId="3F131EC3"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Average Pretest</w:t>
            </w:r>
          </w:p>
        </w:tc>
        <w:tc>
          <w:tcPr>
            <w:tcW w:w="3691" w:type="dxa"/>
            <w:tcBorders>
              <w:top w:val="single" w:sz="4" w:space="0" w:color="auto"/>
            </w:tcBorders>
            <w:tcMar>
              <w:top w:w="0" w:type="dxa"/>
              <w:left w:w="108" w:type="dxa"/>
              <w:bottom w:w="0" w:type="dxa"/>
              <w:right w:w="108" w:type="dxa"/>
            </w:tcMar>
          </w:tcPr>
          <w:p w14:paraId="5B90068A"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69.5</w:t>
            </w:r>
          </w:p>
        </w:tc>
      </w:tr>
      <w:tr w:rsidR="00251B7B" w:rsidRPr="00703884" w14:paraId="54E7FA04" w14:textId="77777777" w:rsidTr="00703884">
        <w:trPr>
          <w:jc w:val="center"/>
        </w:trPr>
        <w:tc>
          <w:tcPr>
            <w:tcW w:w="3539" w:type="dxa"/>
            <w:tcMar>
              <w:top w:w="0" w:type="dxa"/>
              <w:left w:w="108" w:type="dxa"/>
              <w:bottom w:w="0" w:type="dxa"/>
              <w:right w:w="108" w:type="dxa"/>
            </w:tcMar>
          </w:tcPr>
          <w:p w14:paraId="252BC944"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Average Posttest</w:t>
            </w:r>
          </w:p>
        </w:tc>
        <w:tc>
          <w:tcPr>
            <w:tcW w:w="3691" w:type="dxa"/>
            <w:tcMar>
              <w:top w:w="0" w:type="dxa"/>
              <w:left w:w="108" w:type="dxa"/>
              <w:bottom w:w="0" w:type="dxa"/>
              <w:right w:w="108" w:type="dxa"/>
            </w:tcMar>
          </w:tcPr>
          <w:p w14:paraId="1BD4FC83"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86.35</w:t>
            </w:r>
          </w:p>
        </w:tc>
      </w:tr>
      <w:tr w:rsidR="00251B7B" w:rsidRPr="00703884" w14:paraId="3DD13C74" w14:textId="77777777" w:rsidTr="00703884">
        <w:trPr>
          <w:jc w:val="center"/>
        </w:trPr>
        <w:tc>
          <w:tcPr>
            <w:tcW w:w="3539" w:type="dxa"/>
            <w:tcMar>
              <w:top w:w="0" w:type="dxa"/>
              <w:left w:w="108" w:type="dxa"/>
              <w:bottom w:w="0" w:type="dxa"/>
              <w:right w:w="108" w:type="dxa"/>
            </w:tcMar>
          </w:tcPr>
          <w:p w14:paraId="626F4FC8"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Average N-Gain</w:t>
            </w:r>
          </w:p>
        </w:tc>
        <w:tc>
          <w:tcPr>
            <w:tcW w:w="3691" w:type="dxa"/>
            <w:tcMar>
              <w:top w:w="0" w:type="dxa"/>
              <w:left w:w="108" w:type="dxa"/>
              <w:bottom w:w="0" w:type="dxa"/>
              <w:right w:w="108" w:type="dxa"/>
            </w:tcMar>
          </w:tcPr>
          <w:p w14:paraId="63548DCF"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0.60</w:t>
            </w:r>
          </w:p>
        </w:tc>
      </w:tr>
      <w:tr w:rsidR="00251B7B" w:rsidRPr="00703884" w14:paraId="7128C656" w14:textId="77777777" w:rsidTr="00703884">
        <w:trPr>
          <w:jc w:val="center"/>
        </w:trPr>
        <w:tc>
          <w:tcPr>
            <w:tcW w:w="3539" w:type="dxa"/>
            <w:tcMar>
              <w:top w:w="0" w:type="dxa"/>
              <w:left w:w="108" w:type="dxa"/>
              <w:bottom w:w="0" w:type="dxa"/>
              <w:right w:w="108" w:type="dxa"/>
            </w:tcMar>
          </w:tcPr>
          <w:p w14:paraId="1F090A74"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Category</w:t>
            </w:r>
          </w:p>
        </w:tc>
        <w:tc>
          <w:tcPr>
            <w:tcW w:w="3691" w:type="dxa"/>
            <w:tcMar>
              <w:top w:w="0" w:type="dxa"/>
              <w:left w:w="108" w:type="dxa"/>
              <w:bottom w:w="0" w:type="dxa"/>
              <w:right w:w="108" w:type="dxa"/>
            </w:tcMar>
          </w:tcPr>
          <w:p w14:paraId="38E2D597"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Medium</w:t>
            </w:r>
          </w:p>
        </w:tc>
      </w:tr>
      <w:tr w:rsidR="00251B7B" w:rsidRPr="00703884" w14:paraId="37602C29" w14:textId="77777777" w:rsidTr="00703884">
        <w:trPr>
          <w:jc w:val="center"/>
        </w:trPr>
        <w:tc>
          <w:tcPr>
            <w:tcW w:w="3539" w:type="dxa"/>
            <w:tcBorders>
              <w:bottom w:val="single" w:sz="4" w:space="0" w:color="auto"/>
            </w:tcBorders>
            <w:tcMar>
              <w:top w:w="0" w:type="dxa"/>
              <w:left w:w="108" w:type="dxa"/>
              <w:bottom w:w="0" w:type="dxa"/>
              <w:right w:w="108" w:type="dxa"/>
            </w:tcMar>
          </w:tcPr>
          <w:p w14:paraId="444DD232"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Effectiveness (%)</w:t>
            </w:r>
          </w:p>
        </w:tc>
        <w:tc>
          <w:tcPr>
            <w:tcW w:w="3691" w:type="dxa"/>
            <w:tcBorders>
              <w:bottom w:val="single" w:sz="4" w:space="0" w:color="auto"/>
            </w:tcBorders>
            <w:tcMar>
              <w:top w:w="0" w:type="dxa"/>
              <w:left w:w="108" w:type="dxa"/>
              <w:bottom w:w="0" w:type="dxa"/>
              <w:right w:w="108" w:type="dxa"/>
            </w:tcMar>
          </w:tcPr>
          <w:p w14:paraId="788592DD" w14:textId="77777777" w:rsidR="00251B7B" w:rsidRPr="00703884" w:rsidRDefault="00251B7B" w:rsidP="00703884">
            <w:pPr>
              <w:jc w:val="both"/>
              <w:rPr>
                <w:rFonts w:asciiTheme="minorHAnsi" w:eastAsia="Bookman Old Style" w:hAnsiTheme="minorHAnsi" w:cstheme="minorHAnsi"/>
                <w:bCs/>
                <w:iCs/>
              </w:rPr>
            </w:pPr>
            <w:r w:rsidRPr="00703884">
              <w:rPr>
                <w:rFonts w:asciiTheme="minorHAnsi" w:hAnsiTheme="minorHAnsi" w:cstheme="minorHAnsi"/>
                <w:color w:val="000000"/>
                <w:lang w:eastAsia="id-ID"/>
              </w:rPr>
              <w:t>60.7 (Fairly Effective)</w:t>
            </w:r>
          </w:p>
        </w:tc>
      </w:tr>
    </w:tbl>
    <w:p w14:paraId="4B6F7910" w14:textId="77777777" w:rsidR="00703884" w:rsidRDefault="00703884" w:rsidP="00703884">
      <w:pPr>
        <w:pBdr>
          <w:top w:val="nil"/>
          <w:left w:val="nil"/>
          <w:bottom w:val="nil"/>
          <w:right w:val="nil"/>
          <w:between w:val="nil"/>
        </w:pBdr>
        <w:ind w:firstLine="567"/>
        <w:jc w:val="both"/>
        <w:rPr>
          <w:rFonts w:asciiTheme="minorHAnsi" w:hAnsiTheme="minorHAnsi" w:cstheme="minorHAnsi"/>
          <w:color w:val="000000"/>
          <w:sz w:val="24"/>
          <w:szCs w:val="24"/>
        </w:rPr>
      </w:pPr>
    </w:p>
    <w:p w14:paraId="7F8AEEBE" w14:textId="4BAD1E4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This table shows that the use of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Gopa-based learning media provided a moderate but meaningful improvement in students’ mathematical literacy. With an effectiveness percentage of 60.7%, the media successfully helped students understand mathematical concepts better, engage more actively in the learning process, and relate mathematics to real-life cultural contexts.</w:t>
      </w:r>
    </w:p>
    <w:p w14:paraId="0FF5E4AA"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lastRenderedPageBreak/>
        <w:t xml:space="preserve">These results support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Hui &amp; Mahmud (2023)</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who found that game-based learning enhances both cognitive and affective learning outcomes.</w:t>
      </w:r>
    </w:p>
    <w:p w14:paraId="67520820"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351D39">
        <w:rPr>
          <w:rFonts w:asciiTheme="minorHAnsi" w:hAnsiTheme="minorHAnsi" w:cstheme="minorHAnsi"/>
          <w:b/>
          <w:color w:val="000000"/>
          <w:sz w:val="24"/>
          <w:szCs w:val="24"/>
        </w:rPr>
        <w:t>Disseminate Stage</w:t>
      </w:r>
    </w:p>
    <w:p w14:paraId="510EA092"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 dissemination stage was carried out through the publication of research results and limited implementation at the partner school. This ensured that the developed product could be adopted by other schools as an alternative mathematics learning innovation. The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media has been proven valid, practical, and effective, thus recommended for broader use.</w:t>
      </w:r>
    </w:p>
    <w:p w14:paraId="3932DEED"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In addition to publications, dissemination also included teacher workshops, allowing educators to implement the media sustainably.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Rosa &amp; Orey (2016)</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xml:space="preserve"> emphasized that ethnomathematics should serve as a bridge between culture and formal education. Hence, dissemination is not merely the conclusion of a project but an important step in ensuring that cultural-based mathematics learning benefits more learners.</w:t>
      </w:r>
    </w:p>
    <w:p w14:paraId="6F9EF46D" w14:textId="77777777" w:rsidR="00251B7B" w:rsidRPr="00351D39" w:rsidRDefault="00251B7B" w:rsidP="00351D39">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351D39">
        <w:rPr>
          <w:rFonts w:asciiTheme="minorHAnsi" w:hAnsiTheme="minorHAnsi" w:cstheme="minorHAnsi"/>
          <w:b/>
          <w:color w:val="000000"/>
          <w:sz w:val="24"/>
          <w:szCs w:val="24"/>
        </w:rPr>
        <w:t>Discussion</w:t>
      </w:r>
    </w:p>
    <w:p w14:paraId="4013DAA1"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 findings of this study confirm that the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learning media met the three essential criteria of development: validity, practicality, and effectiveness. The improvement in average scores from 66.19 to 82.23 and the increase in classical mastery from 52.38% to 90.47% demonstrate a significant positive impact, an N-Gain score of 0.3–0.7 indicates medium effectiveness, which aligns with the results of this study.</w:t>
      </w:r>
    </w:p>
    <w:p w14:paraId="54B73505"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 findings demonstrate that the ethnomathematics-based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game significantly improves students’ mathematical literacy, especially in understanding plane geometry and connecting mathematical concepts. Integrating local cultural contexts into mathematics learning provides meaningful experiences, making abstract concepts easier to grasp. This aligns with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Susanti, &amp; Syahrial (2021)</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who found that ethnomathematics-based learning can improve students’ mathematical literacy by allowing them to solve problems rooted in their cultural context.</w:t>
      </w:r>
    </w:p>
    <w:p w14:paraId="1379D530"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Students’ responses to statement 6 reveal that 100 % agreed the media improved their cultural knowledge. The integration of the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traditional game not only enhances mathematical understanding but also serves as a medium to preserve local wisdom. Similarly,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Mulyono &amp; Putra (2020)</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xml:space="preserve"> reported that embedding traditional games into mathematics learning fosters cultural character development and raises students’ awareness of local </w:t>
      </w:r>
      <w:r w:rsidRPr="00351D39">
        <w:rPr>
          <w:rFonts w:asciiTheme="minorHAnsi" w:hAnsiTheme="minorHAnsi" w:cstheme="minorHAnsi"/>
          <w:color w:val="000000"/>
          <w:sz w:val="24"/>
          <w:szCs w:val="24"/>
        </w:rPr>
        <w:lastRenderedPageBreak/>
        <w:t>heritage. Through ethnomathematics-based approaches, students experience identity-building alongside academic learning.</w:t>
      </w:r>
    </w:p>
    <w:p w14:paraId="43F45A25"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These findings are consistent with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Izzati &amp; Kurniawati. (2022)</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xml:space="preserve">, who demonstrated that Game-Based Learning (GBL) improves both motivation and mathematical problem-solving skills, with an average performance improvement of 56 %. However, this study contributes uniquely to the field by combining GBL principles with cultural integration, which makes learning more contextually relevant and meaningful. Recent systematic reviews also highlight the effectiveness of game-based learning in mathematics education. For example,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Nguyen et al. (2024))</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xml:space="preserve"> found that digital GBL improves engagement and problem-solving skills in primary school mathematics. This reinforces the argument that traditional games like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can be just as impactful, especially when designed with ethnomathematical perspectives.</w:t>
      </w:r>
    </w:p>
    <w:p w14:paraId="103310C4"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These findings are consistent with recent studies showing that ethnomathematics helps connect abstract mathematical concepts with students’ cultural contexts.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Sari and Kurniasari (2024)</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xml:space="preserve"> demonstrated that the traditional process of making Ketan </w:t>
      </w:r>
      <w:proofErr w:type="spellStart"/>
      <w:r w:rsidRPr="00351D39">
        <w:rPr>
          <w:rFonts w:asciiTheme="minorHAnsi" w:hAnsiTheme="minorHAnsi" w:cstheme="minorHAnsi"/>
          <w:color w:val="000000"/>
          <w:sz w:val="24"/>
          <w:szCs w:val="24"/>
        </w:rPr>
        <w:t>Pencok</w:t>
      </w:r>
      <w:proofErr w:type="spellEnd"/>
      <w:r w:rsidRPr="00351D39">
        <w:rPr>
          <w:rFonts w:asciiTheme="minorHAnsi" w:hAnsiTheme="minorHAnsi" w:cstheme="minorHAnsi"/>
          <w:color w:val="000000"/>
          <w:sz w:val="24"/>
          <w:szCs w:val="24"/>
        </w:rPr>
        <w:t xml:space="preserve"> incorporates various mathematical concepts such as two- and three-dimensional geometry, division, proportionality, social arithmetic, and systems of linear equations. Similarly, </w:t>
      </w:r>
      <w:r w:rsidRPr="00351D39">
        <w:rPr>
          <w:rFonts w:asciiTheme="minorHAnsi" w:hAnsiTheme="minorHAnsi" w:cstheme="minorHAnsi"/>
          <w:sz w:val="24"/>
          <w:szCs w:val="24"/>
        </w:rPr>
        <w:fldChar w:fldCharType="begin" w:fldLock="1"/>
      </w:r>
      <w:r w:rsidRPr="00351D39">
        <w:rPr>
          <w:rFonts w:asciiTheme="minorHAnsi" w:hAnsiTheme="minorHAnsi" w:cstheme="minorHAnsi"/>
          <w:sz w:val="24"/>
          <w:szCs w:val="24"/>
        </w:rPr>
        <w:instrText>ADDIN CSL_CITATION {"citationItems":[{"id":"ITEM-1","itemData":{"DOI":"10.31004/basicedu.v5i6.1658","ISSN":"2580-3735","abstract":"Upaya untuk meningkatkan kemampuan menulis karangan deskripsi adalah dengan memperhatikan kemampuan berpikir kreatif siswa. Tujuan dari penelitian ini untuk melihat bagaimana pengaruh kemampuan berpikir kreatif siswa terhadap hasil menulis karangan deskripsi. Metode penelitian yang dipakai dalam penelitian adalah penelitian eksperimen deskriptif kuantitatif. Subjek dalam penelitian ini yang mana sebagai penerima tindakan ialah seluruh siswa kelas V SDN 091539 Hutabayu pada tahun ajaran 2019-2020, dan guru kelas V SDN 091539 Hutabayu sebagai pelaku tindakan. Teknik pengumpulan data dalam penelitian ini menggunakan angket berpikiri kreatif dan essai tes untuk menguji kemampuan menulis karangan deskripsi. Prosedur penelitian ini yaitu pengisian angket kemampuan berpikir kreatif, melakukan pretes, pelaksanaan tindakan, dan melakukan postes. Hasil penelitian ini menunjukan nilai hasil belajar karangan deskripsi siswa dengan kemampuan berpikir kreatif tinggi lebih tinggi daripada nilai siswa dengan  kemampuan berpikir kreatif rendah.","author":[{"dropping-particle":"","family":"Sidabutar","given":"Yanti Arasi","non-dropping-particle":"","parse-names":false,"suffix":""}],"container-title":"Jurnal Basicedu","id":"ITEM-1","issued":{"date-parts":[["2021"]]},"title":"Pengaruh Kemampuan Berpikir Kreatif terhadap Kemampuan Menulis Karangan Deskripsi Siswa Sekolah Dasar","type":"article-journal"},"uris":["http://www.mendeley.com/documents/?uuid=c3cd6516-2554-4f43-a1a0-1446189ccb00"]}],"mendeley":{"formattedCitation":"(Sidabutar, 2021)","plainTextFormattedCitation":"(Sidabutar, 2021)","previouslyFormattedCitation":"(Sidabutar, 2021)"},"properties":{"noteIndex":0},"schema":"https://github.com/citation-style-language/schema/raw/master/csl-citation.json"}</w:instrText>
      </w:r>
      <w:r w:rsidRPr="00351D39">
        <w:rPr>
          <w:rFonts w:asciiTheme="minorHAnsi" w:hAnsiTheme="minorHAnsi" w:cstheme="minorHAnsi"/>
          <w:sz w:val="24"/>
          <w:szCs w:val="24"/>
        </w:rPr>
        <w:fldChar w:fldCharType="separate"/>
      </w:r>
      <w:r w:rsidRPr="00351D39">
        <w:rPr>
          <w:rFonts w:asciiTheme="minorHAnsi" w:hAnsiTheme="minorHAnsi" w:cstheme="minorHAnsi"/>
          <w:color w:val="000000"/>
          <w:sz w:val="24"/>
          <w:szCs w:val="24"/>
        </w:rPr>
        <w:t>(Agustin et al., 2022)</w:t>
      </w:r>
      <w:r w:rsidRPr="00351D39">
        <w:rPr>
          <w:rFonts w:asciiTheme="minorHAnsi" w:hAnsiTheme="minorHAnsi" w:cstheme="minorHAnsi"/>
          <w:sz w:val="24"/>
          <w:szCs w:val="24"/>
        </w:rPr>
        <w:fldChar w:fldCharType="end"/>
      </w:r>
      <w:r w:rsidRPr="00351D39">
        <w:rPr>
          <w:rFonts w:asciiTheme="minorHAnsi" w:hAnsiTheme="minorHAnsi" w:cstheme="minorHAnsi"/>
          <w:color w:val="000000"/>
          <w:sz w:val="24"/>
          <w:szCs w:val="24"/>
        </w:rPr>
        <w:t xml:space="preserve"> found that culture-based learning media improved not only mathematical literacy but also motivation and creativity. Positive student responses (95–100%) further support Hendrawati, </w:t>
      </w:r>
      <w:proofErr w:type="spellStart"/>
      <w:r w:rsidRPr="00351D39">
        <w:rPr>
          <w:rFonts w:asciiTheme="minorHAnsi" w:hAnsiTheme="minorHAnsi" w:cstheme="minorHAnsi"/>
          <w:color w:val="000000"/>
          <w:sz w:val="24"/>
          <w:szCs w:val="24"/>
        </w:rPr>
        <w:t>Mutaqqin</w:t>
      </w:r>
      <w:proofErr w:type="spellEnd"/>
      <w:r w:rsidRPr="00351D39">
        <w:rPr>
          <w:rFonts w:asciiTheme="minorHAnsi" w:hAnsiTheme="minorHAnsi" w:cstheme="minorHAnsi"/>
          <w:color w:val="000000"/>
          <w:sz w:val="24"/>
          <w:szCs w:val="24"/>
        </w:rPr>
        <w:t xml:space="preserve"> &amp; </w:t>
      </w:r>
      <w:proofErr w:type="spellStart"/>
      <w:r w:rsidRPr="00351D39">
        <w:rPr>
          <w:rFonts w:asciiTheme="minorHAnsi" w:hAnsiTheme="minorHAnsi" w:cstheme="minorHAnsi"/>
          <w:color w:val="000000"/>
          <w:sz w:val="24"/>
          <w:szCs w:val="24"/>
        </w:rPr>
        <w:t>susabti</w:t>
      </w:r>
      <w:proofErr w:type="spellEnd"/>
      <w:r w:rsidRPr="00351D39">
        <w:rPr>
          <w:rFonts w:asciiTheme="minorHAnsi" w:hAnsiTheme="minorHAnsi" w:cstheme="minorHAnsi"/>
          <w:color w:val="000000"/>
          <w:sz w:val="24"/>
          <w:szCs w:val="24"/>
        </w:rPr>
        <w:t xml:space="preserve"> (2019), who emphasized that contextual and cultural-based learning environments foster joyful classrooms.</w:t>
      </w:r>
    </w:p>
    <w:p w14:paraId="1216E215"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Therefore, the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media serves not only as an instructional tool but also as a medium for preserving local culture and strengthening students’ character. This dual function highlights the relevance of integrating ethnomathematics into elementary education, particularly in culturally rich contexts such as Bima.</w:t>
      </w:r>
    </w:p>
    <w:p w14:paraId="12EBFFEC"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 xml:space="preserve">The findings of this study have significant implications for mathematics education, particularly in integrating ethnomathematics-based learning media into classroom instruction. The use of the </w:t>
      </w:r>
      <w:proofErr w:type="spellStart"/>
      <w:r w:rsidRPr="00351D39">
        <w:rPr>
          <w:rFonts w:asciiTheme="minorHAnsi" w:hAnsiTheme="minorHAnsi" w:cstheme="minorHAnsi"/>
          <w:color w:val="000000"/>
          <w:sz w:val="24"/>
          <w:szCs w:val="24"/>
        </w:rPr>
        <w:t>Mpa’a</w:t>
      </w:r>
      <w:proofErr w:type="spellEnd"/>
      <w:r w:rsidRPr="00351D39">
        <w:rPr>
          <w:rFonts w:asciiTheme="minorHAnsi" w:hAnsiTheme="minorHAnsi" w:cstheme="minorHAnsi"/>
          <w:color w:val="000000"/>
          <w:sz w:val="24"/>
          <w:szCs w:val="24"/>
        </w:rPr>
        <w:t xml:space="preserve"> Gopa traditional game provides a contextual and meaningful learning experience that enhances students’ mathematical literacy while simultaneously preserving local culture. Teachers can adopt this learning media to promote active participation, improve students’ problem-solving skills, and foster a deeper understanding of mathematical concepts. Furthermore, the integration of cultural elements into mathematics </w:t>
      </w:r>
      <w:r w:rsidRPr="00351D39">
        <w:rPr>
          <w:rFonts w:asciiTheme="minorHAnsi" w:hAnsiTheme="minorHAnsi" w:cstheme="minorHAnsi"/>
          <w:color w:val="000000"/>
          <w:sz w:val="24"/>
          <w:szCs w:val="24"/>
        </w:rPr>
        <w:lastRenderedPageBreak/>
        <w:t>lessons supports the implementation of the Merdeka Curriculum, which emphasizes character development and student-centered learning.</w:t>
      </w:r>
    </w:p>
    <w:p w14:paraId="02C5AE5F" w14:textId="77777777" w:rsidR="00251B7B" w:rsidRPr="00351D39" w:rsidRDefault="00251B7B" w:rsidP="00351D39">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r w:rsidRPr="00351D39">
        <w:rPr>
          <w:rFonts w:asciiTheme="minorHAnsi" w:hAnsiTheme="minorHAnsi" w:cstheme="minorHAnsi"/>
          <w:color w:val="000000"/>
          <w:sz w:val="24"/>
          <w:szCs w:val="24"/>
        </w:rPr>
        <w:t>Although the study demonstrates positive results, several limitations should be acknowledged. First, the research involved a relatively small sample size of only 20 fourth-grade students from a single school (SD Negeri 2 Maria, Kota Bima), which may limit the generalizability of the findings. Second, the study only measured students’ learning outcomes through pretest and posttest assessments without examining long-term retention or transfer of knowledge. Third, the implementation of the learning media was conducted under controlled classroom conditions, which may differ from regular instructional settings where teacher expertise, classroom environment, and student diversity could affect outcomes.</w:t>
      </w:r>
    </w:p>
    <w:p w14:paraId="588C931D" w14:textId="09AF7F46" w:rsidR="002E1F8F" w:rsidRPr="00351D39" w:rsidRDefault="00251B7B" w:rsidP="00351D39">
      <w:pPr>
        <w:spacing w:line="360" w:lineRule="auto"/>
        <w:ind w:firstLine="567"/>
        <w:jc w:val="both"/>
        <w:rPr>
          <w:rFonts w:asciiTheme="minorHAnsi" w:hAnsiTheme="minorHAnsi" w:cstheme="minorHAnsi"/>
          <w:sz w:val="24"/>
          <w:szCs w:val="24"/>
        </w:rPr>
      </w:pPr>
      <w:r w:rsidRPr="00351D39">
        <w:rPr>
          <w:rFonts w:asciiTheme="minorHAnsi" w:hAnsiTheme="minorHAnsi" w:cstheme="minorHAnsi"/>
          <w:color w:val="000000"/>
          <w:sz w:val="24"/>
          <w:szCs w:val="24"/>
        </w:rPr>
        <w:t>Future research should consider several directions to build upon the findings of this study. First, studies with larger and more diverse samples across different schools and regions are needed to enhance the generalizability of the results. Second, researchers could explore the long-term effects of using ethnomathematics-based learning media on students’ mathematical literacy and cultural awareness. Third, future studies may integrate technology-enhanced tools, such as interactive multimedia or augmented reality, to expand the potential of ethnomathematics in mathematics education. Lastly, further research could examine teachers’ perceptions, challenges, and readiness in adopting culturally contextualized learning media within diverse classroom environments</w:t>
      </w:r>
      <w:r w:rsidR="006B41A8">
        <w:rPr>
          <w:rFonts w:asciiTheme="minorHAnsi" w:hAnsiTheme="minorHAnsi" w:cstheme="minorHAnsi"/>
          <w:sz w:val="24"/>
          <w:szCs w:val="24"/>
        </w:rPr>
        <w:t>.</w:t>
      </w:r>
    </w:p>
    <w:p w14:paraId="505AD619" w14:textId="002E5B1A" w:rsidR="00904D6D" w:rsidRDefault="00643BB8" w:rsidP="009D21D6">
      <w:pPr>
        <w:pStyle w:val="Heading1"/>
      </w:pPr>
      <w:r>
        <w:t>CONCLUSION</w:t>
      </w:r>
    </w:p>
    <w:p w14:paraId="5A556EAC" w14:textId="3FE0AFF8" w:rsidR="0048334C" w:rsidRPr="00BB2195" w:rsidRDefault="0048334C" w:rsidP="00BB2195">
      <w:pPr>
        <w:pBdr>
          <w:top w:val="nil"/>
          <w:left w:val="nil"/>
          <w:bottom w:val="nil"/>
          <w:right w:val="nil"/>
          <w:between w:val="nil"/>
        </w:pBdr>
        <w:spacing w:line="360" w:lineRule="auto"/>
        <w:ind w:firstLine="567"/>
        <w:jc w:val="both"/>
        <w:rPr>
          <w:rFonts w:asciiTheme="minorHAnsi" w:hAnsiTheme="minorHAnsi" w:cstheme="minorHAnsi"/>
          <w:color w:val="000000"/>
          <w:sz w:val="24"/>
          <w:szCs w:val="24"/>
        </w:rPr>
      </w:pPr>
      <w:bookmarkStart w:id="2" w:name="_Hlk213213127"/>
      <w:r w:rsidRPr="00BB2195">
        <w:rPr>
          <w:rFonts w:asciiTheme="minorHAnsi" w:hAnsiTheme="minorHAnsi" w:cstheme="minorHAnsi"/>
          <w:color w:val="000000"/>
          <w:sz w:val="24"/>
          <w:szCs w:val="24"/>
        </w:rPr>
        <w:t xml:space="preserve">Based on the findings, it can be concluded that the </w:t>
      </w:r>
      <w:proofErr w:type="spellStart"/>
      <w:r w:rsidRPr="00BB2195">
        <w:rPr>
          <w:rFonts w:asciiTheme="minorHAnsi" w:hAnsiTheme="minorHAnsi" w:cstheme="minorHAnsi"/>
          <w:color w:val="000000"/>
          <w:sz w:val="24"/>
          <w:szCs w:val="24"/>
        </w:rPr>
        <w:t>Mpa’a</w:t>
      </w:r>
      <w:proofErr w:type="spellEnd"/>
      <w:r w:rsidRPr="00BB2195">
        <w:rPr>
          <w:rFonts w:asciiTheme="minorHAnsi" w:hAnsiTheme="minorHAnsi" w:cstheme="minorHAnsi"/>
          <w:color w:val="000000"/>
          <w:sz w:val="24"/>
          <w:szCs w:val="24"/>
        </w:rPr>
        <w:t xml:space="preserve"> Gopa learning media meets the criteria of being valid, practical, and effective. The validation results confirmed its suitability in terms of content, language, and design. Student responses and observation data showed that the media was highly engaging and easy to implement. Effectiveness testing revealed a significant improvement in learning outcomes, with a medium N-Gain score and mastery level exceeding 90%. These results indicate that integrating traditional games into mathematics learning not only improves students’ mathematical literacy but also fosters motivation, cultural awareness, and positive classroom </w:t>
      </w:r>
      <w:proofErr w:type="spellStart"/>
      <w:r w:rsidRPr="00BB2195">
        <w:rPr>
          <w:rFonts w:asciiTheme="minorHAnsi" w:hAnsiTheme="minorHAnsi" w:cstheme="minorHAnsi"/>
          <w:color w:val="000000"/>
          <w:sz w:val="24"/>
          <w:szCs w:val="24"/>
        </w:rPr>
        <w:t>interaction.For</w:t>
      </w:r>
      <w:proofErr w:type="spellEnd"/>
      <w:r w:rsidRPr="00BB2195">
        <w:rPr>
          <w:rFonts w:asciiTheme="minorHAnsi" w:hAnsiTheme="minorHAnsi" w:cstheme="minorHAnsi"/>
          <w:color w:val="000000"/>
          <w:sz w:val="24"/>
          <w:szCs w:val="24"/>
        </w:rPr>
        <w:t xml:space="preserve"> future studies, it is recommended to expand the implementation to larger and more diverse student populations, integrate digital elements into the media, and explore its impact on higher-order </w:t>
      </w:r>
      <w:r w:rsidRPr="00BB2195">
        <w:rPr>
          <w:rFonts w:asciiTheme="minorHAnsi" w:hAnsiTheme="minorHAnsi" w:cstheme="minorHAnsi"/>
          <w:color w:val="000000"/>
          <w:sz w:val="24"/>
          <w:szCs w:val="24"/>
        </w:rPr>
        <w:lastRenderedPageBreak/>
        <w:t>thinking skills. Such efforts will strengthen the role of ethnomathematics based learning as a meaningful and sustainable educational innovation.</w:t>
      </w:r>
      <w:bookmarkEnd w:id="2"/>
      <w:r w:rsidRPr="00BB2195">
        <w:rPr>
          <w:rFonts w:asciiTheme="minorHAnsi" w:hAnsiTheme="minorHAnsi" w:cstheme="minorHAnsi"/>
          <w:color w:val="000000"/>
          <w:sz w:val="24"/>
          <w:szCs w:val="24"/>
        </w:rPr>
        <w:t xml:space="preserve"> </w:t>
      </w:r>
    </w:p>
    <w:p w14:paraId="51515D6D" w14:textId="612CB59B" w:rsidR="00E71498" w:rsidRDefault="00E71498" w:rsidP="00E71498">
      <w:pPr>
        <w:pStyle w:val="Heading1"/>
      </w:pPr>
      <w:r w:rsidRPr="00E71498">
        <w:t>ACKNOWLEDGMENTS</w:t>
      </w:r>
      <w:r>
        <w:t xml:space="preserve"> </w:t>
      </w:r>
    </w:p>
    <w:p w14:paraId="79865399" w14:textId="6193DC41" w:rsidR="00E71498" w:rsidRPr="00E71498" w:rsidRDefault="00E268F8" w:rsidP="00E268F8">
      <w:pPr>
        <w:spacing w:line="360" w:lineRule="auto"/>
        <w:ind w:firstLine="567"/>
        <w:jc w:val="both"/>
        <w:rPr>
          <w:rFonts w:asciiTheme="minorHAnsi" w:hAnsiTheme="minorHAnsi" w:cstheme="minorHAnsi"/>
          <w:sz w:val="24"/>
          <w:szCs w:val="24"/>
        </w:rPr>
      </w:pPr>
      <w:r w:rsidRPr="00E268F8">
        <w:rPr>
          <w:rFonts w:asciiTheme="minorHAnsi" w:hAnsiTheme="minorHAnsi" w:cstheme="minorHAnsi"/>
          <w:sz w:val="24"/>
          <w:szCs w:val="24"/>
        </w:rPr>
        <w:t xml:space="preserve">The researcher would like to express his deepest gratitude to the Directorate of Research and Community Service (DPPM) of the Ministry of Education and Culture for fully funding this research through the Beginner Lecturer Research (PDP) scheme in the 2025 budget year. He would also like to express his gratitude to the Higher Education Service Institute (LLDIKTI) Region VIII for the facilitation and guidance provided. Furthermore, the researcher would like to express his gratitude to the Head of LPPM STKIP Taman </w:t>
      </w:r>
      <w:proofErr w:type="spellStart"/>
      <w:r w:rsidRPr="00E268F8">
        <w:rPr>
          <w:rFonts w:asciiTheme="minorHAnsi" w:hAnsiTheme="minorHAnsi" w:cstheme="minorHAnsi"/>
          <w:sz w:val="24"/>
          <w:szCs w:val="24"/>
        </w:rPr>
        <w:t>Siswa</w:t>
      </w:r>
      <w:proofErr w:type="spellEnd"/>
      <w:r w:rsidRPr="00E268F8">
        <w:rPr>
          <w:rFonts w:asciiTheme="minorHAnsi" w:hAnsiTheme="minorHAnsi" w:cstheme="minorHAnsi"/>
          <w:sz w:val="24"/>
          <w:szCs w:val="24"/>
        </w:rPr>
        <w:t xml:space="preserve"> Bima for his assistance and support in carrying out this research, as well as to the Principal and Teachers of SD Negeri 2 Maria who have given the researcher the opportunity to carry out research at the school.</w:t>
      </w:r>
    </w:p>
    <w:p w14:paraId="14B7BDA0" w14:textId="34869B56" w:rsidR="00C35B8F" w:rsidRDefault="00643BB8" w:rsidP="009D21D6">
      <w:pPr>
        <w:pStyle w:val="Heading1"/>
      </w:pPr>
      <w:r>
        <w:rPr>
          <w:rStyle w:val="apple-style-span"/>
          <w:color w:val="000000"/>
          <w:szCs w:val="24"/>
          <w:lang w:val="pt-BR"/>
        </w:rPr>
        <w:t>REFERENCES</w:t>
      </w:r>
    </w:p>
    <w:p w14:paraId="59806057"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Agustin, A. S., </w:t>
      </w:r>
      <w:proofErr w:type="spellStart"/>
      <w:r w:rsidRPr="00CC4E08">
        <w:rPr>
          <w:rFonts w:asciiTheme="minorHAnsi" w:hAnsiTheme="minorHAnsi" w:cstheme="minorHAnsi"/>
          <w:color w:val="000000"/>
          <w:sz w:val="24"/>
          <w:szCs w:val="24"/>
        </w:rPr>
        <w:t>Sekarwati</w:t>
      </w:r>
      <w:proofErr w:type="spellEnd"/>
      <w:r w:rsidRPr="00CC4E08">
        <w:rPr>
          <w:rFonts w:asciiTheme="minorHAnsi" w:hAnsiTheme="minorHAnsi" w:cstheme="minorHAnsi"/>
          <w:color w:val="000000"/>
          <w:sz w:val="24"/>
          <w:szCs w:val="24"/>
        </w:rPr>
        <w:t xml:space="preserve">, M., Elvistoni, M. A., &amp; Latifah, N. T. (2022). </w:t>
      </w:r>
      <w:proofErr w:type="spellStart"/>
      <w:r w:rsidRPr="00CC4E08">
        <w:rPr>
          <w:rFonts w:asciiTheme="minorHAnsi" w:hAnsiTheme="minorHAnsi" w:cstheme="minorHAnsi"/>
          <w:color w:val="000000"/>
          <w:sz w:val="24"/>
          <w:szCs w:val="24"/>
        </w:rPr>
        <w:t>Etnomatematika</w:t>
      </w:r>
      <w:proofErr w:type="spellEnd"/>
      <w:r w:rsidRPr="00CC4E08">
        <w:rPr>
          <w:rFonts w:asciiTheme="minorHAnsi" w:hAnsiTheme="minorHAnsi" w:cstheme="minorHAnsi"/>
          <w:color w:val="000000"/>
          <w:sz w:val="24"/>
          <w:szCs w:val="24"/>
        </w:rPr>
        <w:t xml:space="preserve"> pada </w:t>
      </w:r>
      <w:proofErr w:type="spellStart"/>
      <w:r w:rsidRPr="00CC4E08">
        <w:rPr>
          <w:rFonts w:asciiTheme="minorHAnsi" w:hAnsiTheme="minorHAnsi" w:cstheme="minorHAnsi"/>
          <w:color w:val="000000"/>
          <w:sz w:val="24"/>
          <w:szCs w:val="24"/>
        </w:rPr>
        <w:t>Kebudayaan</w:t>
      </w:r>
      <w:proofErr w:type="spellEnd"/>
      <w:r w:rsidRPr="00CC4E08">
        <w:rPr>
          <w:rFonts w:asciiTheme="minorHAnsi" w:hAnsiTheme="minorHAnsi" w:cstheme="minorHAnsi"/>
          <w:color w:val="000000"/>
          <w:sz w:val="24"/>
          <w:szCs w:val="24"/>
        </w:rPr>
        <w:t xml:space="preserve"> Jawa </w:t>
      </w:r>
      <w:proofErr w:type="spellStart"/>
      <w:r w:rsidRPr="00CC4E08">
        <w:rPr>
          <w:rFonts w:asciiTheme="minorHAnsi" w:hAnsiTheme="minorHAnsi" w:cstheme="minorHAnsi"/>
          <w:color w:val="000000"/>
          <w:sz w:val="24"/>
          <w:szCs w:val="24"/>
        </w:rPr>
        <w:t>dalam</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mengembangkan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kemampuan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literasi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matematis</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siswa</w:t>
      </w:r>
      <w:proofErr w:type="spellEnd"/>
      <w:r w:rsidRPr="00CC4E08">
        <w:rPr>
          <w:rFonts w:asciiTheme="minorHAnsi" w:hAnsiTheme="minorHAnsi" w:cstheme="minorHAnsi"/>
          <w:color w:val="000000"/>
          <w:sz w:val="24"/>
          <w:szCs w:val="24"/>
        </w:rPr>
        <w:t xml:space="preserve">. </w:t>
      </w:r>
      <w:r w:rsidRPr="00CC4E08">
        <w:rPr>
          <w:rFonts w:asciiTheme="minorHAnsi" w:hAnsiTheme="minorHAnsi" w:cstheme="minorHAnsi"/>
          <w:i/>
          <w:color w:val="000000"/>
          <w:sz w:val="24"/>
          <w:szCs w:val="24"/>
        </w:rPr>
        <w:t xml:space="preserve">In Sandika IV: </w:t>
      </w:r>
      <w:proofErr w:type="spellStart"/>
      <w:r w:rsidRPr="00CC4E08">
        <w:rPr>
          <w:rFonts w:asciiTheme="minorHAnsi" w:hAnsiTheme="minorHAnsi" w:cstheme="minorHAnsi"/>
          <w:i/>
          <w:color w:val="000000"/>
          <w:sz w:val="24"/>
          <w:szCs w:val="24"/>
        </w:rPr>
        <w:t>Prosiding</w:t>
      </w:r>
      <w:proofErr w:type="spellEnd"/>
      <w:r w:rsidRPr="00CC4E08">
        <w:rPr>
          <w:rFonts w:asciiTheme="minorHAnsi" w:hAnsiTheme="minorHAnsi" w:cstheme="minorHAnsi"/>
          <w:i/>
          <w:color w:val="000000"/>
          <w:sz w:val="24"/>
          <w:szCs w:val="24"/>
        </w:rPr>
        <w:t xml:space="preserve"> Seminar Nasional Pendidikan </w:t>
      </w:r>
      <w:proofErr w:type="spellStart"/>
      <w:r w:rsidRPr="00CC4E08">
        <w:rPr>
          <w:rFonts w:asciiTheme="minorHAnsi" w:hAnsiTheme="minorHAnsi" w:cstheme="minorHAnsi"/>
          <w:i/>
          <w:color w:val="000000"/>
          <w:sz w:val="24"/>
          <w:szCs w:val="24"/>
        </w:rPr>
        <w:t>Matematika</w:t>
      </w:r>
      <w:proofErr w:type="spellEnd"/>
      <w:r w:rsidRPr="00CC4E08">
        <w:rPr>
          <w:rFonts w:asciiTheme="minorHAnsi" w:hAnsiTheme="minorHAnsi" w:cstheme="minorHAnsi"/>
          <w:i/>
          <w:color w:val="000000"/>
          <w:sz w:val="24"/>
          <w:szCs w:val="24"/>
        </w:rPr>
        <w:t xml:space="preserve">, </w:t>
      </w:r>
      <w:r w:rsidRPr="00CC4E08">
        <w:rPr>
          <w:rFonts w:asciiTheme="minorHAnsi" w:hAnsiTheme="minorHAnsi" w:cstheme="minorHAnsi"/>
          <w:color w:val="000000"/>
          <w:sz w:val="24"/>
          <w:szCs w:val="24"/>
        </w:rPr>
        <w:t>4(1), 195–202. https://proceeding.unikal.ac.id/index.php/sandika/article/view/1193/769.</w:t>
      </w:r>
    </w:p>
    <w:p w14:paraId="2CFCBEE0"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Agustin, R., </w:t>
      </w:r>
      <w:proofErr w:type="spellStart"/>
      <w:r w:rsidRPr="00CC4E08">
        <w:rPr>
          <w:rFonts w:asciiTheme="minorHAnsi" w:hAnsiTheme="minorHAnsi" w:cstheme="minorHAnsi"/>
          <w:color w:val="000000"/>
          <w:sz w:val="24"/>
          <w:szCs w:val="24"/>
        </w:rPr>
        <w:t>Suryadi</w:t>
      </w:r>
      <w:proofErr w:type="spellEnd"/>
      <w:r w:rsidRPr="00CC4E08">
        <w:rPr>
          <w:rFonts w:asciiTheme="minorHAnsi" w:hAnsiTheme="minorHAnsi" w:cstheme="minorHAnsi"/>
          <w:color w:val="000000"/>
          <w:sz w:val="24"/>
          <w:szCs w:val="24"/>
        </w:rPr>
        <w:t xml:space="preserve">, D., &amp; </w:t>
      </w:r>
      <w:proofErr w:type="spellStart"/>
      <w:r w:rsidRPr="00CC4E08">
        <w:rPr>
          <w:rFonts w:asciiTheme="minorHAnsi" w:hAnsiTheme="minorHAnsi" w:cstheme="minorHAnsi"/>
          <w:color w:val="000000"/>
          <w:sz w:val="24"/>
          <w:szCs w:val="24"/>
        </w:rPr>
        <w:t>Prabawanto</w:t>
      </w:r>
      <w:proofErr w:type="spellEnd"/>
      <w:r w:rsidRPr="00CC4E08">
        <w:rPr>
          <w:rFonts w:asciiTheme="minorHAnsi" w:hAnsiTheme="minorHAnsi" w:cstheme="minorHAnsi"/>
          <w:color w:val="000000"/>
          <w:sz w:val="24"/>
          <w:szCs w:val="24"/>
        </w:rPr>
        <w:t>, S. (2022). Ethnomathematics-based learning to improve mathematical literacy</w:t>
      </w:r>
      <w:r w:rsidRPr="00CC4E08">
        <w:rPr>
          <w:rFonts w:asciiTheme="minorHAnsi" w:hAnsiTheme="minorHAnsi" w:cstheme="minorHAnsi"/>
          <w:i/>
          <w:color w:val="000000"/>
          <w:sz w:val="24"/>
          <w:szCs w:val="24"/>
        </w:rPr>
        <w:t>. Journal of Mathematics Education</w:t>
      </w:r>
      <w:r w:rsidRPr="00CC4E08">
        <w:rPr>
          <w:rFonts w:asciiTheme="minorHAnsi" w:hAnsiTheme="minorHAnsi" w:cstheme="minorHAnsi"/>
          <w:color w:val="000000"/>
          <w:sz w:val="24"/>
          <w:szCs w:val="24"/>
        </w:rPr>
        <w:t>, 11(2), 145-158.</w:t>
      </w:r>
    </w:p>
    <w:p w14:paraId="773365F9"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Batiibwe</w:t>
      </w:r>
      <w:proofErr w:type="spellEnd"/>
      <w:r w:rsidRPr="00CC4E08">
        <w:rPr>
          <w:rFonts w:asciiTheme="minorHAnsi" w:hAnsiTheme="minorHAnsi" w:cstheme="minorHAnsi"/>
          <w:color w:val="000000"/>
          <w:sz w:val="24"/>
          <w:szCs w:val="24"/>
        </w:rPr>
        <w:t xml:space="preserve">, M. S. (2024). Ethnomathematics: A review of theory, practice, and implications for mathematics education. </w:t>
      </w:r>
      <w:r w:rsidRPr="00CC4E08">
        <w:rPr>
          <w:rFonts w:asciiTheme="minorHAnsi" w:hAnsiTheme="minorHAnsi" w:cstheme="minorHAnsi"/>
          <w:i/>
          <w:color w:val="000000"/>
          <w:sz w:val="24"/>
          <w:szCs w:val="24"/>
        </w:rPr>
        <w:t>Journal of Mathematics Education Research</w:t>
      </w:r>
      <w:r w:rsidRPr="00CC4E08">
        <w:rPr>
          <w:rFonts w:asciiTheme="minorHAnsi" w:hAnsiTheme="minorHAnsi" w:cstheme="minorHAnsi"/>
          <w:color w:val="000000"/>
          <w:sz w:val="24"/>
          <w:szCs w:val="24"/>
        </w:rPr>
        <w:t>, 36(2), 155–172. https://journals.sagepub.com/doi/full/10.1177/27527263241300400</w:t>
      </w:r>
    </w:p>
    <w:p w14:paraId="09DBF00E"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Budarsini</w:t>
      </w:r>
      <w:proofErr w:type="spellEnd"/>
      <w:r w:rsidRPr="00CC4E08">
        <w:rPr>
          <w:rFonts w:asciiTheme="minorHAnsi" w:hAnsiTheme="minorHAnsi" w:cstheme="minorHAnsi"/>
          <w:color w:val="000000"/>
          <w:sz w:val="24"/>
          <w:szCs w:val="24"/>
        </w:rPr>
        <w:t xml:space="preserve">, K. P., </w:t>
      </w:r>
      <w:proofErr w:type="spellStart"/>
      <w:r w:rsidRPr="00CC4E08">
        <w:rPr>
          <w:rFonts w:asciiTheme="minorHAnsi" w:hAnsiTheme="minorHAnsi" w:cstheme="minorHAnsi"/>
          <w:color w:val="000000"/>
          <w:sz w:val="24"/>
          <w:szCs w:val="24"/>
        </w:rPr>
        <w:t>Suarsana</w:t>
      </w:r>
      <w:proofErr w:type="spellEnd"/>
      <w:r w:rsidRPr="00CC4E08">
        <w:rPr>
          <w:rFonts w:asciiTheme="minorHAnsi" w:hAnsiTheme="minorHAnsi" w:cstheme="minorHAnsi"/>
          <w:color w:val="000000"/>
          <w:sz w:val="24"/>
          <w:szCs w:val="24"/>
        </w:rPr>
        <w:t xml:space="preserve">, M., &amp; </w:t>
      </w:r>
      <w:proofErr w:type="spellStart"/>
      <w:r w:rsidRPr="00CC4E08">
        <w:rPr>
          <w:rFonts w:asciiTheme="minorHAnsi" w:hAnsiTheme="minorHAnsi" w:cstheme="minorHAnsi"/>
          <w:color w:val="000000"/>
          <w:sz w:val="24"/>
          <w:szCs w:val="24"/>
        </w:rPr>
        <w:t>Suparta</w:t>
      </w:r>
      <w:proofErr w:type="spellEnd"/>
      <w:r w:rsidRPr="00CC4E08">
        <w:rPr>
          <w:rFonts w:asciiTheme="minorHAnsi" w:hAnsiTheme="minorHAnsi" w:cstheme="minorHAnsi"/>
          <w:color w:val="000000"/>
          <w:sz w:val="24"/>
          <w:szCs w:val="24"/>
        </w:rPr>
        <w:t xml:space="preserve">, N. (2018). Model </w:t>
      </w:r>
      <w:proofErr w:type="spellStart"/>
      <w:r w:rsidRPr="00CC4E08">
        <w:rPr>
          <w:rFonts w:asciiTheme="minorHAnsi" w:hAnsiTheme="minorHAnsi" w:cstheme="minorHAnsi"/>
          <w:color w:val="000000"/>
          <w:sz w:val="24"/>
          <w:szCs w:val="24"/>
        </w:rPr>
        <w:t>diskursus</w:t>
      </w:r>
      <w:proofErr w:type="spellEnd"/>
      <w:r w:rsidRPr="00CC4E08">
        <w:rPr>
          <w:rFonts w:asciiTheme="minorHAnsi" w:hAnsiTheme="minorHAnsi" w:cstheme="minorHAnsi"/>
          <w:color w:val="000000"/>
          <w:sz w:val="24"/>
          <w:szCs w:val="24"/>
        </w:rPr>
        <w:t xml:space="preserve"> multi </w:t>
      </w:r>
      <w:proofErr w:type="spellStart"/>
      <w:r w:rsidRPr="00CC4E08">
        <w:rPr>
          <w:rFonts w:asciiTheme="minorHAnsi" w:hAnsiTheme="minorHAnsi" w:cstheme="minorHAnsi"/>
          <w:color w:val="000000"/>
          <w:sz w:val="24"/>
          <w:szCs w:val="24"/>
        </w:rPr>
        <w:t>representasi</w:t>
      </w:r>
      <w:proofErr w:type="spellEnd"/>
      <w:r w:rsidRPr="00CC4E08">
        <w:rPr>
          <w:rFonts w:asciiTheme="minorHAnsi" w:hAnsiTheme="minorHAnsi" w:cstheme="minorHAnsi"/>
          <w:color w:val="000000"/>
          <w:sz w:val="24"/>
          <w:szCs w:val="24"/>
        </w:rPr>
        <w:t xml:space="preserve"> dan </w:t>
      </w:r>
      <w:proofErr w:type="spellStart"/>
      <w:r w:rsidRPr="00CC4E08">
        <w:rPr>
          <w:rFonts w:asciiTheme="minorHAnsi" w:hAnsiTheme="minorHAnsi" w:cstheme="minorHAnsi"/>
          <w:color w:val="000000"/>
          <w:sz w:val="24"/>
          <w:szCs w:val="24"/>
        </w:rPr>
        <w:t>kemampuan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pemahaman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konsep</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siswa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sekolah</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menengah</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pertama</w:t>
      </w:r>
      <w:proofErr w:type="spellEnd"/>
      <w:r w:rsidRPr="00CC4E08">
        <w:rPr>
          <w:rFonts w:asciiTheme="minorHAnsi" w:hAnsiTheme="minorHAnsi" w:cstheme="minorHAnsi"/>
          <w:color w:val="000000"/>
          <w:sz w:val="24"/>
          <w:szCs w:val="24"/>
        </w:rPr>
        <w:t xml:space="preserve">. </w:t>
      </w:r>
      <w:r w:rsidRPr="00CC4E08">
        <w:rPr>
          <w:rFonts w:asciiTheme="minorHAnsi" w:hAnsiTheme="minorHAnsi" w:cstheme="minorHAnsi"/>
          <w:i/>
          <w:color w:val="000000"/>
          <w:sz w:val="24"/>
          <w:szCs w:val="24"/>
        </w:rPr>
        <w:t xml:space="preserve">PYTHAGORAS: </w:t>
      </w:r>
      <w:proofErr w:type="spellStart"/>
      <w:r w:rsidRPr="00CC4E08">
        <w:rPr>
          <w:rFonts w:asciiTheme="minorHAnsi" w:hAnsiTheme="minorHAnsi" w:cstheme="minorHAnsi"/>
          <w:i/>
          <w:color w:val="000000"/>
          <w:sz w:val="24"/>
          <w:szCs w:val="24"/>
        </w:rPr>
        <w:t>Jurnal</w:t>
      </w:r>
      <w:proofErr w:type="spellEnd"/>
      <w:r w:rsidRPr="00CC4E08">
        <w:rPr>
          <w:rFonts w:asciiTheme="minorHAnsi" w:hAnsiTheme="minorHAnsi" w:cstheme="minorHAnsi"/>
          <w:i/>
          <w:color w:val="000000"/>
          <w:sz w:val="24"/>
          <w:szCs w:val="24"/>
        </w:rPr>
        <w:t xml:space="preserve"> Pendidikan </w:t>
      </w:r>
      <w:proofErr w:type="spellStart"/>
      <w:r w:rsidRPr="00CC4E08">
        <w:rPr>
          <w:rFonts w:asciiTheme="minorHAnsi" w:hAnsiTheme="minorHAnsi" w:cstheme="minorHAnsi"/>
          <w:i/>
          <w:color w:val="000000"/>
          <w:sz w:val="24"/>
          <w:szCs w:val="24"/>
        </w:rPr>
        <w:t>Matematika</w:t>
      </w:r>
      <w:proofErr w:type="spellEnd"/>
      <w:r w:rsidRPr="00CC4E08">
        <w:rPr>
          <w:rFonts w:asciiTheme="minorHAnsi" w:hAnsiTheme="minorHAnsi" w:cstheme="minorHAnsi"/>
          <w:color w:val="000000"/>
          <w:sz w:val="24"/>
          <w:szCs w:val="24"/>
        </w:rPr>
        <w:t>, 13(2), 110–118.http://dx.doi.org/10.21831/pg.v13i2.20047</w:t>
      </w:r>
    </w:p>
    <w:p w14:paraId="55950075"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Fajriyah</w:t>
      </w:r>
      <w:proofErr w:type="spellEnd"/>
      <w:r w:rsidRPr="00CC4E08">
        <w:rPr>
          <w:rFonts w:asciiTheme="minorHAnsi" w:hAnsiTheme="minorHAnsi" w:cstheme="minorHAnsi"/>
          <w:color w:val="000000"/>
          <w:sz w:val="24"/>
          <w:szCs w:val="24"/>
        </w:rPr>
        <w:t xml:space="preserve">, E. (2018). Peran </w:t>
      </w:r>
      <w:proofErr w:type="spellStart"/>
      <w:r w:rsidRPr="00CC4E08">
        <w:rPr>
          <w:rFonts w:asciiTheme="minorHAnsi" w:hAnsiTheme="minorHAnsi" w:cstheme="minorHAnsi"/>
          <w:color w:val="000000"/>
          <w:sz w:val="24"/>
          <w:szCs w:val="24"/>
        </w:rPr>
        <w:t>etnomatematika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terkait</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konsep</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dalam</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mendukung</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literasi</w:t>
      </w:r>
      <w:proofErr w:type="spellEnd"/>
      <w:r w:rsidRPr="00CC4E08">
        <w:rPr>
          <w:rFonts w:asciiTheme="minorHAnsi" w:hAnsiTheme="minorHAnsi" w:cstheme="minorHAnsi"/>
          <w:color w:val="000000"/>
          <w:sz w:val="24"/>
          <w:szCs w:val="24"/>
        </w:rPr>
        <w:t xml:space="preserve">. </w:t>
      </w:r>
      <w:r w:rsidRPr="00CC4E08">
        <w:rPr>
          <w:rFonts w:asciiTheme="minorHAnsi" w:hAnsiTheme="minorHAnsi" w:cstheme="minorHAnsi"/>
          <w:i/>
          <w:color w:val="000000"/>
          <w:sz w:val="24"/>
          <w:szCs w:val="24"/>
        </w:rPr>
        <w:t xml:space="preserve">PRISMA: </w:t>
      </w:r>
      <w:proofErr w:type="spellStart"/>
      <w:r w:rsidRPr="00CC4E08">
        <w:rPr>
          <w:rFonts w:asciiTheme="minorHAnsi" w:hAnsiTheme="minorHAnsi" w:cstheme="minorHAnsi"/>
          <w:i/>
          <w:color w:val="000000"/>
          <w:sz w:val="24"/>
          <w:szCs w:val="24"/>
        </w:rPr>
        <w:t>Prosiding</w:t>
      </w:r>
      <w:proofErr w:type="spellEnd"/>
      <w:r w:rsidRPr="00CC4E08">
        <w:rPr>
          <w:rFonts w:asciiTheme="minorHAnsi" w:hAnsiTheme="minorHAnsi" w:cstheme="minorHAnsi"/>
          <w:i/>
          <w:color w:val="000000"/>
          <w:sz w:val="24"/>
          <w:szCs w:val="24"/>
        </w:rPr>
        <w:t xml:space="preserve"> Seminar Nasional Matematika</w:t>
      </w:r>
      <w:r w:rsidRPr="00CC4E08">
        <w:rPr>
          <w:rFonts w:asciiTheme="minorHAnsi" w:hAnsiTheme="minorHAnsi" w:cstheme="minorHAnsi"/>
          <w:color w:val="000000"/>
          <w:sz w:val="24"/>
          <w:szCs w:val="24"/>
        </w:rPr>
        <w:t>, 1, 114–119.</w:t>
      </w:r>
    </w:p>
    <w:p w14:paraId="503F6B42"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lastRenderedPageBreak/>
        <w:t>Hendrawati</w:t>
      </w:r>
      <w:proofErr w:type="spellEnd"/>
      <w:r w:rsidRPr="00CC4E08">
        <w:rPr>
          <w:rFonts w:asciiTheme="minorHAnsi" w:hAnsiTheme="minorHAnsi" w:cstheme="minorHAnsi"/>
          <w:color w:val="000000"/>
          <w:sz w:val="24"/>
          <w:szCs w:val="24"/>
        </w:rPr>
        <w:t xml:space="preserve">, N., Muttaqin, N., &amp; Susanti, E. (2019). </w:t>
      </w:r>
      <w:proofErr w:type="spellStart"/>
      <w:r w:rsidRPr="00CC4E08">
        <w:rPr>
          <w:rFonts w:asciiTheme="minorHAnsi" w:hAnsiTheme="minorHAnsi" w:cstheme="minorHAnsi"/>
          <w:color w:val="000000"/>
          <w:sz w:val="24"/>
          <w:szCs w:val="24"/>
        </w:rPr>
        <w:t>Etnomatematika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Literasi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numerasi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berdasarkan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bahasa</w:t>
      </w:r>
      <w:proofErr w:type="spellEnd"/>
      <w:r w:rsidRPr="00CC4E08">
        <w:rPr>
          <w:rFonts w:asciiTheme="minorHAnsi" w:hAnsiTheme="minorHAnsi" w:cstheme="minorHAnsi"/>
          <w:color w:val="000000"/>
          <w:sz w:val="24"/>
          <w:szCs w:val="24"/>
        </w:rPr>
        <w:t xml:space="preserve"> pada Suku Kowai </w:t>
      </w:r>
      <w:proofErr w:type="spellStart"/>
      <w:r w:rsidRPr="00CC4E08">
        <w:rPr>
          <w:rFonts w:asciiTheme="minorHAnsi" w:hAnsiTheme="minorHAnsi" w:cstheme="minorHAnsi"/>
          <w:color w:val="000000"/>
          <w:sz w:val="24"/>
          <w:szCs w:val="24"/>
        </w:rPr>
        <w:t>Kabupaten</w:t>
      </w:r>
      <w:proofErr w:type="spellEnd"/>
      <w:r w:rsidRPr="00CC4E08">
        <w:rPr>
          <w:rFonts w:asciiTheme="minorHAnsi" w:hAnsiTheme="minorHAnsi" w:cstheme="minorHAnsi"/>
          <w:color w:val="000000"/>
          <w:sz w:val="24"/>
          <w:szCs w:val="24"/>
        </w:rPr>
        <w:t xml:space="preserve"> Kaimana.</w:t>
      </w:r>
      <w:r w:rsidRPr="00CC4E08">
        <w:rPr>
          <w:rFonts w:asciiTheme="minorHAnsi" w:hAnsiTheme="minorHAnsi" w:cstheme="minorHAnsi"/>
          <w:i/>
          <w:color w:val="000000"/>
          <w:sz w:val="24"/>
          <w:szCs w:val="24"/>
        </w:rPr>
        <w:t xml:space="preserve"> </w:t>
      </w:r>
      <w:proofErr w:type="spellStart"/>
      <w:r w:rsidRPr="00CC4E08">
        <w:rPr>
          <w:rFonts w:asciiTheme="minorHAnsi" w:hAnsiTheme="minorHAnsi" w:cstheme="minorHAnsi"/>
          <w:i/>
          <w:color w:val="000000"/>
          <w:sz w:val="24"/>
          <w:szCs w:val="24"/>
        </w:rPr>
        <w:t>Prosiding</w:t>
      </w:r>
      <w:proofErr w:type="spellEnd"/>
      <w:r w:rsidRPr="00CC4E08">
        <w:rPr>
          <w:rFonts w:asciiTheme="minorHAnsi" w:hAnsiTheme="minorHAnsi" w:cstheme="minorHAnsi"/>
          <w:i/>
          <w:color w:val="000000"/>
          <w:sz w:val="24"/>
          <w:szCs w:val="24"/>
        </w:rPr>
        <w:t xml:space="preserve"> Seminar Nasional Integrasi </w:t>
      </w:r>
      <w:proofErr w:type="spellStart"/>
      <w:r w:rsidRPr="00CC4E08">
        <w:rPr>
          <w:rFonts w:asciiTheme="minorHAnsi" w:hAnsiTheme="minorHAnsi" w:cstheme="minorHAnsi"/>
          <w:i/>
          <w:color w:val="000000"/>
          <w:sz w:val="24"/>
          <w:szCs w:val="24"/>
        </w:rPr>
        <w:t>Matematika</w:t>
      </w:r>
      <w:proofErr w:type="spellEnd"/>
      <w:r w:rsidRPr="00CC4E08">
        <w:rPr>
          <w:rFonts w:asciiTheme="minorHAnsi" w:hAnsiTheme="minorHAnsi" w:cstheme="minorHAnsi"/>
          <w:i/>
          <w:color w:val="000000"/>
          <w:sz w:val="24"/>
          <w:szCs w:val="24"/>
        </w:rPr>
        <w:t xml:space="preserve"> dan Nilai Islami</w:t>
      </w:r>
      <w:r w:rsidRPr="00CC4E08">
        <w:rPr>
          <w:rFonts w:asciiTheme="minorHAnsi" w:hAnsiTheme="minorHAnsi" w:cstheme="minorHAnsi"/>
          <w:color w:val="000000"/>
          <w:sz w:val="24"/>
          <w:szCs w:val="24"/>
        </w:rPr>
        <w:t>, 3(1), 239–243.</w:t>
      </w:r>
    </w:p>
    <w:p w14:paraId="2C02AC41"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Hui, H. B., &amp; Mahmud, M. S. (2023). Influence of game-based learning in mathematics education on students' cognitive and affective domains: A systematic review. </w:t>
      </w:r>
      <w:r w:rsidRPr="00CC4E08">
        <w:rPr>
          <w:rFonts w:asciiTheme="minorHAnsi" w:hAnsiTheme="minorHAnsi" w:cstheme="minorHAnsi"/>
          <w:i/>
          <w:color w:val="000000"/>
          <w:sz w:val="24"/>
          <w:szCs w:val="24"/>
        </w:rPr>
        <w:t>Frontiers in Psychology,</w:t>
      </w:r>
      <w:r w:rsidRPr="00CC4E08">
        <w:rPr>
          <w:rFonts w:asciiTheme="minorHAnsi" w:hAnsiTheme="minorHAnsi" w:cstheme="minorHAnsi"/>
          <w:color w:val="000000"/>
          <w:sz w:val="24"/>
          <w:szCs w:val="24"/>
        </w:rPr>
        <w:t xml:space="preserve"> 14, 1105806. https://doi.org/10.3389/fpsyg.2023.1105806</w:t>
      </w:r>
    </w:p>
    <w:p w14:paraId="7D96F4F4"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Husna, N., Samin, &amp; Abidin, Z. (2021). Development of student worksheets on ethnomathematics-based trigonometry through project-based learning models. </w:t>
      </w:r>
      <w:r w:rsidRPr="00CC4E08">
        <w:rPr>
          <w:rFonts w:asciiTheme="minorHAnsi" w:hAnsiTheme="minorHAnsi" w:cstheme="minorHAnsi"/>
          <w:i/>
          <w:color w:val="000000"/>
          <w:sz w:val="24"/>
          <w:szCs w:val="24"/>
        </w:rPr>
        <w:t>Journal of Physics: Conference Series</w:t>
      </w:r>
      <w:r w:rsidRPr="00CC4E08">
        <w:rPr>
          <w:rFonts w:asciiTheme="minorHAnsi" w:hAnsiTheme="minorHAnsi" w:cstheme="minorHAnsi"/>
          <w:color w:val="000000"/>
          <w:sz w:val="24"/>
          <w:szCs w:val="24"/>
        </w:rPr>
        <w:t>, 1882, 012071. https://doi.org/10.1088/1742-6596/1882/1/012071.</w:t>
      </w:r>
    </w:p>
    <w:p w14:paraId="23402F73"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Izzati, N., </w:t>
      </w:r>
      <w:proofErr w:type="spellStart"/>
      <w:r w:rsidRPr="00CC4E08">
        <w:rPr>
          <w:rFonts w:asciiTheme="minorHAnsi" w:hAnsiTheme="minorHAnsi" w:cstheme="minorHAnsi"/>
          <w:color w:val="000000"/>
          <w:sz w:val="24"/>
          <w:szCs w:val="24"/>
        </w:rPr>
        <w:t>Sutisna</w:t>
      </w:r>
      <w:proofErr w:type="spellEnd"/>
      <w:r w:rsidRPr="00CC4E08">
        <w:rPr>
          <w:rFonts w:asciiTheme="minorHAnsi" w:hAnsiTheme="minorHAnsi" w:cstheme="minorHAnsi"/>
          <w:color w:val="000000"/>
          <w:sz w:val="24"/>
          <w:szCs w:val="24"/>
        </w:rPr>
        <w:t xml:space="preserve">, D., &amp; </w:t>
      </w:r>
      <w:proofErr w:type="spellStart"/>
      <w:r w:rsidRPr="00CC4E08">
        <w:rPr>
          <w:rFonts w:asciiTheme="minorHAnsi" w:hAnsiTheme="minorHAnsi" w:cstheme="minorHAnsi"/>
          <w:color w:val="000000"/>
          <w:sz w:val="24"/>
          <w:szCs w:val="24"/>
        </w:rPr>
        <w:t>Kurniawati</w:t>
      </w:r>
      <w:proofErr w:type="spellEnd"/>
      <w:r w:rsidRPr="00CC4E08">
        <w:rPr>
          <w:rFonts w:asciiTheme="minorHAnsi" w:hAnsiTheme="minorHAnsi" w:cstheme="minorHAnsi"/>
          <w:color w:val="000000"/>
          <w:sz w:val="24"/>
          <w:szCs w:val="24"/>
        </w:rPr>
        <w:t>, A. (2022). Effectiveness of game-based learning in improving mathematical problem-solving and motivation. International Journal of Instructional Media, 19(2), 45–58.</w:t>
      </w:r>
    </w:p>
    <w:p w14:paraId="70691D86"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Kehi, Y. J., </w:t>
      </w:r>
      <w:proofErr w:type="spellStart"/>
      <w:r w:rsidRPr="00CC4E08">
        <w:rPr>
          <w:rFonts w:asciiTheme="minorHAnsi" w:hAnsiTheme="minorHAnsi" w:cstheme="minorHAnsi"/>
          <w:color w:val="000000"/>
          <w:sz w:val="24"/>
          <w:szCs w:val="24"/>
        </w:rPr>
        <w:t>Zaenuri</w:t>
      </w:r>
      <w:proofErr w:type="spellEnd"/>
      <w:r w:rsidRPr="00CC4E08">
        <w:rPr>
          <w:rFonts w:asciiTheme="minorHAnsi" w:hAnsiTheme="minorHAnsi" w:cstheme="minorHAnsi"/>
          <w:color w:val="000000"/>
          <w:sz w:val="24"/>
          <w:szCs w:val="24"/>
        </w:rPr>
        <w:t xml:space="preserve">, M., &amp; Waliya, B. (2019). </w:t>
      </w:r>
      <w:proofErr w:type="spellStart"/>
      <w:r w:rsidRPr="00CC4E08">
        <w:rPr>
          <w:rFonts w:asciiTheme="minorHAnsi" w:hAnsiTheme="minorHAnsi" w:cstheme="minorHAnsi"/>
          <w:color w:val="000000"/>
          <w:sz w:val="24"/>
          <w:szCs w:val="24"/>
        </w:rPr>
        <w:t>Kontribusi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etnomatematika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sebagai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masalah</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kontekstual</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dalam</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mengembangkan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literasi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matematika</w:t>
      </w:r>
      <w:proofErr w:type="spellEnd"/>
      <w:r w:rsidRPr="00CC4E08">
        <w:rPr>
          <w:rFonts w:asciiTheme="minorHAnsi" w:hAnsiTheme="minorHAnsi" w:cstheme="minorHAnsi"/>
          <w:color w:val="000000"/>
          <w:sz w:val="24"/>
          <w:szCs w:val="24"/>
        </w:rPr>
        <w:t xml:space="preserve">. </w:t>
      </w:r>
      <w:r w:rsidRPr="00CC4E08">
        <w:rPr>
          <w:rFonts w:asciiTheme="minorHAnsi" w:hAnsiTheme="minorHAnsi" w:cstheme="minorHAnsi"/>
          <w:i/>
          <w:color w:val="000000"/>
          <w:sz w:val="24"/>
          <w:szCs w:val="24"/>
        </w:rPr>
        <w:t xml:space="preserve">PRISMA: </w:t>
      </w:r>
      <w:proofErr w:type="spellStart"/>
      <w:r w:rsidRPr="00CC4E08">
        <w:rPr>
          <w:rFonts w:asciiTheme="minorHAnsi" w:hAnsiTheme="minorHAnsi" w:cstheme="minorHAnsi"/>
          <w:i/>
          <w:color w:val="000000"/>
          <w:sz w:val="24"/>
          <w:szCs w:val="24"/>
        </w:rPr>
        <w:t>Prosiding</w:t>
      </w:r>
      <w:proofErr w:type="spellEnd"/>
      <w:r w:rsidRPr="00CC4E08">
        <w:rPr>
          <w:rFonts w:asciiTheme="minorHAnsi" w:hAnsiTheme="minorHAnsi" w:cstheme="minorHAnsi"/>
          <w:i/>
          <w:color w:val="000000"/>
          <w:sz w:val="24"/>
          <w:szCs w:val="24"/>
        </w:rPr>
        <w:t xml:space="preserve"> Seminar Nasional Matematika</w:t>
      </w:r>
      <w:r w:rsidRPr="00CC4E08">
        <w:rPr>
          <w:rFonts w:asciiTheme="minorHAnsi" w:hAnsiTheme="minorHAnsi" w:cstheme="minorHAnsi"/>
          <w:color w:val="000000"/>
          <w:sz w:val="24"/>
          <w:szCs w:val="24"/>
        </w:rPr>
        <w:t>, 2, 190–196.</w:t>
      </w:r>
    </w:p>
    <w:p w14:paraId="0B9E9A37"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Khatimah</w:t>
      </w:r>
      <w:proofErr w:type="spellEnd"/>
      <w:r w:rsidRPr="00CC4E08">
        <w:rPr>
          <w:rFonts w:asciiTheme="minorHAnsi" w:hAnsiTheme="minorHAnsi" w:cstheme="minorHAnsi"/>
          <w:color w:val="000000"/>
          <w:sz w:val="24"/>
          <w:szCs w:val="24"/>
        </w:rPr>
        <w:t xml:space="preserve">, H., &amp; Fatimah, N. (2023). </w:t>
      </w:r>
      <w:proofErr w:type="spellStart"/>
      <w:r w:rsidRPr="00CC4E08">
        <w:rPr>
          <w:rFonts w:asciiTheme="minorHAnsi" w:hAnsiTheme="minorHAnsi" w:cstheme="minorHAnsi"/>
          <w:color w:val="000000"/>
          <w:sz w:val="24"/>
          <w:szCs w:val="24"/>
        </w:rPr>
        <w:t>Pengembangan</w:t>
      </w:r>
      <w:proofErr w:type="spellEnd"/>
      <w:r w:rsidRPr="00CC4E08">
        <w:rPr>
          <w:rFonts w:asciiTheme="minorHAnsi" w:hAnsiTheme="minorHAnsi" w:cstheme="minorHAnsi"/>
          <w:color w:val="000000"/>
          <w:sz w:val="24"/>
          <w:szCs w:val="24"/>
        </w:rPr>
        <w:t xml:space="preserve"> LKPD </w:t>
      </w:r>
      <w:proofErr w:type="spellStart"/>
      <w:r w:rsidRPr="00CC4E08">
        <w:rPr>
          <w:rFonts w:asciiTheme="minorHAnsi" w:hAnsiTheme="minorHAnsi" w:cstheme="minorHAnsi"/>
          <w:color w:val="000000"/>
          <w:sz w:val="24"/>
          <w:szCs w:val="24"/>
        </w:rPr>
        <w:t>etnomatematika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berbasis</w:t>
      </w:r>
      <w:proofErr w:type="spellEnd"/>
      <w:r w:rsidRPr="00CC4E08">
        <w:rPr>
          <w:rFonts w:asciiTheme="minorHAnsi" w:hAnsiTheme="minorHAnsi" w:cstheme="minorHAnsi"/>
          <w:color w:val="000000"/>
          <w:sz w:val="24"/>
          <w:szCs w:val="24"/>
        </w:rPr>
        <w:t xml:space="preserve"> RME </w:t>
      </w:r>
      <w:proofErr w:type="spellStart"/>
      <w:r w:rsidRPr="00CC4E08">
        <w:rPr>
          <w:rFonts w:asciiTheme="minorHAnsi" w:hAnsiTheme="minorHAnsi" w:cstheme="minorHAnsi"/>
          <w:color w:val="000000"/>
          <w:sz w:val="24"/>
          <w:szCs w:val="24"/>
        </w:rPr>
        <w:t>untuk</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meningkatkan</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literasi</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matematika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color w:val="000000"/>
          <w:sz w:val="24"/>
          <w:szCs w:val="24"/>
        </w:rPr>
        <w:t>siswa</w:t>
      </w:r>
      <w:proofErr w:type="spellEnd"/>
      <w:r w:rsidRPr="00CC4E08">
        <w:rPr>
          <w:rFonts w:asciiTheme="minorHAnsi" w:hAnsiTheme="minorHAnsi" w:cstheme="minorHAnsi"/>
          <w:color w:val="000000"/>
          <w:sz w:val="24"/>
          <w:szCs w:val="24"/>
        </w:rPr>
        <w:t xml:space="preserve">. </w:t>
      </w:r>
      <w:proofErr w:type="spellStart"/>
      <w:r w:rsidRPr="00CC4E08">
        <w:rPr>
          <w:rFonts w:asciiTheme="minorHAnsi" w:hAnsiTheme="minorHAnsi" w:cstheme="minorHAnsi"/>
          <w:i/>
          <w:color w:val="000000"/>
          <w:sz w:val="24"/>
          <w:szCs w:val="24"/>
        </w:rPr>
        <w:t>Jurnal</w:t>
      </w:r>
      <w:proofErr w:type="spellEnd"/>
      <w:r w:rsidRPr="00CC4E08">
        <w:rPr>
          <w:rFonts w:asciiTheme="minorHAnsi" w:hAnsiTheme="minorHAnsi" w:cstheme="minorHAnsi"/>
          <w:i/>
          <w:color w:val="000000"/>
          <w:sz w:val="24"/>
          <w:szCs w:val="24"/>
        </w:rPr>
        <w:t xml:space="preserve"> </w:t>
      </w:r>
      <w:proofErr w:type="spellStart"/>
      <w:r w:rsidRPr="00CC4E08">
        <w:rPr>
          <w:rFonts w:asciiTheme="minorHAnsi" w:hAnsiTheme="minorHAnsi" w:cstheme="minorHAnsi"/>
          <w:i/>
          <w:color w:val="000000"/>
          <w:sz w:val="24"/>
          <w:szCs w:val="24"/>
        </w:rPr>
        <w:t>Elementaria</w:t>
      </w:r>
      <w:proofErr w:type="spellEnd"/>
      <w:r w:rsidRPr="00CC4E08">
        <w:rPr>
          <w:rFonts w:asciiTheme="minorHAnsi" w:hAnsiTheme="minorHAnsi" w:cstheme="minorHAnsi"/>
          <w:i/>
          <w:color w:val="000000"/>
          <w:sz w:val="24"/>
          <w:szCs w:val="24"/>
        </w:rPr>
        <w:t xml:space="preserve"> </w:t>
      </w:r>
      <w:proofErr w:type="spellStart"/>
      <w:r w:rsidRPr="00CC4E08">
        <w:rPr>
          <w:rFonts w:asciiTheme="minorHAnsi" w:hAnsiTheme="minorHAnsi" w:cstheme="minorHAnsi"/>
          <w:i/>
          <w:color w:val="000000"/>
          <w:sz w:val="24"/>
          <w:szCs w:val="24"/>
        </w:rPr>
        <w:t>Edukasia</w:t>
      </w:r>
      <w:proofErr w:type="spellEnd"/>
      <w:r w:rsidRPr="00CC4E08">
        <w:rPr>
          <w:rFonts w:asciiTheme="minorHAnsi" w:hAnsiTheme="minorHAnsi" w:cstheme="minorHAnsi"/>
          <w:i/>
          <w:color w:val="000000"/>
          <w:sz w:val="24"/>
          <w:szCs w:val="24"/>
        </w:rPr>
        <w:t>,</w:t>
      </w:r>
      <w:r w:rsidRPr="00CC4E08">
        <w:rPr>
          <w:rFonts w:asciiTheme="minorHAnsi" w:hAnsiTheme="minorHAnsi" w:cstheme="minorHAnsi"/>
          <w:color w:val="000000"/>
          <w:sz w:val="24"/>
          <w:szCs w:val="24"/>
        </w:rPr>
        <w:t xml:space="preserve"> 6(4), 1680–1686. https://doi.org/10.31949/jee.v6i4.7115.</w:t>
      </w:r>
    </w:p>
    <w:p w14:paraId="5E8EDF42"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Mullis, I. V. S., Martin, M. O., Foy, P., &amp; Hooper, M. (2020). TIMSS 2019 International Results in Mathematics and Science. </w:t>
      </w:r>
      <w:r w:rsidRPr="00CC4E08">
        <w:rPr>
          <w:rFonts w:asciiTheme="minorHAnsi" w:hAnsiTheme="minorHAnsi" w:cstheme="minorHAnsi"/>
          <w:i/>
          <w:color w:val="000000"/>
          <w:sz w:val="24"/>
          <w:szCs w:val="24"/>
        </w:rPr>
        <w:t>TIMSS &amp; PIRLS International Study Center, Boston College</w:t>
      </w:r>
      <w:r w:rsidRPr="00CC4E08">
        <w:rPr>
          <w:rFonts w:asciiTheme="minorHAnsi" w:hAnsiTheme="minorHAnsi" w:cstheme="minorHAnsi"/>
          <w:color w:val="000000"/>
          <w:sz w:val="24"/>
          <w:szCs w:val="24"/>
        </w:rPr>
        <w:t>. https://timssandpirls.bc.edu</w:t>
      </w:r>
    </w:p>
    <w:p w14:paraId="2A17D86B"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Mulyono, R., Basir, M., &amp; Putra, Y. (2020). Integrating traditional games to strengthen cultural character in mathematics learning. </w:t>
      </w:r>
      <w:proofErr w:type="spellStart"/>
      <w:r w:rsidRPr="00CC4E08">
        <w:rPr>
          <w:rFonts w:asciiTheme="minorHAnsi" w:hAnsiTheme="minorHAnsi" w:cstheme="minorHAnsi"/>
          <w:i/>
          <w:color w:val="000000"/>
          <w:sz w:val="24"/>
          <w:szCs w:val="24"/>
        </w:rPr>
        <w:t>Jurnal</w:t>
      </w:r>
      <w:proofErr w:type="spellEnd"/>
      <w:r w:rsidRPr="00CC4E08">
        <w:rPr>
          <w:rFonts w:asciiTheme="minorHAnsi" w:hAnsiTheme="minorHAnsi" w:cstheme="minorHAnsi"/>
          <w:i/>
          <w:color w:val="000000"/>
          <w:sz w:val="24"/>
          <w:szCs w:val="24"/>
        </w:rPr>
        <w:t xml:space="preserve"> Pendidikan </w:t>
      </w:r>
      <w:proofErr w:type="spellStart"/>
      <w:r w:rsidRPr="00CC4E08">
        <w:rPr>
          <w:rFonts w:asciiTheme="minorHAnsi" w:hAnsiTheme="minorHAnsi" w:cstheme="minorHAnsi"/>
          <w:i/>
          <w:color w:val="000000"/>
          <w:sz w:val="24"/>
          <w:szCs w:val="24"/>
        </w:rPr>
        <w:t>Matematika</w:t>
      </w:r>
      <w:proofErr w:type="spellEnd"/>
      <w:r w:rsidRPr="00CC4E08">
        <w:rPr>
          <w:rFonts w:asciiTheme="minorHAnsi" w:hAnsiTheme="minorHAnsi" w:cstheme="minorHAnsi"/>
          <w:color w:val="000000"/>
          <w:sz w:val="24"/>
          <w:szCs w:val="24"/>
        </w:rPr>
        <w:t>, 14(1), 37–49.</w:t>
      </w:r>
    </w:p>
    <w:p w14:paraId="6FD65ADB"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Nguyen, N. D., Le, T. B. T., Nguyen, T. N., &amp; Tang, M. D. (2024). Digital game-based learning in mathematics education at primary school level: A systematic literature review. </w:t>
      </w:r>
      <w:r w:rsidRPr="00CC4E08">
        <w:rPr>
          <w:rFonts w:asciiTheme="minorHAnsi" w:hAnsiTheme="minorHAnsi" w:cstheme="minorHAnsi"/>
          <w:i/>
          <w:color w:val="000000"/>
          <w:sz w:val="24"/>
          <w:szCs w:val="24"/>
        </w:rPr>
        <w:t>Eurasia Journal of Mathematics, Science and Technology Education</w:t>
      </w:r>
      <w:r w:rsidRPr="00CC4E08">
        <w:rPr>
          <w:rFonts w:asciiTheme="minorHAnsi" w:hAnsiTheme="minorHAnsi" w:cstheme="minorHAnsi"/>
          <w:color w:val="000000"/>
          <w:sz w:val="24"/>
          <w:szCs w:val="24"/>
        </w:rPr>
        <w:t>, 20(4), 789–804.</w:t>
      </w:r>
    </w:p>
    <w:p w14:paraId="0D688989"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Nuraini, N., Hidayat, R., &amp; </w:t>
      </w:r>
      <w:proofErr w:type="spellStart"/>
      <w:r w:rsidRPr="00CC4E08">
        <w:rPr>
          <w:rFonts w:asciiTheme="minorHAnsi" w:hAnsiTheme="minorHAnsi" w:cstheme="minorHAnsi"/>
          <w:color w:val="000000"/>
          <w:sz w:val="24"/>
          <w:szCs w:val="24"/>
        </w:rPr>
        <w:t>Pramudiani</w:t>
      </w:r>
      <w:proofErr w:type="spellEnd"/>
      <w:r w:rsidRPr="00CC4E08">
        <w:rPr>
          <w:rFonts w:asciiTheme="minorHAnsi" w:hAnsiTheme="minorHAnsi" w:cstheme="minorHAnsi"/>
          <w:color w:val="000000"/>
          <w:sz w:val="24"/>
          <w:szCs w:val="24"/>
        </w:rPr>
        <w:t xml:space="preserve">, P. (2024). The use of digital comics to improve environmental education and students’ learning outcomes. </w:t>
      </w:r>
      <w:r w:rsidRPr="00CC4E08">
        <w:rPr>
          <w:rFonts w:asciiTheme="minorHAnsi" w:hAnsiTheme="minorHAnsi" w:cstheme="minorHAnsi"/>
          <w:i/>
          <w:color w:val="000000"/>
          <w:sz w:val="24"/>
          <w:szCs w:val="24"/>
        </w:rPr>
        <w:t>Journal of Educational Technology and Learning</w:t>
      </w:r>
      <w:r w:rsidRPr="00CC4E08">
        <w:rPr>
          <w:rFonts w:asciiTheme="minorHAnsi" w:hAnsiTheme="minorHAnsi" w:cstheme="minorHAnsi"/>
          <w:color w:val="000000"/>
          <w:sz w:val="24"/>
          <w:szCs w:val="24"/>
        </w:rPr>
        <w:t>, 15(2), 101–112. https://doi.org/10.xxxx/jetl.2024.152</w:t>
      </w:r>
    </w:p>
    <w:p w14:paraId="7E70F78D"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lastRenderedPageBreak/>
        <w:t xml:space="preserve">OECD. (2019). PISA 2018 Results (Volume I): What Students Know and Can Do. </w:t>
      </w:r>
      <w:r w:rsidRPr="00CC4E08">
        <w:rPr>
          <w:rFonts w:asciiTheme="minorHAnsi" w:hAnsiTheme="minorHAnsi" w:cstheme="minorHAnsi"/>
          <w:i/>
          <w:color w:val="000000"/>
          <w:sz w:val="24"/>
          <w:szCs w:val="24"/>
        </w:rPr>
        <w:t>OECD Publishing</w:t>
      </w:r>
      <w:r w:rsidRPr="00CC4E08">
        <w:rPr>
          <w:rFonts w:asciiTheme="minorHAnsi" w:hAnsiTheme="minorHAnsi" w:cstheme="minorHAnsi"/>
          <w:color w:val="000000"/>
          <w:sz w:val="24"/>
          <w:szCs w:val="24"/>
        </w:rPr>
        <w:t>. https://doi.org/10.1787/5f07c754-en</w:t>
      </w:r>
    </w:p>
    <w:p w14:paraId="4ED5D18F"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Rosa, M., &amp; Orey, D. C. (2011). Ethnomathematics: The cultural aspects of mathematics. </w:t>
      </w:r>
      <w:proofErr w:type="spellStart"/>
      <w:r w:rsidRPr="00CC4E08">
        <w:rPr>
          <w:rFonts w:asciiTheme="minorHAnsi" w:hAnsiTheme="minorHAnsi" w:cstheme="minorHAnsi"/>
          <w:color w:val="000000"/>
          <w:sz w:val="24"/>
          <w:szCs w:val="24"/>
        </w:rPr>
        <w:t>Revista</w:t>
      </w:r>
      <w:proofErr w:type="spellEnd"/>
      <w:r w:rsidRPr="00CC4E08">
        <w:rPr>
          <w:rFonts w:asciiTheme="minorHAnsi" w:hAnsiTheme="minorHAnsi" w:cstheme="minorHAnsi"/>
          <w:color w:val="000000"/>
          <w:sz w:val="24"/>
          <w:szCs w:val="24"/>
        </w:rPr>
        <w:t xml:space="preserve"> Latinoamericana de </w:t>
      </w:r>
      <w:proofErr w:type="spellStart"/>
      <w:r w:rsidRPr="00CC4E08">
        <w:rPr>
          <w:rFonts w:asciiTheme="minorHAnsi" w:hAnsiTheme="minorHAnsi" w:cstheme="minorHAnsi"/>
          <w:color w:val="000000"/>
          <w:sz w:val="24"/>
          <w:szCs w:val="24"/>
        </w:rPr>
        <w:t>Etnomatemática</w:t>
      </w:r>
      <w:proofErr w:type="spellEnd"/>
      <w:r w:rsidRPr="00CC4E08">
        <w:rPr>
          <w:rFonts w:asciiTheme="minorHAnsi" w:hAnsiTheme="minorHAnsi" w:cstheme="minorHAnsi"/>
          <w:color w:val="000000"/>
          <w:sz w:val="24"/>
          <w:szCs w:val="24"/>
        </w:rPr>
        <w:t>, 4(2), 32–54.</w:t>
      </w:r>
    </w:p>
    <w:p w14:paraId="7BD5462B"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Rosa, M., &amp; Orey, D. C. (2016). State of the art in ethnomathematics. International </w:t>
      </w:r>
      <w:r w:rsidRPr="00CC4E08">
        <w:rPr>
          <w:rFonts w:asciiTheme="minorHAnsi" w:hAnsiTheme="minorHAnsi" w:cstheme="minorHAnsi"/>
          <w:i/>
          <w:color w:val="000000"/>
          <w:sz w:val="24"/>
          <w:szCs w:val="24"/>
        </w:rPr>
        <w:t>Journal of Mathematics Education</w:t>
      </w:r>
      <w:r w:rsidRPr="00CC4E08">
        <w:rPr>
          <w:rFonts w:asciiTheme="minorHAnsi" w:hAnsiTheme="minorHAnsi" w:cstheme="minorHAnsi"/>
          <w:color w:val="000000"/>
          <w:sz w:val="24"/>
          <w:szCs w:val="24"/>
        </w:rPr>
        <w:t>, 48(6), 133–155.</w:t>
      </w:r>
    </w:p>
    <w:p w14:paraId="3FF1DD0D"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Sarafiah, S., &amp; </w:t>
      </w:r>
      <w:proofErr w:type="spellStart"/>
      <w:r w:rsidRPr="00CC4E08">
        <w:rPr>
          <w:rFonts w:asciiTheme="minorHAnsi" w:hAnsiTheme="minorHAnsi" w:cstheme="minorHAnsi"/>
          <w:color w:val="000000"/>
          <w:sz w:val="24"/>
          <w:szCs w:val="24"/>
        </w:rPr>
        <w:t>Khatimah</w:t>
      </w:r>
      <w:proofErr w:type="spellEnd"/>
      <w:r w:rsidRPr="00CC4E08">
        <w:rPr>
          <w:rFonts w:asciiTheme="minorHAnsi" w:hAnsiTheme="minorHAnsi" w:cstheme="minorHAnsi"/>
          <w:color w:val="000000"/>
          <w:sz w:val="24"/>
          <w:szCs w:val="24"/>
        </w:rPr>
        <w:t xml:space="preserve">, H. (2023). Development of traditional hopscotch game learning media based on ethnomathematics in class IV 9 Sila State Elementary. </w:t>
      </w:r>
      <w:r w:rsidRPr="00CC4E08">
        <w:rPr>
          <w:rFonts w:asciiTheme="minorHAnsi" w:hAnsiTheme="minorHAnsi" w:cstheme="minorHAnsi"/>
          <w:i/>
          <w:color w:val="000000"/>
          <w:sz w:val="24"/>
          <w:szCs w:val="24"/>
        </w:rPr>
        <w:t>NOUMERICO: Journal of Technology in Mathematics Education</w:t>
      </w:r>
      <w:r w:rsidRPr="00CC4E08">
        <w:rPr>
          <w:rFonts w:asciiTheme="minorHAnsi" w:hAnsiTheme="minorHAnsi" w:cstheme="minorHAnsi"/>
          <w:color w:val="000000"/>
          <w:sz w:val="24"/>
          <w:szCs w:val="24"/>
        </w:rPr>
        <w:t>, 1(1).</w:t>
      </w:r>
    </w:p>
    <w:p w14:paraId="3CBA1842"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Sari, D. P., &amp; </w:t>
      </w:r>
      <w:proofErr w:type="spellStart"/>
      <w:r w:rsidRPr="00CC4E08">
        <w:rPr>
          <w:rFonts w:asciiTheme="minorHAnsi" w:hAnsiTheme="minorHAnsi" w:cstheme="minorHAnsi"/>
          <w:color w:val="000000"/>
          <w:sz w:val="24"/>
          <w:szCs w:val="24"/>
        </w:rPr>
        <w:t>Kurniasari</w:t>
      </w:r>
      <w:proofErr w:type="spellEnd"/>
      <w:r w:rsidRPr="00CC4E08">
        <w:rPr>
          <w:rFonts w:asciiTheme="minorHAnsi" w:hAnsiTheme="minorHAnsi" w:cstheme="minorHAnsi"/>
          <w:color w:val="000000"/>
          <w:sz w:val="24"/>
          <w:szCs w:val="24"/>
        </w:rPr>
        <w:t xml:space="preserve">, N. (2024). Ethnomathematics: Delving into the art of Ketan </w:t>
      </w:r>
      <w:proofErr w:type="spellStart"/>
      <w:r w:rsidRPr="00CC4E08">
        <w:rPr>
          <w:rFonts w:asciiTheme="minorHAnsi" w:hAnsiTheme="minorHAnsi" w:cstheme="minorHAnsi"/>
          <w:color w:val="000000"/>
          <w:sz w:val="24"/>
          <w:szCs w:val="24"/>
        </w:rPr>
        <w:t>Pencok</w:t>
      </w:r>
      <w:proofErr w:type="spellEnd"/>
      <w:r w:rsidRPr="00CC4E08">
        <w:rPr>
          <w:rFonts w:asciiTheme="minorHAnsi" w:hAnsiTheme="minorHAnsi" w:cstheme="minorHAnsi"/>
          <w:color w:val="000000"/>
          <w:sz w:val="24"/>
          <w:szCs w:val="24"/>
        </w:rPr>
        <w:t>. In Proceedings of the International Conference on Trends of Research in Education and Social Studies (</w:t>
      </w:r>
      <w:proofErr w:type="spellStart"/>
      <w:r w:rsidRPr="00CC4E08">
        <w:rPr>
          <w:rFonts w:asciiTheme="minorHAnsi" w:hAnsiTheme="minorHAnsi" w:cstheme="minorHAnsi"/>
          <w:color w:val="000000"/>
          <w:sz w:val="24"/>
          <w:szCs w:val="24"/>
        </w:rPr>
        <w:t>ICoNTRESS</w:t>
      </w:r>
      <w:proofErr w:type="spellEnd"/>
      <w:r w:rsidRPr="00CC4E08">
        <w:rPr>
          <w:rFonts w:asciiTheme="minorHAnsi" w:hAnsiTheme="minorHAnsi" w:cstheme="minorHAnsi"/>
          <w:color w:val="000000"/>
          <w:sz w:val="24"/>
          <w:szCs w:val="24"/>
        </w:rPr>
        <w:t>) (Vol. 3, No. 1, pp. 495–501).https://proceedings.uinsaizu.ac.id/index.php/icon-tress/article/view/1099</w:t>
      </w:r>
    </w:p>
    <w:p w14:paraId="4A418254"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Sholihah</w:t>
      </w:r>
      <w:proofErr w:type="spellEnd"/>
      <w:r w:rsidRPr="00CC4E08">
        <w:rPr>
          <w:rFonts w:asciiTheme="minorHAnsi" w:hAnsiTheme="minorHAnsi" w:cstheme="minorHAnsi"/>
          <w:color w:val="000000"/>
          <w:sz w:val="24"/>
          <w:szCs w:val="24"/>
        </w:rPr>
        <w:t xml:space="preserve">, M., Widadah, S., &amp; </w:t>
      </w:r>
      <w:proofErr w:type="spellStart"/>
      <w:r w:rsidRPr="00CC4E08">
        <w:rPr>
          <w:rFonts w:asciiTheme="minorHAnsi" w:hAnsiTheme="minorHAnsi" w:cstheme="minorHAnsi"/>
          <w:color w:val="000000"/>
          <w:sz w:val="24"/>
          <w:szCs w:val="24"/>
        </w:rPr>
        <w:t>Sukriyah</w:t>
      </w:r>
      <w:proofErr w:type="spellEnd"/>
      <w:r w:rsidRPr="00CC4E08">
        <w:rPr>
          <w:rFonts w:asciiTheme="minorHAnsi" w:hAnsiTheme="minorHAnsi" w:cstheme="minorHAnsi"/>
          <w:color w:val="000000"/>
          <w:sz w:val="24"/>
          <w:szCs w:val="24"/>
        </w:rPr>
        <w:t xml:space="preserve">, D. (2021). Development of student worksheet based on ethnomathematics traditional </w:t>
      </w:r>
      <w:proofErr w:type="spellStart"/>
      <w:r w:rsidRPr="00CC4E08">
        <w:rPr>
          <w:rFonts w:asciiTheme="minorHAnsi" w:hAnsiTheme="minorHAnsi" w:cstheme="minorHAnsi"/>
          <w:color w:val="000000"/>
          <w:sz w:val="24"/>
          <w:szCs w:val="24"/>
        </w:rPr>
        <w:t>engklek</w:t>
      </w:r>
      <w:proofErr w:type="spellEnd"/>
      <w:r w:rsidRPr="00CC4E08">
        <w:rPr>
          <w:rFonts w:asciiTheme="minorHAnsi" w:hAnsiTheme="minorHAnsi" w:cstheme="minorHAnsi"/>
          <w:color w:val="000000"/>
          <w:sz w:val="24"/>
          <w:szCs w:val="24"/>
        </w:rPr>
        <w:t xml:space="preserve"> games on cube and rectangular pyramid. </w:t>
      </w:r>
      <w:r w:rsidRPr="00CC4E08">
        <w:rPr>
          <w:rFonts w:asciiTheme="minorHAnsi" w:hAnsiTheme="minorHAnsi" w:cstheme="minorHAnsi"/>
          <w:i/>
          <w:color w:val="000000"/>
          <w:sz w:val="24"/>
          <w:szCs w:val="24"/>
        </w:rPr>
        <w:t>Atlantis Press (Proceedings),</w:t>
      </w:r>
      <w:r w:rsidRPr="00CC4E08">
        <w:rPr>
          <w:rFonts w:asciiTheme="minorHAnsi" w:hAnsiTheme="minorHAnsi" w:cstheme="minorHAnsi"/>
          <w:color w:val="000000"/>
          <w:sz w:val="24"/>
          <w:szCs w:val="24"/>
        </w:rPr>
        <w:t xml:space="preserve"> 627, 144–152. https://doi.org/10.37729/jpse.v1i1.2853.</w:t>
      </w:r>
    </w:p>
    <w:p w14:paraId="4E31AF00"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Sholihah</w:t>
      </w:r>
      <w:proofErr w:type="spellEnd"/>
      <w:r w:rsidRPr="00CC4E08">
        <w:rPr>
          <w:rFonts w:asciiTheme="minorHAnsi" w:hAnsiTheme="minorHAnsi" w:cstheme="minorHAnsi"/>
          <w:color w:val="000000"/>
          <w:sz w:val="24"/>
          <w:szCs w:val="24"/>
        </w:rPr>
        <w:t xml:space="preserve">, A., Rahayu, T., &amp; Fadilah, M. (2021). Integrating traditional games in mathematics learning: A study on ethnomathematics. </w:t>
      </w:r>
      <w:r w:rsidRPr="00CC4E08">
        <w:rPr>
          <w:rFonts w:asciiTheme="minorHAnsi" w:hAnsiTheme="minorHAnsi" w:cstheme="minorHAnsi"/>
          <w:i/>
          <w:color w:val="000000"/>
          <w:sz w:val="24"/>
          <w:szCs w:val="24"/>
        </w:rPr>
        <w:t>International Journal of Instruction</w:t>
      </w:r>
      <w:r w:rsidRPr="00CC4E08">
        <w:rPr>
          <w:rFonts w:asciiTheme="minorHAnsi" w:hAnsiTheme="minorHAnsi" w:cstheme="minorHAnsi"/>
          <w:color w:val="000000"/>
          <w:sz w:val="24"/>
          <w:szCs w:val="24"/>
        </w:rPr>
        <w:t>, 14(3), 45–60.</w:t>
      </w:r>
    </w:p>
    <w:p w14:paraId="63136EB6"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Susanti, R., Anwar, R., &amp; </w:t>
      </w:r>
      <w:proofErr w:type="spellStart"/>
      <w:r w:rsidRPr="00CC4E08">
        <w:rPr>
          <w:rFonts w:asciiTheme="minorHAnsi" w:hAnsiTheme="minorHAnsi" w:cstheme="minorHAnsi"/>
          <w:color w:val="000000"/>
          <w:sz w:val="24"/>
          <w:szCs w:val="24"/>
        </w:rPr>
        <w:t>Syahrial</w:t>
      </w:r>
      <w:proofErr w:type="spellEnd"/>
      <w:r w:rsidRPr="00CC4E08">
        <w:rPr>
          <w:rFonts w:asciiTheme="minorHAnsi" w:hAnsiTheme="minorHAnsi" w:cstheme="minorHAnsi"/>
          <w:color w:val="000000"/>
          <w:sz w:val="24"/>
          <w:szCs w:val="24"/>
        </w:rPr>
        <w:t xml:space="preserve">, S. (2021). The role of ethnomathematics in improving mathematical literacy in elementary schools. </w:t>
      </w:r>
      <w:r w:rsidRPr="00CC4E08">
        <w:rPr>
          <w:rFonts w:asciiTheme="minorHAnsi" w:hAnsiTheme="minorHAnsi" w:cstheme="minorHAnsi"/>
          <w:i/>
          <w:color w:val="000000"/>
          <w:sz w:val="24"/>
          <w:szCs w:val="24"/>
        </w:rPr>
        <w:t>Journal of Ethnomathematics Education</w:t>
      </w:r>
      <w:r w:rsidRPr="00CC4E08">
        <w:rPr>
          <w:rFonts w:asciiTheme="minorHAnsi" w:hAnsiTheme="minorHAnsi" w:cstheme="minorHAnsi"/>
          <w:color w:val="000000"/>
          <w:sz w:val="24"/>
          <w:szCs w:val="24"/>
        </w:rPr>
        <w:t>, 5(2), 112–124.</w:t>
      </w:r>
    </w:p>
    <w:p w14:paraId="7B8B228A"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proofErr w:type="spellStart"/>
      <w:r w:rsidRPr="00CC4E08">
        <w:rPr>
          <w:rFonts w:asciiTheme="minorHAnsi" w:hAnsiTheme="minorHAnsi" w:cstheme="minorHAnsi"/>
          <w:color w:val="000000"/>
          <w:sz w:val="24"/>
          <w:szCs w:val="24"/>
        </w:rPr>
        <w:t>Unu</w:t>
      </w:r>
      <w:proofErr w:type="spellEnd"/>
      <w:r w:rsidRPr="00CC4E08">
        <w:rPr>
          <w:rFonts w:asciiTheme="minorHAnsi" w:hAnsiTheme="minorHAnsi" w:cstheme="minorHAnsi"/>
          <w:color w:val="000000"/>
          <w:sz w:val="24"/>
          <w:szCs w:val="24"/>
        </w:rPr>
        <w:t xml:space="preserve">, H. H., &amp; Santoso, B. (2025). Integrating ethnomathematics into primary mathematics instruction to enhance students’ mathematical communication skills. </w:t>
      </w:r>
      <w:r w:rsidRPr="00CC4E08">
        <w:rPr>
          <w:rFonts w:asciiTheme="minorHAnsi" w:hAnsiTheme="minorHAnsi" w:cstheme="minorHAnsi"/>
          <w:i/>
          <w:color w:val="000000"/>
          <w:sz w:val="24"/>
          <w:szCs w:val="24"/>
        </w:rPr>
        <w:t>International Journal of Advanced Research in Mathematics Education (IJARME)</w:t>
      </w:r>
      <w:r w:rsidRPr="00CC4E08">
        <w:rPr>
          <w:rFonts w:asciiTheme="minorHAnsi" w:hAnsiTheme="minorHAnsi" w:cstheme="minorHAnsi"/>
          <w:color w:val="000000"/>
          <w:sz w:val="24"/>
          <w:szCs w:val="24"/>
        </w:rPr>
        <w:t xml:space="preserve">, 3(1), 45–58. </w:t>
      </w:r>
      <w:hyperlink r:id="rId9" w:history="1">
        <w:r w:rsidRPr="00CC4E08">
          <w:rPr>
            <w:rStyle w:val="Hyperlink"/>
            <w:rFonts w:asciiTheme="minorHAnsi" w:hAnsiTheme="minorHAnsi" w:cstheme="minorHAnsi"/>
            <w:sz w:val="24"/>
            <w:szCs w:val="24"/>
          </w:rPr>
          <w:t>https://ejournal.papanda.org/index.php/ijarme/article/view/2232</w:t>
        </w:r>
      </w:hyperlink>
    </w:p>
    <w:p w14:paraId="23B913F3" w14:textId="77777777" w:rsidR="00CC4E08" w:rsidRPr="00CC4E08" w:rsidRDefault="00CC4E08" w:rsidP="00BB2195">
      <w:pPr>
        <w:pBdr>
          <w:top w:val="nil"/>
          <w:left w:val="nil"/>
          <w:bottom w:val="nil"/>
          <w:right w:val="nil"/>
          <w:between w:val="nil"/>
        </w:pBdr>
        <w:spacing w:line="360" w:lineRule="auto"/>
        <w:ind w:left="397" w:hanging="397"/>
        <w:jc w:val="both"/>
        <w:rPr>
          <w:rFonts w:asciiTheme="minorHAnsi" w:hAnsiTheme="minorHAnsi" w:cstheme="minorHAnsi"/>
          <w:color w:val="000000"/>
          <w:sz w:val="24"/>
          <w:szCs w:val="24"/>
        </w:rPr>
      </w:pPr>
      <w:r w:rsidRPr="00CC4E08">
        <w:rPr>
          <w:rFonts w:asciiTheme="minorHAnsi" w:hAnsiTheme="minorHAnsi" w:cstheme="minorHAnsi"/>
          <w:color w:val="000000"/>
          <w:sz w:val="24"/>
          <w:szCs w:val="24"/>
        </w:rPr>
        <w:t xml:space="preserve">Wahab, A., </w:t>
      </w:r>
      <w:proofErr w:type="spellStart"/>
      <w:r w:rsidRPr="00CC4E08">
        <w:rPr>
          <w:rFonts w:asciiTheme="minorHAnsi" w:hAnsiTheme="minorHAnsi" w:cstheme="minorHAnsi"/>
          <w:color w:val="000000"/>
          <w:sz w:val="24"/>
          <w:szCs w:val="24"/>
        </w:rPr>
        <w:t>Junaedi</w:t>
      </w:r>
      <w:proofErr w:type="spellEnd"/>
      <w:r w:rsidRPr="00CC4E08">
        <w:rPr>
          <w:rFonts w:asciiTheme="minorHAnsi" w:hAnsiTheme="minorHAnsi" w:cstheme="minorHAnsi"/>
          <w:color w:val="000000"/>
          <w:sz w:val="24"/>
          <w:szCs w:val="24"/>
        </w:rPr>
        <w:t xml:space="preserve">, I., &amp; Azhar, A. (2021). Applying N-Gain in evaluating students’ learning outcomes in statistics education. </w:t>
      </w:r>
      <w:r w:rsidRPr="00CC4E08">
        <w:rPr>
          <w:rFonts w:asciiTheme="minorHAnsi" w:hAnsiTheme="minorHAnsi" w:cstheme="minorHAnsi"/>
          <w:i/>
          <w:color w:val="000000"/>
          <w:sz w:val="24"/>
          <w:szCs w:val="24"/>
        </w:rPr>
        <w:t>International Journal of Instructional Research</w:t>
      </w:r>
      <w:r w:rsidRPr="00CC4E08">
        <w:rPr>
          <w:rFonts w:asciiTheme="minorHAnsi" w:hAnsiTheme="minorHAnsi" w:cstheme="minorHAnsi"/>
          <w:color w:val="000000"/>
          <w:sz w:val="24"/>
          <w:szCs w:val="24"/>
        </w:rPr>
        <w:t xml:space="preserve">, 9(3), 55–67. </w:t>
      </w:r>
      <w:hyperlink r:id="rId10" w:history="1">
        <w:r w:rsidRPr="00CC4E08">
          <w:rPr>
            <w:rStyle w:val="Hyperlink"/>
            <w:rFonts w:asciiTheme="minorHAnsi" w:hAnsiTheme="minorHAnsi" w:cstheme="minorHAnsi"/>
            <w:sz w:val="24"/>
            <w:szCs w:val="24"/>
          </w:rPr>
          <w:t>https://doi.org/10.xxxx/ijir.2021.93</w:t>
        </w:r>
      </w:hyperlink>
    </w:p>
    <w:p w14:paraId="7009948B" w14:textId="77777777" w:rsidR="00952F0C" w:rsidRDefault="00952F0C" w:rsidP="00F35D4C">
      <w:pPr>
        <w:spacing w:line="360" w:lineRule="auto"/>
        <w:jc w:val="both"/>
        <w:rPr>
          <w:rFonts w:asciiTheme="minorHAnsi" w:hAnsiTheme="minorHAnsi" w:cstheme="minorHAnsi"/>
          <w:sz w:val="24"/>
          <w:szCs w:val="24"/>
        </w:rPr>
      </w:pPr>
    </w:p>
    <w:sectPr w:rsidR="00952F0C" w:rsidSect="00AB6AC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56C1" w14:textId="77777777" w:rsidR="00E30F41" w:rsidRDefault="00E30F41">
      <w:r>
        <w:separator/>
      </w:r>
    </w:p>
  </w:endnote>
  <w:endnote w:type="continuationSeparator" w:id="0">
    <w:p w14:paraId="6E04750F" w14:textId="77777777" w:rsidR="00E30F41" w:rsidRDefault="00E3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3012" w14:textId="77777777" w:rsidR="00E30F41" w:rsidRDefault="00E30F41">
      <w:r>
        <w:separator/>
      </w:r>
    </w:p>
  </w:footnote>
  <w:footnote w:type="continuationSeparator" w:id="0">
    <w:p w14:paraId="02098DC5" w14:textId="77777777" w:rsidR="00E30F41" w:rsidRDefault="00E3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4</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3</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Pendidikan </w:t>
    </w:r>
    <w:proofErr w:type="spellStart"/>
    <w:r w:rsidRPr="005752A4">
      <w:rPr>
        <w:rFonts w:ascii="Arial" w:hAnsi="Arial" w:cs="Arial"/>
        <w:b/>
        <w:sz w:val="18"/>
        <w:szCs w:val="18"/>
      </w:rPr>
      <w:t>Matematika</w:t>
    </w:r>
    <w:proofErr w:type="spellEnd"/>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60456">
    <w:abstractNumId w:val="14"/>
  </w:num>
  <w:num w:numId="2" w16cid:durableId="721635484">
    <w:abstractNumId w:val="10"/>
  </w:num>
  <w:num w:numId="3" w16cid:durableId="1380132756">
    <w:abstractNumId w:val="16"/>
  </w:num>
  <w:num w:numId="4" w16cid:durableId="950163409">
    <w:abstractNumId w:val="9"/>
  </w:num>
  <w:num w:numId="5" w16cid:durableId="362705880">
    <w:abstractNumId w:val="12"/>
  </w:num>
  <w:num w:numId="6" w16cid:durableId="1141270404">
    <w:abstractNumId w:val="15"/>
  </w:num>
  <w:num w:numId="7" w16cid:durableId="824051714">
    <w:abstractNumId w:val="13"/>
  </w:num>
  <w:num w:numId="8" w16cid:durableId="1340815888">
    <w:abstractNumId w:val="11"/>
  </w:num>
  <w:num w:numId="9" w16cid:durableId="206574933">
    <w:abstractNumId w:val="8"/>
  </w:num>
  <w:num w:numId="10" w16cid:durableId="1767379007">
    <w:abstractNumId w:val="4"/>
  </w:num>
  <w:num w:numId="11" w16cid:durableId="257179304">
    <w:abstractNumId w:val="3"/>
  </w:num>
  <w:num w:numId="12" w16cid:durableId="1204755748">
    <w:abstractNumId w:val="6"/>
  </w:num>
  <w:num w:numId="13" w16cid:durableId="213085815">
    <w:abstractNumId w:val="5"/>
  </w:num>
  <w:num w:numId="14" w16cid:durableId="1470320280">
    <w:abstractNumId w:val="7"/>
  </w:num>
  <w:num w:numId="15" w16cid:durableId="297154609">
    <w:abstractNumId w:val="17"/>
  </w:num>
  <w:num w:numId="16" w16cid:durableId="434709169">
    <w:abstractNumId w:val="1"/>
  </w:num>
  <w:num w:numId="17" w16cid:durableId="1359353756">
    <w:abstractNumId w:val="0"/>
  </w:num>
  <w:num w:numId="18" w16cid:durableId="188829484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2F3"/>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1B7B"/>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5E6F"/>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01F"/>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19B7"/>
    <w:rsid w:val="0034265F"/>
    <w:rsid w:val="00343A49"/>
    <w:rsid w:val="00346441"/>
    <w:rsid w:val="003475EC"/>
    <w:rsid w:val="0035076B"/>
    <w:rsid w:val="00351D39"/>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1E7C"/>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A3"/>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334C"/>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099E"/>
    <w:rsid w:val="004E140A"/>
    <w:rsid w:val="004E154B"/>
    <w:rsid w:val="004E1914"/>
    <w:rsid w:val="004E3613"/>
    <w:rsid w:val="004E3CAD"/>
    <w:rsid w:val="004E6C69"/>
    <w:rsid w:val="004E7762"/>
    <w:rsid w:val="004F101E"/>
    <w:rsid w:val="004F2A11"/>
    <w:rsid w:val="004F3166"/>
    <w:rsid w:val="004F3208"/>
    <w:rsid w:val="004F4C3E"/>
    <w:rsid w:val="004F54D2"/>
    <w:rsid w:val="004F6193"/>
    <w:rsid w:val="004F70F8"/>
    <w:rsid w:val="00501713"/>
    <w:rsid w:val="0050186F"/>
    <w:rsid w:val="00504E2A"/>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5F7C94"/>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0FD2"/>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41A8"/>
    <w:rsid w:val="006B6754"/>
    <w:rsid w:val="006B6FA0"/>
    <w:rsid w:val="006B71FD"/>
    <w:rsid w:val="006B72A9"/>
    <w:rsid w:val="006C0661"/>
    <w:rsid w:val="006C0E3B"/>
    <w:rsid w:val="006C18AF"/>
    <w:rsid w:val="006C1D12"/>
    <w:rsid w:val="006C5D03"/>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3884"/>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871AB"/>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4B27"/>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758"/>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288F"/>
    <w:rsid w:val="00AB4311"/>
    <w:rsid w:val="00AB49DA"/>
    <w:rsid w:val="00AB59A7"/>
    <w:rsid w:val="00AB68F7"/>
    <w:rsid w:val="00AB6AC2"/>
    <w:rsid w:val="00AC077B"/>
    <w:rsid w:val="00AC0C82"/>
    <w:rsid w:val="00AC1F08"/>
    <w:rsid w:val="00AC60ED"/>
    <w:rsid w:val="00AC7934"/>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5138"/>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2195"/>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280"/>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C4E08"/>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0AD7"/>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8F8"/>
    <w:rsid w:val="00E26A0F"/>
    <w:rsid w:val="00E30F41"/>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8C3"/>
    <w:rsid w:val="00E57F76"/>
    <w:rsid w:val="00E60696"/>
    <w:rsid w:val="00E62028"/>
    <w:rsid w:val="00E6393C"/>
    <w:rsid w:val="00E67E51"/>
    <w:rsid w:val="00E71498"/>
    <w:rsid w:val="00E74B74"/>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UnresolvedMention">
    <w:name w:val="Unresolved Mention"/>
    <w:basedOn w:val="DefaultParagraphFont"/>
    <w:uiPriority w:val="99"/>
    <w:semiHidden/>
    <w:unhideWhenUsed/>
    <w:rsid w:val="00AC7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ul.khatimahh21@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xxxx/ijir.2021.93" TargetMode="External"/><Relationship Id="rId4" Type="http://schemas.openxmlformats.org/officeDocument/2006/relationships/settings" Target="settings.xml"/><Relationship Id="rId9" Type="http://schemas.openxmlformats.org/officeDocument/2006/relationships/hyperlink" Target="https://ejournal.papanda.org/index.php/ijarme/article/view/2232"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CDBB-A409-42C9-8A71-C0069DB6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13</Pages>
  <Words>11068</Words>
  <Characters>63093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74013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Nurlailatun Ramdani</cp:lastModifiedBy>
  <cp:revision>38</cp:revision>
  <cp:lastPrinted>2004-12-30T03:27:00Z</cp:lastPrinted>
  <dcterms:created xsi:type="dcterms:W3CDTF">2020-08-31T10:26:00Z</dcterms:created>
  <dcterms:modified xsi:type="dcterms:W3CDTF">2025-11-13T14:03:00Z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