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0317D" w14:textId="50BF4BC1" w:rsidR="0074780C" w:rsidRPr="006859DA" w:rsidRDefault="00182DBB" w:rsidP="00EE616F">
      <w:pPr>
        <w:jc w:val="center"/>
        <w:rPr>
          <w:rFonts w:ascii="Cambria" w:hAnsi="Cambria"/>
          <w:noProof/>
          <w:color w:val="000000" w:themeColor="text1"/>
          <w:sz w:val="28"/>
          <w:szCs w:val="28"/>
          <w:lang w:val="en"/>
        </w:rPr>
      </w:pPr>
      <w:r w:rsidRPr="00182DBB">
        <w:rPr>
          <w:rFonts w:ascii="Cambria" w:hAnsi="Cambria" w:cstheme="minorHAnsi"/>
          <w:b/>
          <w:bCs/>
          <w:sz w:val="32"/>
          <w:szCs w:val="18"/>
        </w:rPr>
        <w:t>Authority of the Commercial Court in Settling Trademark Rights Disputes</w:t>
      </w:r>
    </w:p>
    <w:p w14:paraId="7F1BDE2C" w14:textId="1F428026" w:rsidR="00420BD6" w:rsidRPr="006859DA" w:rsidRDefault="00E95347" w:rsidP="00420BD6">
      <w:pPr>
        <w:spacing w:after="0"/>
        <w:jc w:val="center"/>
        <w:rPr>
          <w:rFonts w:ascii="Cambria" w:eastAsia="Cambria" w:hAnsi="Cambria" w:cstheme="minorHAnsi"/>
          <w:b/>
          <w:vertAlign w:val="superscript"/>
        </w:rPr>
      </w:pPr>
      <w:r>
        <w:rPr>
          <w:rFonts w:ascii="Cambria" w:eastAsia="Cambria" w:hAnsi="Cambria" w:cstheme="minorHAnsi"/>
          <w:b/>
        </w:rPr>
        <w:t xml:space="preserve">Ismail Koto, Ibrahim </w:t>
      </w:r>
      <w:proofErr w:type="spellStart"/>
      <w:r>
        <w:rPr>
          <w:rFonts w:ascii="Cambria" w:eastAsia="Cambria" w:hAnsi="Cambria" w:cstheme="minorHAnsi"/>
          <w:b/>
        </w:rPr>
        <w:t>Naingggolan</w:t>
      </w:r>
      <w:proofErr w:type="spellEnd"/>
      <w:r w:rsidR="00952C08">
        <w:rPr>
          <w:rFonts w:ascii="Cambria" w:eastAsia="Cambria" w:hAnsi="Cambria" w:cstheme="minorHAnsi"/>
          <w:b/>
        </w:rPr>
        <w:t>, Rahimah</w:t>
      </w:r>
    </w:p>
    <w:p w14:paraId="7E08F6E1" w14:textId="6B272FF3" w:rsidR="00EE616F" w:rsidRPr="00D9171F" w:rsidRDefault="00420BD6" w:rsidP="00420BD6">
      <w:pPr>
        <w:jc w:val="center"/>
        <w:rPr>
          <w:rStyle w:val="Hyperlink"/>
          <w:rFonts w:ascii="Cambria" w:eastAsia="Cambria" w:hAnsi="Cambria" w:cstheme="minorHAnsi"/>
          <w:b/>
          <w:color w:val="auto"/>
          <w:u w:val="none"/>
          <w:vertAlign w:val="superscript"/>
        </w:rPr>
      </w:pPr>
      <w:r>
        <w:rPr>
          <w:rFonts w:ascii="Bell MT" w:hAnsi="Bell MT"/>
          <w:b/>
          <w:bCs/>
        </w:rPr>
        <w:t>Universitas Muhammadiyah Sumatera Utara</w:t>
      </w:r>
    </w:p>
    <w:p w14:paraId="6C8F7C36" w14:textId="238EAC75" w:rsidR="0033764C" w:rsidRPr="00A14131" w:rsidRDefault="0033764C" w:rsidP="0033764C">
      <w:pPr>
        <w:jc w:val="center"/>
        <w:rPr>
          <w:rFonts w:ascii="Bell MT" w:hAnsi="Bell MT"/>
          <w:bCs/>
        </w:rPr>
      </w:pPr>
    </w:p>
    <w:p w14:paraId="530DC04E" w14:textId="4BD93D7F" w:rsidR="0033764C" w:rsidRPr="00D9171F" w:rsidRDefault="0033764C" w:rsidP="00D9171F">
      <w:pPr>
        <w:tabs>
          <w:tab w:val="left" w:pos="1410"/>
        </w:tabs>
        <w:rPr>
          <w:rFonts w:ascii="Bell MT" w:hAnsi="Bell MT"/>
          <w:b/>
          <w:sz w:val="28"/>
          <w:szCs w:val="28"/>
        </w:rPr>
      </w:pPr>
      <w:r w:rsidRPr="00D9171F">
        <w:rPr>
          <w:rFonts w:ascii="Bell MT" w:hAnsi="Bell MT"/>
          <w:b/>
          <w:color w:val="C00000"/>
          <w:sz w:val="28"/>
          <w:szCs w:val="28"/>
        </w:rPr>
        <w:t>Abstract</w:t>
      </w:r>
    </w:p>
    <w:p w14:paraId="1CAF4DB7" w14:textId="2ACA6A9B" w:rsidR="00962466" w:rsidRPr="00D9171F" w:rsidRDefault="00182DBB" w:rsidP="00D9171F">
      <w:pPr>
        <w:spacing w:after="0" w:line="240" w:lineRule="auto"/>
        <w:jc w:val="both"/>
        <w:rPr>
          <w:rFonts w:ascii="Cambria" w:hAnsi="Cambria"/>
          <w:sz w:val="20"/>
          <w:szCs w:val="20"/>
        </w:rPr>
      </w:pPr>
      <w:r w:rsidRPr="00182DBB">
        <w:rPr>
          <w:rFonts w:ascii="Cambria" w:hAnsi="Cambria"/>
          <w:bCs/>
          <w:sz w:val="20"/>
          <w:szCs w:val="20"/>
        </w:rPr>
        <w:t>Trademark rights are regulated in Law No. 20 of 2016 concerning Trademarks and Geographical Indications. According to Law No. 20 of 2016 concerning Trademarks and Geographical Indications, to obtain rights to a trademark, the trademark must be registered with the Directorate of Trademarks of the Ministry of Law and Human Rights of the Republic of Indonesia according to the constitutive system, in other words, to obtain legal protection for trademark rights, the trademark must be registered by its owner with the Trademark Directorate and after being officially registered in the name of the owner, a trademark certificate will be issued. Law No. 20 of 2016 concerning Trademarks and Geographical Indications, specifically in Article 21 paragraph (1) letters b and c, Article 83 paragraph (2), and reinforced by the Explanation of Article 21 paragraph (1) letter b, Explanation of Article 76 paragraph (2), and Explanation of Article 83 paragraph (2). Indonesia adopts a Trademark registration system with a constitutive system. This system requires trademark registration so that a trademark can receive protection, this system is also known as the first to file system. The applicable procedural law in the process of filing a dispute in the field of intellectual property rights is the Civil Procedural Law as with the civil procedural law in civil cases handled by the District Court in the general judicial body environment. The process of filing a lawsuit for an intellectual property rights dispute has been regulated through laws and regulations in Indonesia, in accordance with the provisions of the applicable law on each intellectual property right, where the lawsuit is processed through the Commercial Court</w:t>
      </w:r>
      <w:r w:rsidR="00A14131" w:rsidRPr="006859DA">
        <w:rPr>
          <w:rFonts w:ascii="Cambria" w:hAnsi="Cambria"/>
          <w:bCs/>
          <w:sz w:val="20"/>
          <w:szCs w:val="20"/>
        </w:rPr>
        <w:t>.</w:t>
      </w:r>
    </w:p>
    <w:p w14:paraId="11158021" w14:textId="77777777" w:rsidR="00D9171F" w:rsidRPr="00D9171F" w:rsidRDefault="00D9171F" w:rsidP="00A14131">
      <w:pPr>
        <w:jc w:val="both"/>
        <w:rPr>
          <w:rFonts w:ascii="Cambria" w:hAnsi="Cambria"/>
          <w:b/>
          <w:color w:val="C00000"/>
          <w:sz w:val="28"/>
          <w:szCs w:val="28"/>
        </w:rPr>
      </w:pPr>
      <w:r w:rsidRPr="00D9171F">
        <w:rPr>
          <w:rFonts w:ascii="Cambria" w:hAnsi="Cambria"/>
          <w:b/>
          <w:color w:val="C00000"/>
          <w:sz w:val="28"/>
          <w:szCs w:val="28"/>
        </w:rPr>
        <w:t>Key words</w:t>
      </w:r>
    </w:p>
    <w:p w14:paraId="05D23776" w14:textId="77777777" w:rsidR="00182DBB" w:rsidRDefault="00182DBB" w:rsidP="004B533E">
      <w:pPr>
        <w:tabs>
          <w:tab w:val="left" w:pos="1410"/>
        </w:tabs>
        <w:jc w:val="both"/>
        <w:rPr>
          <w:rFonts w:ascii="Cambria" w:hAnsi="Cambria"/>
          <w:b/>
          <w:bCs/>
          <w:iCs/>
          <w:color w:val="C00000"/>
          <w:sz w:val="24"/>
          <w:szCs w:val="24"/>
        </w:rPr>
      </w:pPr>
      <w:r w:rsidRPr="00182DBB">
        <w:rPr>
          <w:rFonts w:ascii="Cambria" w:hAnsi="Cambria"/>
          <w:b/>
          <w:bCs/>
          <w:iCs/>
          <w:color w:val="C00000"/>
          <w:sz w:val="24"/>
          <w:szCs w:val="24"/>
        </w:rPr>
        <w:t>Authority; Commercial Court; Trademark Rights.</w:t>
      </w:r>
    </w:p>
    <w:p w14:paraId="5D841990" w14:textId="5B6D2932" w:rsidR="004B533E" w:rsidRPr="004B533E" w:rsidRDefault="0033764C" w:rsidP="004B533E">
      <w:pPr>
        <w:tabs>
          <w:tab w:val="left" w:pos="1410"/>
        </w:tabs>
        <w:jc w:val="both"/>
        <w:rPr>
          <w:rFonts w:ascii="Bell MT" w:hAnsi="Bell MT" w:cs="Arial"/>
          <w:b/>
          <w:color w:val="000000" w:themeColor="text1"/>
        </w:rPr>
      </w:pPr>
      <w:r w:rsidRPr="00D9171F">
        <w:rPr>
          <w:rFonts w:ascii="Bell MT" w:hAnsi="Bell MT" w:cs="Arial"/>
          <w:b/>
          <w:color w:val="C00000"/>
        </w:rPr>
        <w:t>INTRODUCTION</w:t>
      </w:r>
    </w:p>
    <w:p w14:paraId="5C9AA2B1" w14:textId="3780EC8A" w:rsidR="004B533E" w:rsidRDefault="00176C81" w:rsidP="004B533E">
      <w:pPr>
        <w:spacing w:after="0"/>
        <w:ind w:firstLine="720"/>
        <w:jc w:val="both"/>
        <w:rPr>
          <w:rFonts w:ascii="Bell MT" w:hAnsi="Bell MT" w:cs="Arial"/>
          <w:bCs/>
          <w:color w:val="000000" w:themeColor="text1"/>
          <w:sz w:val="24"/>
          <w:szCs w:val="24"/>
        </w:rPr>
      </w:pPr>
      <w:r w:rsidRPr="00176C81">
        <w:rPr>
          <w:rFonts w:ascii="Bell MT" w:hAnsi="Bell MT" w:cs="Arial"/>
          <w:bCs/>
          <w:color w:val="000000" w:themeColor="text1"/>
          <w:sz w:val="24"/>
          <w:szCs w:val="24"/>
        </w:rPr>
        <w:t>Intellectual Property Rights (IPR) are the results of human intelligence which are manifested in the form of creations or discoveries</w:t>
      </w:r>
      <w:r w:rsidR="00D9171F">
        <w:rPr>
          <w:rStyle w:val="FootnoteReference"/>
          <w:rFonts w:ascii="Bell MT" w:hAnsi="Bell MT" w:cs="Arial"/>
          <w:bCs/>
          <w:color w:val="000000" w:themeColor="text1"/>
          <w:sz w:val="24"/>
          <w:szCs w:val="24"/>
        </w:rPr>
        <w:footnoteReference w:id="1"/>
      </w:r>
      <w:r w:rsidR="004B533E">
        <w:rPr>
          <w:rFonts w:ascii="Bell MT" w:hAnsi="Bell MT" w:cs="Arial"/>
          <w:bCs/>
          <w:color w:val="000000" w:themeColor="text1"/>
          <w:sz w:val="24"/>
          <w:szCs w:val="24"/>
        </w:rPr>
        <w:t xml:space="preserve">. </w:t>
      </w:r>
      <w:r w:rsidRPr="00176C81">
        <w:rPr>
          <w:rFonts w:ascii="Bell MT" w:hAnsi="Bell MT" w:cs="Arial"/>
          <w:bCs/>
          <w:color w:val="000000" w:themeColor="text1"/>
          <w:sz w:val="24"/>
          <w:szCs w:val="24"/>
        </w:rPr>
        <w:t>IPR is a property right that is within the scope of technology, science, art, and literature. The object of IPR is not the goods, but rather the results of human intellectual ability, namely in the form of intangible objects. IPR will have economic meaning if it is realized by its owner in the form of an invention or creation to be enjoyed by its consumers.</w:t>
      </w:r>
    </w:p>
    <w:p w14:paraId="478A16AF" w14:textId="6575BFFB" w:rsidR="004B533E" w:rsidRDefault="00176C81" w:rsidP="004B533E">
      <w:pPr>
        <w:spacing w:after="0"/>
        <w:ind w:firstLine="720"/>
        <w:jc w:val="both"/>
        <w:rPr>
          <w:rFonts w:ascii="Bell MT" w:hAnsi="Bell MT" w:cs="Arial"/>
          <w:bCs/>
          <w:color w:val="000000" w:themeColor="text1"/>
          <w:sz w:val="24"/>
          <w:szCs w:val="24"/>
        </w:rPr>
      </w:pPr>
      <w:r w:rsidRPr="00176C81">
        <w:rPr>
          <w:rFonts w:ascii="Bell MT" w:hAnsi="Bell MT" w:cs="Arial"/>
          <w:bCs/>
          <w:color w:val="000000" w:themeColor="text1"/>
          <w:sz w:val="24"/>
          <w:szCs w:val="24"/>
        </w:rPr>
        <w:t>The understanding of a brand as part of IPR cannot be separated from the understanding that brand rights begin with findings in other IPR fields, such as copyright. In a brand there are elements of creation, such as logo design or letters.</w:t>
      </w:r>
      <w:r w:rsidR="004B533E" w:rsidRPr="004B533E">
        <w:rPr>
          <w:rFonts w:ascii="Bell MT" w:hAnsi="Bell MT" w:cs="Arial"/>
          <w:bCs/>
          <w:color w:val="000000" w:themeColor="text1"/>
          <w:sz w:val="24"/>
          <w:szCs w:val="24"/>
        </w:rPr>
        <w:t xml:space="preserve"> </w:t>
      </w:r>
      <w:r w:rsidRPr="00176C81">
        <w:rPr>
          <w:rFonts w:ascii="Bell MT" w:hAnsi="Bell MT" w:cs="Arial"/>
          <w:bCs/>
          <w:color w:val="000000" w:themeColor="text1"/>
          <w:sz w:val="24"/>
          <w:szCs w:val="24"/>
        </w:rPr>
        <w:t xml:space="preserve">There is copyright in the field of art, but in trademark rights it is not the copyright in the field of art that is protected but the trademark </w:t>
      </w:r>
      <w:r w:rsidRPr="00176C81">
        <w:rPr>
          <w:rFonts w:ascii="Bell MT" w:hAnsi="Bell MT" w:cs="Arial"/>
          <w:bCs/>
          <w:color w:val="000000" w:themeColor="text1"/>
          <w:sz w:val="24"/>
          <w:szCs w:val="24"/>
        </w:rPr>
        <w:lastRenderedPageBreak/>
        <w:t>itself.</w:t>
      </w:r>
      <w:r w:rsidR="004B533E" w:rsidRPr="004B533E">
        <w:rPr>
          <w:rFonts w:ascii="Bell MT" w:hAnsi="Bell MT" w:cs="Arial"/>
          <w:bCs/>
          <w:color w:val="000000" w:themeColor="text1"/>
          <w:sz w:val="24"/>
          <w:szCs w:val="24"/>
        </w:rPr>
        <w:t xml:space="preserve"> </w:t>
      </w:r>
      <w:r w:rsidRPr="00176C81">
        <w:rPr>
          <w:rFonts w:ascii="Bell MT" w:hAnsi="Bell MT" w:cs="Arial"/>
          <w:bCs/>
          <w:color w:val="000000" w:themeColor="text1"/>
          <w:sz w:val="24"/>
          <w:szCs w:val="24"/>
        </w:rPr>
        <w:t>and the trademark rights are limited only to its use or application on marketed products and which have economic value</w:t>
      </w:r>
      <w:r w:rsidRPr="00176C81">
        <w:rPr>
          <w:rStyle w:val="FootnoteReference"/>
          <w:rFonts w:ascii="Bell MT" w:hAnsi="Bell MT" w:cs="Arial"/>
          <w:bCs/>
          <w:color w:val="000000" w:themeColor="text1"/>
          <w:sz w:val="24"/>
          <w:szCs w:val="24"/>
          <w:vertAlign w:val="baseline"/>
        </w:rPr>
        <w:t xml:space="preserve"> </w:t>
      </w:r>
      <w:r w:rsidR="00D9171F">
        <w:rPr>
          <w:rStyle w:val="FootnoteReference"/>
          <w:rFonts w:ascii="Bell MT" w:hAnsi="Bell MT" w:cs="Arial"/>
          <w:bCs/>
          <w:color w:val="000000" w:themeColor="text1"/>
          <w:sz w:val="24"/>
          <w:szCs w:val="24"/>
        </w:rPr>
        <w:footnoteReference w:id="2"/>
      </w:r>
      <w:r w:rsidR="004B533E">
        <w:rPr>
          <w:rFonts w:ascii="Bell MT" w:hAnsi="Bell MT" w:cs="Arial"/>
          <w:bCs/>
          <w:color w:val="000000" w:themeColor="text1"/>
          <w:sz w:val="24"/>
          <w:szCs w:val="24"/>
        </w:rPr>
        <w:t>.</w:t>
      </w:r>
    </w:p>
    <w:p w14:paraId="1B868A58" w14:textId="315AD186" w:rsidR="004B533E" w:rsidRPr="004B533E" w:rsidRDefault="00176C81" w:rsidP="004B533E">
      <w:pPr>
        <w:spacing w:after="0"/>
        <w:ind w:firstLine="720"/>
        <w:jc w:val="both"/>
        <w:rPr>
          <w:rFonts w:ascii="Bell MT" w:hAnsi="Bell MT" w:cs="Arial"/>
          <w:bCs/>
          <w:color w:val="000000" w:themeColor="text1"/>
          <w:sz w:val="24"/>
          <w:szCs w:val="24"/>
          <w:lang w:val="fi-FI"/>
        </w:rPr>
      </w:pPr>
      <w:r w:rsidRPr="00176C81">
        <w:rPr>
          <w:rFonts w:ascii="Bell MT" w:hAnsi="Bell MT" w:cs="Arial"/>
          <w:bCs/>
          <w:color w:val="000000" w:themeColor="text1"/>
          <w:sz w:val="24"/>
          <w:szCs w:val="24"/>
          <w:lang w:val="fi-FI"/>
        </w:rPr>
        <w:t>For manufacturers, a brand is an image and a good name for a company, and is also part of a business strategy. There is no manufacturer that does not use a brand as an identity for the goods it produces or the services it provides. The identity embodied in the brand is an identifier and at the same time a differentiator between a particular company's brand and the brands of other companies. The right to a brand is a special (exclusive) right granted by the state to its owner to use the brand themselves or to give permission to others to use it. The granting of special rights by the state has the consequence that to obtain it must go through a registration mechanism, so that the nature of registration is mandatory (compulsory). In order for the brand rights to receive protection and recognition from the state, the brand owner must register it with the state. If a brand is not registered, then the brand will not be protected by the state. Consequently, the brand can be used by anyone</w:t>
      </w:r>
      <w:r w:rsidRPr="00176C81">
        <w:rPr>
          <w:rStyle w:val="FootnoteReference"/>
          <w:rFonts w:ascii="Bell MT" w:hAnsi="Bell MT" w:cs="Arial"/>
          <w:bCs/>
          <w:color w:val="000000" w:themeColor="text1"/>
          <w:sz w:val="24"/>
          <w:szCs w:val="24"/>
          <w:vertAlign w:val="baseline"/>
          <w:lang w:val="fi-FI"/>
        </w:rPr>
        <w:t xml:space="preserve"> </w:t>
      </w:r>
      <w:r w:rsidR="00D9171F">
        <w:rPr>
          <w:rStyle w:val="FootnoteReference"/>
          <w:rFonts w:ascii="Bell MT" w:hAnsi="Bell MT" w:cs="Arial"/>
          <w:bCs/>
          <w:color w:val="000000" w:themeColor="text1"/>
          <w:sz w:val="24"/>
          <w:szCs w:val="24"/>
          <w:lang w:val="fi-FI"/>
        </w:rPr>
        <w:footnoteReference w:id="3"/>
      </w:r>
      <w:r w:rsidR="004B533E" w:rsidRPr="004B533E">
        <w:rPr>
          <w:rFonts w:ascii="Bell MT" w:hAnsi="Bell MT" w:cs="Arial"/>
          <w:bCs/>
          <w:color w:val="000000" w:themeColor="text1"/>
          <w:sz w:val="24"/>
          <w:szCs w:val="24"/>
          <w:lang w:val="fi-FI"/>
        </w:rPr>
        <w:t>.</w:t>
      </w:r>
    </w:p>
    <w:p w14:paraId="786BAAF8" w14:textId="3414624F" w:rsidR="004B533E" w:rsidRDefault="00176C81" w:rsidP="004B533E">
      <w:pPr>
        <w:spacing w:after="0"/>
        <w:ind w:firstLine="720"/>
        <w:jc w:val="both"/>
        <w:rPr>
          <w:rFonts w:ascii="Bell MT" w:hAnsi="Bell MT" w:cs="Arial"/>
          <w:bCs/>
          <w:color w:val="000000" w:themeColor="text1"/>
          <w:sz w:val="24"/>
          <w:szCs w:val="24"/>
          <w:lang w:val="fi-FI"/>
        </w:rPr>
      </w:pPr>
      <w:r w:rsidRPr="00176C81">
        <w:rPr>
          <w:rFonts w:ascii="Bell MT" w:hAnsi="Bell MT" w:cs="Arial"/>
          <w:bCs/>
          <w:color w:val="000000" w:themeColor="text1"/>
          <w:sz w:val="24"/>
          <w:szCs w:val="24"/>
          <w:lang w:val="fi-FI"/>
        </w:rPr>
        <w:t>Brands are part of the scope of Intellectual Property. IPR is the right to property that arises or is born from human intellectual ability. IPR is categorized into 2 groups, namely Copyrights and Industrial Property Rights consisting of Patents, Trademarks, Industrial Designs, Trade Secrets, and Integrated Circuit Layout Designs. The purpose of the IPR classification is to maintain the creativity and identity that has been built by a company so that it is better known by the wider community. Basically, brand owners want to achieve consumer loyalty, namely the peak consumer behavior towards the brand, where consumers are willing to do anything to maintain their chosen brand.</w:t>
      </w:r>
      <w:r w:rsidR="004B533E">
        <w:rPr>
          <w:rFonts w:ascii="Bell MT" w:hAnsi="Bell MT" w:cs="Arial"/>
          <w:bCs/>
          <w:color w:val="000000" w:themeColor="text1"/>
          <w:sz w:val="24"/>
          <w:szCs w:val="24"/>
          <w:lang w:val="fi-FI"/>
        </w:rPr>
        <w:t xml:space="preserve"> </w:t>
      </w:r>
      <w:r w:rsidR="00D9171F">
        <w:rPr>
          <w:rStyle w:val="FootnoteReference"/>
          <w:rFonts w:ascii="Bell MT" w:hAnsi="Bell MT" w:cs="Arial"/>
          <w:bCs/>
          <w:color w:val="000000" w:themeColor="text1"/>
          <w:sz w:val="24"/>
          <w:szCs w:val="24"/>
          <w:lang w:val="fi-FI"/>
        </w:rPr>
        <w:footnoteReference w:id="4"/>
      </w:r>
      <w:r w:rsidR="004B533E" w:rsidRPr="004B533E">
        <w:rPr>
          <w:rFonts w:ascii="Bell MT" w:hAnsi="Bell MT" w:cs="Arial"/>
          <w:bCs/>
          <w:color w:val="000000" w:themeColor="text1"/>
          <w:sz w:val="24"/>
          <w:szCs w:val="24"/>
          <w:lang w:val="fi-FI"/>
        </w:rPr>
        <w:t>.</w:t>
      </w:r>
    </w:p>
    <w:p w14:paraId="15BB225A" w14:textId="02D6CBA8" w:rsidR="004B533E" w:rsidRDefault="00176C81" w:rsidP="004B533E">
      <w:pPr>
        <w:spacing w:after="0"/>
        <w:ind w:firstLine="720"/>
        <w:jc w:val="both"/>
        <w:rPr>
          <w:rFonts w:ascii="Bell MT" w:hAnsi="Bell MT" w:cs="Arial"/>
          <w:bCs/>
          <w:color w:val="000000" w:themeColor="text1"/>
          <w:sz w:val="24"/>
          <w:szCs w:val="24"/>
          <w:lang w:val="fi-FI"/>
        </w:rPr>
      </w:pPr>
      <w:r w:rsidRPr="00176C81">
        <w:rPr>
          <w:rFonts w:ascii="Bell MT" w:hAnsi="Bell MT" w:cs="Arial"/>
          <w:bCs/>
          <w:color w:val="000000" w:themeColor="text1"/>
          <w:sz w:val="24"/>
          <w:szCs w:val="24"/>
          <w:lang w:val="fi-FI"/>
        </w:rPr>
        <w:t>Trademark rights are part of IPR, just like copyright, patents and other IPR. The registered trademark must be a trademark that has met the requirements and procedures according to Law Number 20 of 2016 concerning Trademarks so that it obtains legal protection. Trademark registration is carried out by the applicant or his/her attorney in accordance with the requirements and procedures stipulated in the Trademark Law to the Directorate General of Intellectual Property Rights (Ditjen HKI). Trademark rights are obtained from the date of issuance of the trademark certificate by the Directorate General of IPR. The Directorate General of IPR is an institution tasked with providing protection for IPR such as logo copyright. The task of protecting IPR was born because the Directorate General of IPR is an institution that provides legitimacy for trademark registration.</w:t>
      </w:r>
      <w:r w:rsidRPr="00176C81">
        <w:rPr>
          <w:rStyle w:val="FootnoteReference"/>
          <w:rFonts w:ascii="Bell MT" w:hAnsi="Bell MT" w:cs="Arial"/>
          <w:bCs/>
          <w:color w:val="000000" w:themeColor="text1"/>
          <w:sz w:val="24"/>
          <w:szCs w:val="24"/>
          <w:vertAlign w:val="baseline"/>
          <w:lang w:val="fi-FI"/>
        </w:rPr>
        <w:t xml:space="preserve"> </w:t>
      </w:r>
      <w:r w:rsidR="00D9171F">
        <w:rPr>
          <w:rStyle w:val="FootnoteReference"/>
          <w:rFonts w:ascii="Bell MT" w:hAnsi="Bell MT" w:cs="Arial"/>
          <w:bCs/>
          <w:color w:val="000000" w:themeColor="text1"/>
          <w:sz w:val="24"/>
          <w:szCs w:val="24"/>
          <w:lang w:val="fi-FI"/>
        </w:rPr>
        <w:footnoteReference w:id="5"/>
      </w:r>
      <w:r w:rsidR="004B533E">
        <w:rPr>
          <w:rFonts w:ascii="Bell MT" w:hAnsi="Bell MT" w:cs="Arial"/>
          <w:bCs/>
          <w:color w:val="000000" w:themeColor="text1"/>
          <w:sz w:val="24"/>
          <w:szCs w:val="24"/>
          <w:lang w:val="fi-FI"/>
        </w:rPr>
        <w:t>.</w:t>
      </w:r>
    </w:p>
    <w:p w14:paraId="03B91B42" w14:textId="0569C7F9" w:rsidR="004B533E" w:rsidRPr="004B533E" w:rsidRDefault="00176C81" w:rsidP="004B533E">
      <w:pPr>
        <w:spacing w:after="0"/>
        <w:ind w:firstLine="720"/>
        <w:jc w:val="both"/>
        <w:rPr>
          <w:rFonts w:ascii="Bell MT" w:hAnsi="Bell MT" w:cs="Arial"/>
          <w:bCs/>
          <w:color w:val="000000" w:themeColor="text1"/>
          <w:sz w:val="24"/>
          <w:szCs w:val="24"/>
        </w:rPr>
      </w:pPr>
      <w:r w:rsidRPr="00176C81">
        <w:rPr>
          <w:rFonts w:ascii="Bell MT" w:hAnsi="Bell MT" w:cs="Arial"/>
          <w:bCs/>
          <w:color w:val="000000" w:themeColor="text1"/>
          <w:sz w:val="24"/>
          <w:szCs w:val="24"/>
        </w:rPr>
        <w:t xml:space="preserve">In resolving disputes in the field of IPR, the first level judicial body that is given the authority to handle it is the Commercial Court as a special court within the general judicial system and for legal remedies to appeal against the decision of the Commercial Court can only be done through legal remedies of cassation to the Supreme Court as the final level court in the </w:t>
      </w:r>
      <w:r w:rsidRPr="00176C81">
        <w:rPr>
          <w:rFonts w:ascii="Bell MT" w:hAnsi="Bell MT" w:cs="Arial"/>
          <w:bCs/>
          <w:color w:val="000000" w:themeColor="text1"/>
          <w:sz w:val="24"/>
          <w:szCs w:val="24"/>
        </w:rPr>
        <w:lastRenderedPageBreak/>
        <w:t>process of resolving IPR disputes. The procedural law that applies in resolving disputes in the field of IPR, including Copyright disputes, is Civil Procedural Law as with civil procedural law in civil cases handled by the District Court within the general judicial system</w:t>
      </w:r>
      <w:r w:rsidR="004B533E">
        <w:rPr>
          <w:rFonts w:ascii="Bell MT" w:hAnsi="Bell MT" w:cs="Arial"/>
          <w:bCs/>
          <w:color w:val="000000" w:themeColor="text1"/>
          <w:sz w:val="24"/>
          <w:szCs w:val="24"/>
        </w:rPr>
        <w:t>.</w:t>
      </w:r>
    </w:p>
    <w:p w14:paraId="16F63EB0" w14:textId="31059BDF" w:rsidR="006859DA" w:rsidRPr="006859DA" w:rsidRDefault="006859DA" w:rsidP="006859DA">
      <w:pPr>
        <w:spacing w:after="0"/>
        <w:ind w:firstLine="720"/>
        <w:jc w:val="both"/>
        <w:rPr>
          <w:rFonts w:ascii="Bell MT" w:hAnsi="Bell MT" w:cs="Arial"/>
          <w:bCs/>
          <w:color w:val="000000" w:themeColor="text1"/>
          <w:sz w:val="24"/>
          <w:szCs w:val="24"/>
        </w:rPr>
      </w:pPr>
    </w:p>
    <w:p w14:paraId="45F05B8B" w14:textId="40123200" w:rsidR="006859DA" w:rsidRDefault="006859DA" w:rsidP="009C6CA7">
      <w:pPr>
        <w:tabs>
          <w:tab w:val="center" w:pos="2105"/>
        </w:tabs>
        <w:spacing w:before="120" w:after="0" w:line="276" w:lineRule="auto"/>
        <w:rPr>
          <w:rFonts w:ascii="Bell MT" w:hAnsi="Bell MT"/>
          <w:b/>
          <w:sz w:val="24"/>
          <w:szCs w:val="24"/>
        </w:rPr>
      </w:pPr>
      <w:r w:rsidRPr="00D9171F">
        <w:rPr>
          <w:rFonts w:ascii="Bell MT" w:hAnsi="Bell MT"/>
          <w:b/>
          <w:color w:val="C00000"/>
          <w:sz w:val="24"/>
          <w:szCs w:val="24"/>
        </w:rPr>
        <w:t>ME</w:t>
      </w:r>
      <w:r w:rsidR="009C6CA7" w:rsidRPr="00D9171F">
        <w:rPr>
          <w:rFonts w:ascii="Bell MT" w:hAnsi="Bell MT"/>
          <w:b/>
          <w:color w:val="C00000"/>
          <w:sz w:val="24"/>
          <w:szCs w:val="24"/>
        </w:rPr>
        <w:t>THODS</w:t>
      </w:r>
    </w:p>
    <w:p w14:paraId="0C2462AE" w14:textId="6876FB40" w:rsidR="009C6CA7" w:rsidRPr="009C6CA7" w:rsidRDefault="009C6CA7" w:rsidP="009C6CA7">
      <w:pPr>
        <w:spacing w:after="0" w:line="276" w:lineRule="auto"/>
        <w:jc w:val="both"/>
        <w:rPr>
          <w:rFonts w:ascii="Bell MT" w:hAnsi="Bell MT"/>
          <w:sz w:val="24"/>
          <w:szCs w:val="24"/>
        </w:rPr>
      </w:pPr>
      <w:r>
        <w:rPr>
          <w:rFonts w:ascii="Bell MT" w:hAnsi="Bell MT"/>
          <w:sz w:val="24"/>
          <w:szCs w:val="24"/>
          <w:lang w:val="en-ID"/>
        </w:rPr>
        <w:tab/>
      </w:r>
      <w:r w:rsidR="00176C81" w:rsidRPr="00176C81">
        <w:rPr>
          <w:rFonts w:ascii="Bell MT" w:hAnsi="Bell MT"/>
          <w:sz w:val="24"/>
          <w:szCs w:val="24"/>
          <w:lang w:val="en-ID"/>
        </w:rPr>
        <w:t>Research cannot be said to be research if it does not have a research method because the aim of research is to reveal a truth systematically, methodologically and consistently.</w:t>
      </w:r>
      <w:r w:rsidR="00176C81" w:rsidRPr="00176C81">
        <w:rPr>
          <w:rStyle w:val="FootnoteReference"/>
          <w:rFonts w:ascii="Bell MT" w:hAnsi="Bell MT"/>
          <w:sz w:val="24"/>
          <w:szCs w:val="24"/>
          <w:vertAlign w:val="baseline"/>
          <w:lang w:val="en-ID"/>
        </w:rPr>
        <w:t xml:space="preserve"> </w:t>
      </w:r>
      <w:r w:rsidR="00D9171F">
        <w:rPr>
          <w:rStyle w:val="FootnoteReference"/>
          <w:rFonts w:ascii="Bell MT" w:hAnsi="Bell MT"/>
          <w:sz w:val="24"/>
          <w:szCs w:val="24"/>
          <w:lang w:val="en-ID"/>
        </w:rPr>
        <w:footnoteReference w:id="6"/>
      </w:r>
      <w:r w:rsidRPr="009C6CA7">
        <w:rPr>
          <w:rFonts w:ascii="Bell MT" w:hAnsi="Bell MT"/>
          <w:sz w:val="24"/>
          <w:szCs w:val="24"/>
          <w:lang w:val="en-ID"/>
        </w:rPr>
        <w:t xml:space="preserve">. </w:t>
      </w:r>
      <w:r w:rsidR="00176C81" w:rsidRPr="00176C81">
        <w:rPr>
          <w:rFonts w:ascii="Bell MT" w:hAnsi="Bell MT"/>
          <w:sz w:val="24"/>
          <w:szCs w:val="24"/>
          <w:lang w:val="en-ID"/>
        </w:rPr>
        <w:t xml:space="preserve">Judging from its nature, this research is descriptive analytical, namely describing all symptoms and facts and </w:t>
      </w:r>
      <w:proofErr w:type="spellStart"/>
      <w:r w:rsidR="00176C81" w:rsidRPr="00176C81">
        <w:rPr>
          <w:rFonts w:ascii="Bell MT" w:hAnsi="Bell MT"/>
          <w:sz w:val="24"/>
          <w:szCs w:val="24"/>
          <w:lang w:val="en-ID"/>
        </w:rPr>
        <w:t>analyzing</w:t>
      </w:r>
      <w:proofErr w:type="spellEnd"/>
      <w:r w:rsidR="00176C81" w:rsidRPr="00176C81">
        <w:rPr>
          <w:rFonts w:ascii="Bell MT" w:hAnsi="Bell MT"/>
          <w:sz w:val="24"/>
          <w:szCs w:val="24"/>
          <w:lang w:val="en-ID"/>
        </w:rPr>
        <w:t xml:space="preserve"> current problems.</w:t>
      </w:r>
      <w:r w:rsidR="00176C81" w:rsidRPr="00176C81">
        <w:rPr>
          <w:rStyle w:val="FootnoteReference"/>
          <w:rFonts w:ascii="Bell MT" w:hAnsi="Bell MT"/>
          <w:sz w:val="24"/>
          <w:szCs w:val="24"/>
          <w:vertAlign w:val="baseline"/>
          <w:lang w:val="en-ID"/>
        </w:rPr>
        <w:t xml:space="preserve"> </w:t>
      </w:r>
      <w:r w:rsidR="00D9171F">
        <w:rPr>
          <w:rStyle w:val="FootnoteReference"/>
          <w:rFonts w:ascii="Bell MT" w:hAnsi="Bell MT"/>
          <w:sz w:val="24"/>
          <w:szCs w:val="24"/>
          <w:lang w:val="en-ID"/>
        </w:rPr>
        <w:footnoteReference w:id="7"/>
      </w:r>
      <w:r w:rsidRPr="009C6CA7">
        <w:rPr>
          <w:rFonts w:ascii="Bell MT" w:hAnsi="Bell MT"/>
          <w:sz w:val="24"/>
          <w:szCs w:val="24"/>
          <w:lang w:val="en-ID"/>
        </w:rPr>
        <w:t xml:space="preserve">. </w:t>
      </w:r>
      <w:r w:rsidR="00176C81" w:rsidRPr="00176C81">
        <w:rPr>
          <w:rFonts w:ascii="Bell MT" w:hAnsi="Bell MT"/>
          <w:sz w:val="24"/>
          <w:szCs w:val="24"/>
          <w:lang w:val="en-ID"/>
        </w:rPr>
        <w:t xml:space="preserve">Descriptive research is research that merely describes the condition of an object or event without any intention of drawing generally applicable </w:t>
      </w:r>
      <w:proofErr w:type="gramStart"/>
      <w:r w:rsidR="00176C81" w:rsidRPr="00176C81">
        <w:rPr>
          <w:rFonts w:ascii="Bell MT" w:hAnsi="Bell MT"/>
          <w:sz w:val="24"/>
          <w:szCs w:val="24"/>
          <w:lang w:val="en-ID"/>
        </w:rPr>
        <w:t>conclusions.</w:t>
      </w:r>
      <w:r w:rsidRPr="009C6CA7">
        <w:rPr>
          <w:rFonts w:ascii="Bell MT" w:hAnsi="Bell MT"/>
          <w:sz w:val="24"/>
          <w:szCs w:val="24"/>
          <w:lang w:val="en-ID"/>
        </w:rPr>
        <w:t>.</w:t>
      </w:r>
      <w:proofErr w:type="gramEnd"/>
    </w:p>
    <w:p w14:paraId="173191AA" w14:textId="5C0DDE3D" w:rsidR="00A14131" w:rsidRPr="00D9171F" w:rsidRDefault="009C6CA7" w:rsidP="009C6CA7">
      <w:pPr>
        <w:tabs>
          <w:tab w:val="center" w:pos="2105"/>
        </w:tabs>
        <w:spacing w:before="120" w:after="0" w:line="276" w:lineRule="auto"/>
        <w:rPr>
          <w:rFonts w:ascii="Bell MT" w:hAnsi="Bell MT"/>
          <w:b/>
          <w:color w:val="C00000"/>
          <w:sz w:val="24"/>
          <w:szCs w:val="24"/>
        </w:rPr>
      </w:pPr>
      <w:r w:rsidRPr="00D9171F">
        <w:rPr>
          <w:rFonts w:ascii="Bell MT" w:hAnsi="Bell MT"/>
          <w:b/>
          <w:color w:val="C00000"/>
          <w:sz w:val="24"/>
          <w:szCs w:val="24"/>
        </w:rPr>
        <w:t>RESULT, DISCUSSION AND ANALYSIS</w:t>
      </w:r>
    </w:p>
    <w:p w14:paraId="25481F74" w14:textId="756F02C3" w:rsidR="004B533E" w:rsidRPr="004B533E" w:rsidRDefault="00176C81" w:rsidP="004B533E">
      <w:pPr>
        <w:tabs>
          <w:tab w:val="center" w:pos="2105"/>
        </w:tabs>
        <w:spacing w:after="0" w:line="276" w:lineRule="auto"/>
        <w:jc w:val="both"/>
        <w:rPr>
          <w:rFonts w:ascii="Bell MT" w:hAnsi="Bell MT"/>
          <w:b/>
          <w:sz w:val="24"/>
          <w:szCs w:val="24"/>
        </w:rPr>
      </w:pPr>
      <w:r w:rsidRPr="00176C81">
        <w:rPr>
          <w:rFonts w:ascii="Bell MT" w:hAnsi="Bell MT"/>
          <w:b/>
          <w:color w:val="C00000"/>
          <w:sz w:val="24"/>
          <w:szCs w:val="24"/>
        </w:rPr>
        <w:t>Regulations Concerning Trademark Rights in Indonesia</w:t>
      </w:r>
    </w:p>
    <w:p w14:paraId="43DF5D41" w14:textId="4F0E71AC" w:rsidR="004B533E" w:rsidRDefault="00176C81" w:rsidP="004B533E">
      <w:pPr>
        <w:spacing w:after="0" w:line="276" w:lineRule="auto"/>
        <w:ind w:firstLine="720"/>
        <w:jc w:val="both"/>
        <w:rPr>
          <w:rFonts w:ascii="Bell MT" w:hAnsi="Bell MT"/>
          <w:bCs/>
          <w:sz w:val="24"/>
          <w:szCs w:val="24"/>
          <w:lang w:val="fi-FI"/>
        </w:rPr>
      </w:pPr>
      <w:r w:rsidRPr="00176C81">
        <w:rPr>
          <w:rFonts w:ascii="Bell MT" w:hAnsi="Bell MT"/>
          <w:bCs/>
          <w:sz w:val="24"/>
          <w:szCs w:val="24"/>
          <w:lang w:val="fi-FI"/>
        </w:rPr>
        <w:t>Brands play an important role in the smooth running and improvement of trade in goods or services in trade and investment activities. Brands with their brand images can meet consumer needs for a very important sign or distinguishing power and are a guarantee of the quality of a product, because brands become a kind of "initial seller" for a product to consumers. In today's competitive era, it is no longer possible to limit the entry of products from abroad into the country, or vice versa from within the country to abroad. Brands as company assets will be able to generate large profits if utilized by paying attention to business aspects and good management. With the increasing importance of the role of this brand, it is necessary to place legal protection on the brand, namely as an object to which the rights of individuals or legal entities are related.</w:t>
      </w:r>
      <w:r w:rsidR="00D9171F">
        <w:rPr>
          <w:rStyle w:val="FootnoteReference"/>
          <w:rFonts w:ascii="Bell MT" w:hAnsi="Bell MT"/>
          <w:bCs/>
          <w:sz w:val="24"/>
          <w:szCs w:val="24"/>
          <w:lang w:val="fi-FI"/>
        </w:rPr>
        <w:footnoteReference w:id="8"/>
      </w:r>
    </w:p>
    <w:p w14:paraId="3094B579" w14:textId="13E6A5E1" w:rsidR="004B533E" w:rsidRDefault="00176C81" w:rsidP="004B533E">
      <w:pPr>
        <w:spacing w:after="0" w:line="276" w:lineRule="auto"/>
        <w:ind w:firstLine="720"/>
        <w:jc w:val="both"/>
        <w:rPr>
          <w:rFonts w:ascii="Bell MT" w:hAnsi="Bell MT"/>
          <w:bCs/>
          <w:sz w:val="24"/>
          <w:szCs w:val="24"/>
          <w:lang w:val="fi-FI"/>
        </w:rPr>
      </w:pPr>
      <w:r w:rsidRPr="00176C81">
        <w:rPr>
          <w:rFonts w:ascii="Bell MT" w:hAnsi="Bell MT"/>
          <w:bCs/>
          <w:sz w:val="24"/>
          <w:szCs w:val="24"/>
          <w:lang w:val="fi-FI"/>
        </w:rPr>
        <w:t>Brands as a form of intellectual work have an important role in the smoothness and improvement of trade in goods or services in trade and investment activities. Brands with their brand image can meet consumer needs for identification marks or distinguishing features that are very important and are a guarantee of product or service quality in a free competitive atmosphere. Brands are economic assets for their owners, both individuals and companies (legal entities) that can generate large profits, of course if utilized by paying attention to business aspects and good management processes. The role of this brand is so important that legal protection is attached to it, namely as an object of it related to the rights of individuals or legal entities</w:t>
      </w:r>
      <w:r w:rsidRPr="00176C81">
        <w:rPr>
          <w:rStyle w:val="FootnoteReference"/>
          <w:rFonts w:ascii="Bell MT" w:hAnsi="Bell MT"/>
          <w:bCs/>
          <w:sz w:val="24"/>
          <w:szCs w:val="24"/>
          <w:vertAlign w:val="baseline"/>
          <w:lang w:val="fi-FI"/>
        </w:rPr>
        <w:t xml:space="preserve"> </w:t>
      </w:r>
      <w:r w:rsidR="00D9171F">
        <w:rPr>
          <w:rStyle w:val="FootnoteReference"/>
          <w:rFonts w:ascii="Bell MT" w:hAnsi="Bell MT"/>
          <w:bCs/>
          <w:sz w:val="24"/>
          <w:szCs w:val="24"/>
          <w:lang w:val="fi-FI"/>
        </w:rPr>
        <w:footnoteReference w:id="9"/>
      </w:r>
      <w:r w:rsidR="004B533E" w:rsidRPr="004B533E">
        <w:rPr>
          <w:rFonts w:ascii="Bell MT" w:hAnsi="Bell MT"/>
          <w:bCs/>
          <w:sz w:val="24"/>
          <w:szCs w:val="24"/>
          <w:lang w:val="fi-FI"/>
        </w:rPr>
        <w:t>.</w:t>
      </w:r>
    </w:p>
    <w:p w14:paraId="2C8329E0" w14:textId="77777777" w:rsidR="00176C81" w:rsidRDefault="00176C81" w:rsidP="004B533E">
      <w:pPr>
        <w:spacing w:after="0" w:line="276" w:lineRule="auto"/>
        <w:ind w:firstLine="720"/>
        <w:jc w:val="both"/>
        <w:rPr>
          <w:rFonts w:ascii="Bell MT" w:hAnsi="Bell MT"/>
          <w:bCs/>
          <w:sz w:val="24"/>
          <w:szCs w:val="24"/>
          <w:lang w:val="fi-FI"/>
        </w:rPr>
      </w:pPr>
      <w:r w:rsidRPr="00176C81">
        <w:rPr>
          <w:rFonts w:ascii="Bell MT" w:hAnsi="Bell MT"/>
          <w:bCs/>
          <w:sz w:val="24"/>
          <w:szCs w:val="24"/>
          <w:lang w:val="fi-FI"/>
        </w:rPr>
        <w:t xml:space="preserve">Brands are very important in the world of advertising and marketing because the public often associates a quality or reputation of goods and services with a particular brand. A brand can be a very valuable asset commercially. A company's brand is often more valuable than the </w:t>
      </w:r>
      <w:r w:rsidRPr="00176C81">
        <w:rPr>
          <w:rFonts w:ascii="Bell MT" w:hAnsi="Bell MT"/>
          <w:bCs/>
          <w:sz w:val="24"/>
          <w:szCs w:val="24"/>
          <w:lang w:val="fi-FI"/>
        </w:rPr>
        <w:lastRenderedPageBreak/>
        <w:t>company's real assets. Brands are also useful for consumers. They buy certain products (which are seen from their brands) because they think the brand is of high quality or safe to consume because of the reputation of the brand. If a company uses another company's brand, consumers may feel cheated because they have bought a product with lower quality. With the existence of a brand that makes one product different from another, it is hoped that it will make it easier for consumers to determine the products they will consume based on various considerations and create loyalty to a brand (brand loyalty). Consumer loyalty to a brand is from recognition, choice and adherence to a brand.</w:t>
      </w:r>
    </w:p>
    <w:p w14:paraId="01AC6EE0" w14:textId="77777777" w:rsidR="00176C81" w:rsidRDefault="00176C81" w:rsidP="004B533E">
      <w:pPr>
        <w:spacing w:after="0" w:line="276" w:lineRule="auto"/>
        <w:ind w:firstLine="720"/>
        <w:jc w:val="both"/>
        <w:rPr>
          <w:rFonts w:ascii="Bell MT" w:hAnsi="Bell MT"/>
          <w:bCs/>
          <w:sz w:val="24"/>
          <w:szCs w:val="24"/>
          <w:lang w:val="fi-FI"/>
        </w:rPr>
      </w:pPr>
      <w:r w:rsidRPr="00176C81">
        <w:rPr>
          <w:rFonts w:ascii="Bell MT" w:hAnsi="Bell MT"/>
          <w:bCs/>
          <w:sz w:val="24"/>
          <w:szCs w:val="24"/>
          <w:lang w:val="fi-FI"/>
        </w:rPr>
        <w:t>The enactment of Law Number 20 of 2016 concerning Trademarks and Geographical Indications is intended to provide protection to brand owners for the results of a production from acts of brand counterfeiting, because with the increasing population and the need for original goods, then the brand in addition to being a sign to distinguish the origin of goods, the brand also becomes an exclusive right for the brand owner to obtain added value, so that the same goods using a well-known brand, the goods traded can be sold at a higher price and of course more profitable. According to Law Number 20 of 2016 concerning Trademarks and Geographical Indications, to obtain rights to a brand, the brand must be registered with the Directorate of Trademarks of the Ministry of Law and Human Rights of the Republic of Indonesia according to the constitutive system, in other words that to obtain legal protection of rights to a brand, the brand must be registered by its owner with the Directorate of Trademarks and after being officially registered in the name of the owner, a brand certificate will be issued.</w:t>
      </w:r>
    </w:p>
    <w:p w14:paraId="5BA85EA8" w14:textId="475D42FE" w:rsidR="004B533E" w:rsidRDefault="00176C81" w:rsidP="004B533E">
      <w:pPr>
        <w:spacing w:after="0" w:line="276" w:lineRule="auto"/>
        <w:ind w:firstLine="720"/>
        <w:jc w:val="both"/>
        <w:rPr>
          <w:rFonts w:ascii="Bell MT" w:hAnsi="Bell MT"/>
          <w:bCs/>
          <w:sz w:val="24"/>
          <w:szCs w:val="24"/>
          <w:lang w:val="fi-FI"/>
        </w:rPr>
      </w:pPr>
      <w:r w:rsidRPr="00176C81">
        <w:rPr>
          <w:rFonts w:ascii="Bell MT" w:hAnsi="Bell MT"/>
          <w:bCs/>
          <w:sz w:val="24"/>
          <w:szCs w:val="24"/>
          <w:lang w:val="fi-FI"/>
        </w:rPr>
        <w:t>Business strategies in trade are increasingly competitive, triggering business actors to solve the problem of how to market a product or service well by determining the quality that has good quality standards, but also how a brand of goods or services they own can be protected or protected from competitors of other business actors. Therefore, competition in business is not only about how to get attention from consumers, but also competing in a brand that has value in a product or service being traded. A brand with an attractive name and is very widely known to the public and of course it is the desire of business actors so that their products or services are also easily remembered and recognized by every consumer who buys them</w:t>
      </w:r>
      <w:r w:rsidR="004B533E">
        <w:rPr>
          <w:rFonts w:ascii="Bell MT" w:hAnsi="Bell MT"/>
          <w:bCs/>
          <w:sz w:val="24"/>
          <w:szCs w:val="24"/>
          <w:lang w:val="fi-FI"/>
        </w:rPr>
        <w:t xml:space="preserve"> </w:t>
      </w:r>
      <w:r w:rsidR="00D9171F">
        <w:rPr>
          <w:rStyle w:val="FootnoteReference"/>
          <w:rFonts w:ascii="Bell MT" w:hAnsi="Bell MT"/>
          <w:bCs/>
          <w:sz w:val="24"/>
          <w:szCs w:val="24"/>
          <w:lang w:val="fi-FI"/>
        </w:rPr>
        <w:footnoteReference w:id="10"/>
      </w:r>
      <w:r w:rsidR="004B533E" w:rsidRPr="004B533E">
        <w:rPr>
          <w:rFonts w:ascii="Bell MT" w:hAnsi="Bell MT"/>
          <w:bCs/>
          <w:sz w:val="24"/>
          <w:szCs w:val="24"/>
          <w:lang w:val="fi-FI"/>
        </w:rPr>
        <w:t>.</w:t>
      </w:r>
    </w:p>
    <w:p w14:paraId="449A9D72" w14:textId="77777777" w:rsidR="00176C81" w:rsidRDefault="00176C81" w:rsidP="004B533E">
      <w:pPr>
        <w:spacing w:after="0" w:line="276" w:lineRule="auto"/>
        <w:ind w:firstLine="720"/>
        <w:jc w:val="both"/>
        <w:rPr>
          <w:rFonts w:ascii="Bell MT" w:hAnsi="Bell MT"/>
          <w:sz w:val="24"/>
          <w:szCs w:val="24"/>
          <w:lang w:val="fi-FI"/>
        </w:rPr>
      </w:pPr>
      <w:r w:rsidRPr="00176C81">
        <w:rPr>
          <w:rFonts w:ascii="Bell MT" w:hAnsi="Bell MT"/>
          <w:sz w:val="24"/>
          <w:szCs w:val="24"/>
          <w:lang w:val="fi-FI"/>
        </w:rPr>
        <w:t xml:space="preserve">Trademark registration will create exclusive rights for the owner of the relevant trademark to use the trademark themselves for a certain period of time or to grant permission to other parties to use it. Trademark piracy and imitation have caused the business world to slump due to unhealthy business competition which has resulted in rampant bad faith behavior from adventurous business actors. A situation like this will further complicate the Indonesian business world. From a global perspective, conditions like this do not rule out the possibility of foreign investors being lazy to do business. In turn, Indonesia's business competitiveness at the global level will also weaken due to the declining level of world trust in Indonesian brands and products. </w:t>
      </w:r>
      <w:r w:rsidRPr="00176C81">
        <w:rPr>
          <w:rFonts w:ascii="Bell MT" w:hAnsi="Bell MT"/>
          <w:sz w:val="24"/>
          <w:szCs w:val="24"/>
          <w:lang w:val="fi-FI"/>
        </w:rPr>
        <w:lastRenderedPageBreak/>
        <w:t>We can imagine how damaged Indonesia's image would be if fake brands or brands that piggyback on famous brands, both world-famous and local, were rampant in this country.</w:t>
      </w:r>
    </w:p>
    <w:p w14:paraId="4FCAB97E" w14:textId="77777777" w:rsidR="00176C81" w:rsidRDefault="00176C81" w:rsidP="004B533E">
      <w:pPr>
        <w:spacing w:after="0" w:line="276" w:lineRule="auto"/>
        <w:ind w:firstLine="720"/>
        <w:jc w:val="both"/>
        <w:rPr>
          <w:rFonts w:ascii="Bell MT" w:hAnsi="Bell MT"/>
          <w:bCs/>
          <w:sz w:val="24"/>
          <w:szCs w:val="24"/>
          <w:lang w:val="fi-FI"/>
        </w:rPr>
      </w:pPr>
      <w:r w:rsidRPr="00176C81">
        <w:rPr>
          <w:rFonts w:ascii="Bell MT" w:hAnsi="Bell MT"/>
          <w:bCs/>
          <w:sz w:val="24"/>
          <w:szCs w:val="24"/>
          <w:lang w:val="fi-FI"/>
        </w:rPr>
        <w:t>Indonesian Intellectual Property Rights (IPR), Trademark Rights are a form of IPR protection that provides exclusive rights for registered trademark owners to use the trademark themselves in the trade of goods and services, or allow others to use the trademark through a license. Obtaining Trademark Rights does not mean that you get permission to use the trademark yourself. By registering a trademark, you have the right to prohibit anyone from using the same trademark as the registered trademark, especially in the same type of goods or services. Trademark rights are regulated in Law No. 20 of 2016 concerning Trademarks and Geographical Indications. This law was created to maintain healthy, fair business competition, consumer protection and protection for Micro, Small and Medium Enterprises (MSMEs).</w:t>
      </w:r>
    </w:p>
    <w:p w14:paraId="543C3361" w14:textId="77777777" w:rsidR="00176C81" w:rsidRDefault="00176C81" w:rsidP="004B533E">
      <w:pPr>
        <w:spacing w:after="0" w:line="276" w:lineRule="auto"/>
        <w:ind w:firstLine="720"/>
        <w:jc w:val="both"/>
        <w:rPr>
          <w:rFonts w:ascii="Bell MT" w:hAnsi="Bell MT"/>
          <w:sz w:val="24"/>
          <w:szCs w:val="24"/>
        </w:rPr>
      </w:pPr>
      <w:r w:rsidRPr="00176C81">
        <w:rPr>
          <w:rFonts w:ascii="Bell MT" w:hAnsi="Bell MT"/>
          <w:sz w:val="24"/>
          <w:szCs w:val="24"/>
        </w:rPr>
        <w:t xml:space="preserve">A brand is one of the intellectual </w:t>
      </w:r>
      <w:proofErr w:type="gramStart"/>
      <w:r w:rsidRPr="00176C81">
        <w:rPr>
          <w:rFonts w:ascii="Bell MT" w:hAnsi="Bell MT"/>
          <w:sz w:val="24"/>
          <w:szCs w:val="24"/>
        </w:rPr>
        <w:t>property</w:t>
      </w:r>
      <w:proofErr w:type="gramEnd"/>
      <w:r w:rsidRPr="00176C81">
        <w:rPr>
          <w:rFonts w:ascii="Bell MT" w:hAnsi="Bell MT"/>
          <w:sz w:val="24"/>
          <w:szCs w:val="24"/>
        </w:rPr>
        <w:t xml:space="preserve"> protected in business trade in addition to copyright, patents, industrial designs, integrated circuit layout designs, trade secrets, plant varieties, trade secrets, and geographical indications. A brand is indicated for intellectual property in the form of a sign displayed on goods or services traded to distinguish goods or services made and produced by other parties.</w:t>
      </w:r>
    </w:p>
    <w:p w14:paraId="29DFCF79" w14:textId="77777777" w:rsidR="00176C81" w:rsidRDefault="00176C81" w:rsidP="004B533E">
      <w:pPr>
        <w:spacing w:after="0" w:line="276" w:lineRule="auto"/>
        <w:ind w:firstLine="720"/>
        <w:jc w:val="both"/>
        <w:rPr>
          <w:rFonts w:ascii="Bell MT" w:hAnsi="Bell MT"/>
          <w:bCs/>
          <w:sz w:val="24"/>
          <w:szCs w:val="24"/>
        </w:rPr>
      </w:pPr>
      <w:r w:rsidRPr="00176C81">
        <w:rPr>
          <w:rFonts w:ascii="Bell MT" w:hAnsi="Bell MT"/>
          <w:bCs/>
          <w:sz w:val="24"/>
          <w:szCs w:val="24"/>
        </w:rPr>
        <w:t>Products with well-known brands will be easier to market, so they can be sold more easily and provide greater financial benefits. The definition of a well-known brand is when a brand has circulated beyond regional boundaries to international boundaries, where it has circulated outside its country of origin and is proven by the registration of the relevant brand in various countries. Thus, legal protection is needed for Well-known Brand Rights to ensure legal certainty for brand inventors, brand owners and brand rights holders. In addition, it is also to prevent violations and crimes against Brand Rights and provide benefits to the community so that the community is more encouraged to create and manage the registration of their business brands. For well-known brands, the protection provided for the brand is carried out in two ways, namely preventive legal protection and repressive legal protection.</w:t>
      </w:r>
    </w:p>
    <w:p w14:paraId="26ACBD90" w14:textId="54755B45" w:rsidR="004B533E" w:rsidRDefault="00176C81" w:rsidP="004B533E">
      <w:pPr>
        <w:spacing w:after="0" w:line="276" w:lineRule="auto"/>
        <w:ind w:firstLine="720"/>
        <w:jc w:val="both"/>
        <w:rPr>
          <w:rFonts w:ascii="Bell MT" w:hAnsi="Bell MT"/>
          <w:sz w:val="24"/>
          <w:szCs w:val="24"/>
        </w:rPr>
      </w:pPr>
      <w:r w:rsidRPr="00176C81">
        <w:rPr>
          <w:rFonts w:ascii="Bell MT" w:hAnsi="Bell MT"/>
          <w:sz w:val="24"/>
          <w:szCs w:val="24"/>
        </w:rPr>
        <w:t>Article 1 number 1 of Law Number 20 of 2016 concerning Trademarks and Geographical Indications (hereinafter referred to as the Trademark and Geographical Indication Law), defines a trademark as a sign that can be displayed graphically in the form of a logo, name, word, letter, number, color arrangement, in the form of 2 (two) dimensions and/or 3 (three) dimensions, sound, hologram, or a combination of 2 (two) or more of these elements to distinguish goods and/or services produced by a person or legal entity in the trade of goods and/or services. Based on these provisions, it can be distinguished into 2 (two) things which state that traditional/conventional trademarks are those that form images, logos, names, words, letters, numbers, color arrangements or brands that take the form of 2 (two) dimensions; and non-traditional/electronic media trademarks, namely trademarks in the form of sound, 3 (three) dimensional trademarks, or hologram trademarks</w:t>
      </w:r>
      <w:r w:rsidRPr="00176C81">
        <w:rPr>
          <w:rStyle w:val="FootnoteReference"/>
          <w:rFonts w:ascii="Bell MT" w:hAnsi="Bell MT"/>
          <w:sz w:val="24"/>
          <w:szCs w:val="24"/>
          <w:vertAlign w:val="baseline"/>
        </w:rPr>
        <w:t xml:space="preserve"> </w:t>
      </w:r>
      <w:r w:rsidR="00D9171F">
        <w:rPr>
          <w:rStyle w:val="FootnoteReference"/>
          <w:rFonts w:ascii="Bell MT" w:hAnsi="Bell MT"/>
          <w:sz w:val="24"/>
          <w:szCs w:val="24"/>
        </w:rPr>
        <w:footnoteReference w:id="11"/>
      </w:r>
      <w:r w:rsidR="004B533E">
        <w:rPr>
          <w:rFonts w:ascii="Bell MT" w:hAnsi="Bell MT"/>
          <w:sz w:val="24"/>
          <w:szCs w:val="24"/>
        </w:rPr>
        <w:t>.</w:t>
      </w:r>
    </w:p>
    <w:p w14:paraId="074BF14D" w14:textId="773E54D9" w:rsidR="004B533E" w:rsidRDefault="004B533E" w:rsidP="004B533E">
      <w:pPr>
        <w:spacing w:after="0" w:line="276" w:lineRule="auto"/>
        <w:jc w:val="both"/>
        <w:rPr>
          <w:rFonts w:ascii="Bell MT" w:hAnsi="Bell MT"/>
          <w:b/>
          <w:sz w:val="24"/>
          <w:szCs w:val="24"/>
        </w:rPr>
      </w:pPr>
      <w:r w:rsidRPr="00D9171F">
        <w:rPr>
          <w:rFonts w:ascii="Bell MT" w:hAnsi="Bell MT"/>
          <w:b/>
          <w:color w:val="C00000"/>
          <w:sz w:val="24"/>
          <w:szCs w:val="24"/>
        </w:rPr>
        <w:lastRenderedPageBreak/>
        <w:t xml:space="preserve">Hukum Acara Dalam </w:t>
      </w:r>
      <w:proofErr w:type="spellStart"/>
      <w:r w:rsidRPr="00D9171F">
        <w:rPr>
          <w:rFonts w:ascii="Bell MT" w:hAnsi="Bell MT"/>
          <w:b/>
          <w:color w:val="C00000"/>
          <w:sz w:val="24"/>
          <w:szCs w:val="24"/>
        </w:rPr>
        <w:t>Penyelesaian</w:t>
      </w:r>
      <w:proofErr w:type="spellEnd"/>
      <w:r w:rsidRPr="00D9171F">
        <w:rPr>
          <w:rFonts w:ascii="Bell MT" w:hAnsi="Bell MT"/>
          <w:b/>
          <w:color w:val="C00000"/>
          <w:sz w:val="24"/>
          <w:szCs w:val="24"/>
        </w:rPr>
        <w:t xml:space="preserve"> </w:t>
      </w:r>
      <w:proofErr w:type="spellStart"/>
      <w:r w:rsidRPr="00D9171F">
        <w:rPr>
          <w:rFonts w:ascii="Bell MT" w:hAnsi="Bell MT"/>
          <w:b/>
          <w:color w:val="C00000"/>
          <w:sz w:val="24"/>
          <w:szCs w:val="24"/>
        </w:rPr>
        <w:t>Sengketa</w:t>
      </w:r>
      <w:proofErr w:type="spellEnd"/>
      <w:r w:rsidRPr="00D9171F">
        <w:rPr>
          <w:rFonts w:ascii="Bell MT" w:hAnsi="Bell MT"/>
          <w:b/>
          <w:color w:val="C00000"/>
          <w:sz w:val="24"/>
          <w:szCs w:val="24"/>
        </w:rPr>
        <w:t xml:space="preserve"> HAKI</w:t>
      </w:r>
    </w:p>
    <w:p w14:paraId="1821F2CD" w14:textId="00DE25F5" w:rsidR="004B533E" w:rsidRPr="004B533E" w:rsidRDefault="00176C81" w:rsidP="004B533E">
      <w:pPr>
        <w:spacing w:after="0" w:line="276" w:lineRule="auto"/>
        <w:ind w:firstLine="720"/>
        <w:jc w:val="both"/>
        <w:rPr>
          <w:rFonts w:ascii="Bell MT" w:hAnsi="Bell MT"/>
          <w:bCs/>
          <w:sz w:val="24"/>
          <w:szCs w:val="24"/>
        </w:rPr>
      </w:pPr>
      <w:r w:rsidRPr="00176C81">
        <w:rPr>
          <w:rFonts w:ascii="Bell MT" w:hAnsi="Bell MT"/>
          <w:bCs/>
          <w:sz w:val="24"/>
          <w:szCs w:val="24"/>
        </w:rPr>
        <w:t>The procedural law used in trials that hear cases regarding IPR is by using ordinary civil procedural law which has been used in trials of cases in the general court environment. Thus, a common understanding of civil procedural law is needed. The Judicial Power has been divided into 4 (four) bodies of the judicial environment, namely General Courts, Religious Courts, Military Courts, and State Administrative Courts. The discussion in this article is more directed at General Courts which include Commercial Courts that use Civil Procedural Law which is the main topic of this article related to IPR disputes</w:t>
      </w:r>
      <w:r w:rsidR="004B533E" w:rsidRPr="004B533E">
        <w:rPr>
          <w:rFonts w:ascii="Bell MT" w:hAnsi="Bell MT"/>
          <w:bCs/>
          <w:sz w:val="24"/>
          <w:szCs w:val="24"/>
        </w:rPr>
        <w:t>.</w:t>
      </w:r>
    </w:p>
    <w:p w14:paraId="7EA99B66" w14:textId="77777777" w:rsidR="002528B8" w:rsidRDefault="002528B8" w:rsidP="004B533E">
      <w:pPr>
        <w:spacing w:after="0" w:line="276" w:lineRule="auto"/>
        <w:ind w:firstLine="720"/>
        <w:jc w:val="both"/>
        <w:rPr>
          <w:rFonts w:ascii="Bell MT" w:hAnsi="Bell MT"/>
          <w:sz w:val="24"/>
          <w:szCs w:val="24"/>
        </w:rPr>
      </w:pPr>
      <w:r w:rsidRPr="002528B8">
        <w:rPr>
          <w:rFonts w:ascii="Bell MT" w:hAnsi="Bell MT"/>
          <w:sz w:val="24"/>
          <w:szCs w:val="24"/>
        </w:rPr>
        <w:t>In line with developments in the field of intellectual property rights, the authority to adjudicate disputes in the field of IPR has also changed, because IPR disputes that were originally examined and decided by the District Court, with the new IPR Law, the authority to adjudicate IPR disputes has shifted to the authority of the Commercial Court, except for Trade Secret Rights. The Commercial Court was first stipulated in Government Regulation in Lieu of Law No. 1 of 1998 concerning amendments to the Bankruptcy Law which was then stipulated in Law No. 4 of 1998.</w:t>
      </w:r>
    </w:p>
    <w:p w14:paraId="2BF76D3C" w14:textId="3ADD31D8" w:rsidR="004B533E" w:rsidRPr="004B533E" w:rsidRDefault="002528B8" w:rsidP="004B533E">
      <w:pPr>
        <w:spacing w:after="0" w:line="276" w:lineRule="auto"/>
        <w:ind w:firstLine="720"/>
        <w:jc w:val="both"/>
        <w:rPr>
          <w:rFonts w:ascii="Bell MT" w:hAnsi="Bell MT"/>
          <w:bCs/>
          <w:sz w:val="24"/>
          <w:szCs w:val="24"/>
        </w:rPr>
      </w:pPr>
      <w:r w:rsidRPr="002528B8">
        <w:rPr>
          <w:rFonts w:ascii="Bell MT" w:hAnsi="Bell MT"/>
          <w:bCs/>
          <w:sz w:val="24"/>
          <w:szCs w:val="24"/>
        </w:rPr>
        <w:t>In general, the procedural law used in IPR lawsuits in the Commercial Court is</w:t>
      </w:r>
      <w:r w:rsidR="004B533E" w:rsidRPr="004B533E">
        <w:rPr>
          <w:rFonts w:ascii="Bell MT" w:hAnsi="Bell MT"/>
          <w:bCs/>
          <w:sz w:val="24"/>
          <w:szCs w:val="24"/>
        </w:rPr>
        <w:t>:</w:t>
      </w:r>
    </w:p>
    <w:p w14:paraId="4E265211" w14:textId="65C6A82E" w:rsidR="004B533E" w:rsidRPr="004B533E" w:rsidRDefault="002528B8" w:rsidP="004B533E">
      <w:pPr>
        <w:numPr>
          <w:ilvl w:val="0"/>
          <w:numId w:val="22"/>
        </w:numPr>
        <w:spacing w:after="0" w:line="276" w:lineRule="auto"/>
        <w:jc w:val="both"/>
        <w:rPr>
          <w:rFonts w:ascii="Bell MT" w:hAnsi="Bell MT"/>
          <w:bCs/>
          <w:sz w:val="24"/>
          <w:szCs w:val="24"/>
        </w:rPr>
      </w:pPr>
      <w:r w:rsidRPr="002528B8">
        <w:rPr>
          <w:rFonts w:ascii="Bell MT" w:hAnsi="Bell MT"/>
          <w:bCs/>
          <w:sz w:val="24"/>
          <w:szCs w:val="24"/>
        </w:rPr>
        <w:t>Lawsuits regarding intellectual property rights disputes, including cancellation of intellectual property rights registration, are submitted to the Head of the Commercial Court in the jurisdiction of the Defendant's residence or domicile, and if the Defendant resides outside the territory of Indonesia, the lawsuit is submitted to the Central Jakarta Commercial Court</w:t>
      </w:r>
      <w:r w:rsidR="004B533E" w:rsidRPr="004B533E">
        <w:rPr>
          <w:rFonts w:ascii="Bell MT" w:hAnsi="Bell MT"/>
          <w:bCs/>
          <w:sz w:val="24"/>
          <w:szCs w:val="24"/>
        </w:rPr>
        <w:t>.</w:t>
      </w:r>
    </w:p>
    <w:p w14:paraId="2F2723A7" w14:textId="6084B6DE" w:rsidR="004B533E" w:rsidRPr="004B533E" w:rsidRDefault="002528B8" w:rsidP="004B533E">
      <w:pPr>
        <w:numPr>
          <w:ilvl w:val="0"/>
          <w:numId w:val="22"/>
        </w:numPr>
        <w:spacing w:after="0" w:line="276" w:lineRule="auto"/>
        <w:jc w:val="both"/>
        <w:rPr>
          <w:rFonts w:ascii="Bell MT" w:hAnsi="Bell MT"/>
          <w:bCs/>
          <w:sz w:val="24"/>
          <w:szCs w:val="24"/>
        </w:rPr>
      </w:pPr>
      <w:r w:rsidRPr="002528B8">
        <w:rPr>
          <w:rFonts w:ascii="Bell MT" w:hAnsi="Bell MT"/>
          <w:bCs/>
          <w:sz w:val="24"/>
          <w:szCs w:val="24"/>
        </w:rPr>
        <w:t>The clerk examines the completeness of the lawsuit and then registers the lawsuit for cancellation on the date the lawsuit in question was filed and the plaintiff is given a written receipt signed by the clerk with the same date as the date of registration of the lawsuit</w:t>
      </w:r>
      <w:r w:rsidR="004B533E" w:rsidRPr="004B533E">
        <w:rPr>
          <w:rFonts w:ascii="Bell MT" w:hAnsi="Bell MT"/>
          <w:bCs/>
          <w:sz w:val="24"/>
          <w:szCs w:val="24"/>
        </w:rPr>
        <w:t>.</w:t>
      </w:r>
    </w:p>
    <w:p w14:paraId="0B8F9078" w14:textId="65DE9B61" w:rsidR="004B533E" w:rsidRPr="004B533E" w:rsidRDefault="002528B8" w:rsidP="004B533E">
      <w:pPr>
        <w:numPr>
          <w:ilvl w:val="0"/>
          <w:numId w:val="22"/>
        </w:numPr>
        <w:spacing w:after="0" w:line="276" w:lineRule="auto"/>
        <w:jc w:val="both"/>
        <w:rPr>
          <w:rFonts w:ascii="Bell MT" w:hAnsi="Bell MT"/>
          <w:bCs/>
          <w:sz w:val="24"/>
          <w:szCs w:val="24"/>
        </w:rPr>
      </w:pPr>
      <w:r w:rsidRPr="002528B8">
        <w:rPr>
          <w:rFonts w:ascii="Bell MT" w:hAnsi="Bell MT"/>
          <w:bCs/>
          <w:sz w:val="24"/>
          <w:szCs w:val="24"/>
        </w:rPr>
        <w:t>The clerk submits the cancellation lawsuit to the Chairman of the Commercial Court within a maximum period of 2 days from the date the lawsuit is registered, while for the Patent Law it is 14 days</w:t>
      </w:r>
      <w:r w:rsidR="004B533E" w:rsidRPr="004B533E">
        <w:rPr>
          <w:rFonts w:ascii="Bell MT" w:hAnsi="Bell MT"/>
          <w:bCs/>
          <w:sz w:val="24"/>
          <w:szCs w:val="24"/>
        </w:rPr>
        <w:t>.</w:t>
      </w:r>
    </w:p>
    <w:p w14:paraId="1DA5F40F" w14:textId="44B47FEE" w:rsidR="004B533E" w:rsidRPr="004B533E" w:rsidRDefault="002528B8" w:rsidP="004B533E">
      <w:pPr>
        <w:numPr>
          <w:ilvl w:val="0"/>
          <w:numId w:val="22"/>
        </w:numPr>
        <w:spacing w:after="0" w:line="276" w:lineRule="auto"/>
        <w:jc w:val="both"/>
        <w:rPr>
          <w:rFonts w:ascii="Bell MT" w:hAnsi="Bell MT"/>
          <w:bCs/>
          <w:sz w:val="24"/>
          <w:szCs w:val="24"/>
        </w:rPr>
      </w:pPr>
      <w:r w:rsidRPr="002528B8">
        <w:rPr>
          <w:rFonts w:ascii="Bell MT" w:hAnsi="Bell MT"/>
          <w:bCs/>
          <w:sz w:val="24"/>
          <w:szCs w:val="24"/>
        </w:rPr>
        <w:t>No later than 3 days from the date the lawsuit is registered, the Commercial Court will study the lawsuit and determine the trial date, while in patent cases the trial date will be determined no later than 14 days after the lawsuit is registered</w:t>
      </w:r>
      <w:r w:rsidR="004B533E" w:rsidRPr="004B533E">
        <w:rPr>
          <w:rFonts w:ascii="Bell MT" w:hAnsi="Bell MT"/>
          <w:bCs/>
          <w:sz w:val="24"/>
          <w:szCs w:val="24"/>
        </w:rPr>
        <w:t>.</w:t>
      </w:r>
    </w:p>
    <w:p w14:paraId="02909A3A" w14:textId="71200772" w:rsidR="004B533E" w:rsidRPr="004B533E" w:rsidRDefault="002528B8" w:rsidP="004B533E">
      <w:pPr>
        <w:numPr>
          <w:ilvl w:val="0"/>
          <w:numId w:val="22"/>
        </w:numPr>
        <w:spacing w:after="0" w:line="276" w:lineRule="auto"/>
        <w:jc w:val="both"/>
        <w:rPr>
          <w:rFonts w:ascii="Bell MT" w:hAnsi="Bell MT"/>
          <w:bCs/>
          <w:sz w:val="24"/>
          <w:szCs w:val="24"/>
        </w:rPr>
      </w:pPr>
      <w:r w:rsidRPr="002528B8">
        <w:rPr>
          <w:rFonts w:ascii="Bell MT" w:hAnsi="Bell MT"/>
          <w:bCs/>
          <w:sz w:val="24"/>
          <w:szCs w:val="24"/>
        </w:rPr>
        <w:t>The summons of the parties is carried out by the bailiff no later than 7 days after the lawsuit is registered and the hearing on the lawsuit is held no later than 60 days after the lawsuit is registered</w:t>
      </w:r>
      <w:r w:rsidR="004B533E" w:rsidRPr="004B533E">
        <w:rPr>
          <w:rFonts w:ascii="Bell MT" w:hAnsi="Bell MT"/>
          <w:bCs/>
          <w:sz w:val="24"/>
          <w:szCs w:val="24"/>
        </w:rPr>
        <w:t>.</w:t>
      </w:r>
    </w:p>
    <w:p w14:paraId="00794E15" w14:textId="3AC5E1D0" w:rsidR="004B533E" w:rsidRPr="004B533E" w:rsidRDefault="002528B8" w:rsidP="004B533E">
      <w:pPr>
        <w:numPr>
          <w:ilvl w:val="0"/>
          <w:numId w:val="22"/>
        </w:numPr>
        <w:spacing w:after="0" w:line="276" w:lineRule="auto"/>
        <w:jc w:val="both"/>
        <w:rPr>
          <w:rFonts w:ascii="Bell MT" w:hAnsi="Bell MT"/>
          <w:bCs/>
          <w:sz w:val="24"/>
          <w:szCs w:val="24"/>
        </w:rPr>
      </w:pPr>
      <w:r w:rsidRPr="002528B8">
        <w:rPr>
          <w:rFonts w:ascii="Bell MT" w:hAnsi="Bell MT"/>
          <w:bCs/>
          <w:sz w:val="24"/>
          <w:szCs w:val="24"/>
        </w:rPr>
        <w:t>The decision must be pronounced no later than 90 days after the lawsuit is registered and can be extended for a maximum of 30 days with the approval of the Chief Justice of the Supreme Court, while in the field of Patents it must be pronounced no later than 180 days after the date the lawsuit is registered. The decision can be executed in advance even if a legal action is filed, except in Patent disputes</w:t>
      </w:r>
      <w:r w:rsidR="004B533E" w:rsidRPr="004B533E">
        <w:rPr>
          <w:rFonts w:ascii="Bell MT" w:hAnsi="Bell MT"/>
          <w:bCs/>
          <w:sz w:val="24"/>
          <w:szCs w:val="24"/>
        </w:rPr>
        <w:t>.</w:t>
      </w:r>
    </w:p>
    <w:p w14:paraId="48B53926" w14:textId="78774012" w:rsidR="004B533E" w:rsidRPr="004B533E" w:rsidRDefault="002528B8" w:rsidP="004B533E">
      <w:pPr>
        <w:numPr>
          <w:ilvl w:val="0"/>
          <w:numId w:val="22"/>
        </w:numPr>
        <w:spacing w:after="0" w:line="276" w:lineRule="auto"/>
        <w:jc w:val="both"/>
        <w:rPr>
          <w:rFonts w:ascii="Bell MT" w:hAnsi="Bell MT"/>
          <w:bCs/>
          <w:sz w:val="24"/>
          <w:szCs w:val="24"/>
        </w:rPr>
      </w:pPr>
      <w:r w:rsidRPr="002528B8">
        <w:rPr>
          <w:rFonts w:ascii="Bell MT" w:hAnsi="Bell MT"/>
          <w:bCs/>
          <w:sz w:val="24"/>
          <w:szCs w:val="24"/>
        </w:rPr>
        <w:lastRenderedPageBreak/>
        <w:t>The Commercial Court's decision must be delivered by the Bailiff to the parties no later than 14 days after the cancellation decision is pronounced</w:t>
      </w:r>
      <w:r w:rsidR="004B533E" w:rsidRPr="004B533E">
        <w:rPr>
          <w:rFonts w:ascii="Bell MT" w:hAnsi="Bell MT"/>
          <w:bCs/>
          <w:sz w:val="24"/>
          <w:szCs w:val="24"/>
        </w:rPr>
        <w:t>.</w:t>
      </w:r>
    </w:p>
    <w:p w14:paraId="6B5E3625" w14:textId="4890F4FF" w:rsidR="004B533E" w:rsidRPr="004B533E" w:rsidRDefault="002528B8" w:rsidP="004B533E">
      <w:pPr>
        <w:numPr>
          <w:ilvl w:val="0"/>
          <w:numId w:val="22"/>
        </w:numPr>
        <w:spacing w:after="0" w:line="276" w:lineRule="auto"/>
        <w:jc w:val="both"/>
        <w:rPr>
          <w:rFonts w:ascii="Bell MT" w:hAnsi="Bell MT"/>
          <w:bCs/>
          <w:sz w:val="24"/>
          <w:szCs w:val="24"/>
        </w:rPr>
      </w:pPr>
      <w:r w:rsidRPr="002528B8">
        <w:rPr>
          <w:rFonts w:ascii="Bell MT" w:hAnsi="Bell MT"/>
          <w:bCs/>
          <w:sz w:val="24"/>
          <w:szCs w:val="24"/>
        </w:rPr>
        <w:t>Although the Commercial Court decision is determined to only be appealed, because it is not expressly regulated that a prohibition on PK is carried out, the provisions as regulated in Law No. 14 of 1985 concerning the Supreme Court apply, namely that all decisions that have permanent legal force can be appealed for PK if there are sufficient reasons for it. The Intellectual Property Rights Law does not regulate judicial review, so in this case the Supreme Court refers to Law No. 14 of 1985 which is linked to Article 284 (1) of the Bankruptcy Law regarding the reasons, time limit and other things that apply to judicial review as regulated in Articles 66 to 75 of Law No. 14 of 1985</w:t>
      </w:r>
      <w:r w:rsidR="004B533E" w:rsidRPr="004B533E">
        <w:rPr>
          <w:rFonts w:ascii="Bell MT" w:hAnsi="Bell MT"/>
          <w:bCs/>
          <w:sz w:val="24"/>
          <w:szCs w:val="24"/>
        </w:rPr>
        <w:t>.</w:t>
      </w:r>
    </w:p>
    <w:p w14:paraId="37D647A8" w14:textId="7BA2B728" w:rsidR="004B533E" w:rsidRDefault="002528B8" w:rsidP="004B533E">
      <w:pPr>
        <w:numPr>
          <w:ilvl w:val="0"/>
          <w:numId w:val="22"/>
        </w:numPr>
        <w:spacing w:after="0" w:line="276" w:lineRule="auto"/>
        <w:jc w:val="both"/>
        <w:rPr>
          <w:rFonts w:ascii="Bell MT" w:hAnsi="Bell MT"/>
          <w:bCs/>
          <w:sz w:val="24"/>
          <w:szCs w:val="24"/>
        </w:rPr>
      </w:pPr>
      <w:r w:rsidRPr="002528B8">
        <w:rPr>
          <w:rFonts w:ascii="Bell MT" w:hAnsi="Bell MT"/>
          <w:bCs/>
          <w:sz w:val="24"/>
          <w:szCs w:val="24"/>
        </w:rPr>
        <w:t>A cassation application must be submitted no later than 14 days after the date the decision was pronounced or notified to the parties, while the cassation memorandum must be submitted to the Clerk within 7 days from the date of the cassation application</w:t>
      </w:r>
      <w:r w:rsidR="004B533E" w:rsidRPr="004B533E">
        <w:rPr>
          <w:rFonts w:ascii="Bell MT" w:hAnsi="Bell MT"/>
          <w:bCs/>
          <w:sz w:val="24"/>
          <w:szCs w:val="24"/>
        </w:rPr>
        <w:t>.</w:t>
      </w:r>
    </w:p>
    <w:p w14:paraId="2D49F614" w14:textId="0873DA2F" w:rsidR="004B533E" w:rsidRPr="004B533E" w:rsidRDefault="002528B8" w:rsidP="004B533E">
      <w:pPr>
        <w:numPr>
          <w:ilvl w:val="0"/>
          <w:numId w:val="22"/>
        </w:numPr>
        <w:spacing w:after="0" w:line="276" w:lineRule="auto"/>
        <w:jc w:val="both"/>
        <w:rPr>
          <w:rFonts w:ascii="Bell MT" w:hAnsi="Bell MT"/>
          <w:bCs/>
          <w:sz w:val="24"/>
          <w:szCs w:val="24"/>
        </w:rPr>
      </w:pPr>
      <w:r w:rsidRPr="002528B8">
        <w:rPr>
          <w:rFonts w:ascii="Bell MT" w:hAnsi="Bell MT"/>
          <w:sz w:val="24"/>
          <w:szCs w:val="24"/>
        </w:rPr>
        <w:t>In cases of patent cancellation, according to Article 119 (1) of the Patent Law, a reverse burden of proof system is applied, namely that the Defendant is first burdened with proving the arguments of his objection, whereas in Copyright cases, the Judge is required to be careful in proving who actually has the right to a creation because there is no obligation for the creator to register his creation, so that the holder of a Copyright certificate who does not act in good faith, the actual creator, will likely have difficulty proving that his creation is true and original</w:t>
      </w:r>
      <w:r w:rsidR="004B533E" w:rsidRPr="004B533E">
        <w:rPr>
          <w:rFonts w:ascii="Bell MT" w:hAnsi="Bell MT"/>
          <w:sz w:val="24"/>
          <w:szCs w:val="24"/>
        </w:rPr>
        <w:t>.</w:t>
      </w:r>
    </w:p>
    <w:p w14:paraId="74B1735D" w14:textId="24EAE327" w:rsidR="004B533E" w:rsidRPr="004B533E" w:rsidRDefault="002528B8" w:rsidP="004B533E">
      <w:pPr>
        <w:spacing w:after="0" w:line="276" w:lineRule="auto"/>
        <w:ind w:firstLine="720"/>
        <w:jc w:val="both"/>
        <w:rPr>
          <w:rFonts w:ascii="Bell MT" w:hAnsi="Bell MT"/>
          <w:bCs/>
          <w:sz w:val="24"/>
          <w:szCs w:val="24"/>
        </w:rPr>
      </w:pPr>
      <w:r w:rsidRPr="002528B8">
        <w:rPr>
          <w:rFonts w:ascii="Bell MT" w:hAnsi="Bell MT"/>
          <w:bCs/>
          <w:sz w:val="24"/>
          <w:szCs w:val="24"/>
        </w:rPr>
        <w:t>In Law Number 28 of 2014 concerning Copyright, the authority of the Commercial Court in resolving copyright disputes can be seen in Chapter XIV and Chapter XV from Article 95 to Article 109. Article 95 determines</w:t>
      </w:r>
      <w:r w:rsidR="004B533E" w:rsidRPr="004B533E">
        <w:rPr>
          <w:rFonts w:ascii="Bell MT" w:hAnsi="Bell MT"/>
          <w:bCs/>
          <w:sz w:val="24"/>
          <w:szCs w:val="24"/>
        </w:rPr>
        <w:t>:</w:t>
      </w:r>
    </w:p>
    <w:p w14:paraId="1FBE291E" w14:textId="0212C375" w:rsidR="004B533E" w:rsidRDefault="002528B8" w:rsidP="004B533E">
      <w:pPr>
        <w:pStyle w:val="ListParagraph"/>
        <w:numPr>
          <w:ilvl w:val="0"/>
          <w:numId w:val="23"/>
        </w:numPr>
        <w:spacing w:after="0" w:line="276" w:lineRule="auto"/>
        <w:jc w:val="both"/>
        <w:rPr>
          <w:rFonts w:ascii="Bell MT" w:hAnsi="Bell MT"/>
          <w:bCs/>
          <w:sz w:val="24"/>
          <w:szCs w:val="24"/>
        </w:rPr>
      </w:pPr>
      <w:r w:rsidRPr="002528B8">
        <w:rPr>
          <w:rFonts w:ascii="Bell MT" w:hAnsi="Bell MT"/>
          <w:bCs/>
          <w:sz w:val="24"/>
          <w:szCs w:val="24"/>
        </w:rPr>
        <w:t>Settlement of copyright disputes can be done through alternative dispute resolution, arbitration, or the courts</w:t>
      </w:r>
      <w:r>
        <w:rPr>
          <w:rFonts w:ascii="Bell MT" w:hAnsi="Bell MT"/>
          <w:bCs/>
          <w:sz w:val="24"/>
          <w:szCs w:val="24"/>
        </w:rPr>
        <w:t>.</w:t>
      </w:r>
    </w:p>
    <w:p w14:paraId="707A469D" w14:textId="037CF6C7" w:rsidR="004B533E" w:rsidRDefault="002528B8" w:rsidP="004B533E">
      <w:pPr>
        <w:pStyle w:val="ListParagraph"/>
        <w:numPr>
          <w:ilvl w:val="0"/>
          <w:numId w:val="23"/>
        </w:numPr>
        <w:spacing w:after="0" w:line="276" w:lineRule="auto"/>
        <w:jc w:val="both"/>
        <w:rPr>
          <w:rFonts w:ascii="Bell MT" w:hAnsi="Bell MT"/>
          <w:bCs/>
          <w:sz w:val="24"/>
          <w:szCs w:val="24"/>
        </w:rPr>
      </w:pPr>
      <w:r w:rsidRPr="002528B8">
        <w:rPr>
          <w:rFonts w:ascii="Bell MT" w:hAnsi="Bell MT"/>
          <w:bCs/>
          <w:sz w:val="24"/>
          <w:szCs w:val="24"/>
        </w:rPr>
        <w:t>The competent court as referred to in paragraph (1) is the Commercial Court</w:t>
      </w:r>
      <w:r w:rsidR="004B533E" w:rsidRPr="004B533E">
        <w:rPr>
          <w:rFonts w:ascii="Bell MT" w:hAnsi="Bell MT"/>
          <w:bCs/>
          <w:sz w:val="24"/>
          <w:szCs w:val="24"/>
        </w:rPr>
        <w:t>.</w:t>
      </w:r>
    </w:p>
    <w:p w14:paraId="643A4A64" w14:textId="094E93C8" w:rsidR="004B533E" w:rsidRDefault="002528B8" w:rsidP="004B533E">
      <w:pPr>
        <w:pStyle w:val="ListParagraph"/>
        <w:numPr>
          <w:ilvl w:val="0"/>
          <w:numId w:val="23"/>
        </w:numPr>
        <w:spacing w:after="0" w:line="276" w:lineRule="auto"/>
        <w:jc w:val="both"/>
        <w:rPr>
          <w:rFonts w:ascii="Bell MT" w:hAnsi="Bell MT"/>
          <w:bCs/>
          <w:sz w:val="24"/>
          <w:szCs w:val="24"/>
        </w:rPr>
      </w:pPr>
      <w:r w:rsidRPr="002528B8">
        <w:rPr>
          <w:rFonts w:ascii="Bell MT" w:hAnsi="Bell MT"/>
          <w:bCs/>
          <w:sz w:val="24"/>
          <w:szCs w:val="24"/>
        </w:rPr>
        <w:t>Courts other than the Commercial Court as referred to in paragraph (2) do not have the authority to handle the resolution of Copyright disputes</w:t>
      </w:r>
      <w:r w:rsidR="004B533E" w:rsidRPr="004B533E">
        <w:rPr>
          <w:rFonts w:ascii="Bell MT" w:hAnsi="Bell MT"/>
          <w:bCs/>
          <w:sz w:val="24"/>
          <w:szCs w:val="24"/>
        </w:rPr>
        <w:t>.</w:t>
      </w:r>
    </w:p>
    <w:p w14:paraId="7FD06D81" w14:textId="101B842E" w:rsidR="004B533E" w:rsidRPr="004B533E" w:rsidRDefault="002528B8" w:rsidP="004B533E">
      <w:pPr>
        <w:pStyle w:val="ListParagraph"/>
        <w:numPr>
          <w:ilvl w:val="0"/>
          <w:numId w:val="23"/>
        </w:numPr>
        <w:spacing w:after="0" w:line="276" w:lineRule="auto"/>
        <w:jc w:val="both"/>
        <w:rPr>
          <w:rFonts w:ascii="Bell MT" w:hAnsi="Bell MT"/>
          <w:bCs/>
          <w:sz w:val="24"/>
          <w:szCs w:val="24"/>
        </w:rPr>
      </w:pPr>
      <w:r w:rsidRPr="002528B8">
        <w:rPr>
          <w:rFonts w:ascii="Bell MT" w:hAnsi="Bell MT"/>
          <w:bCs/>
          <w:sz w:val="24"/>
          <w:szCs w:val="24"/>
        </w:rPr>
        <w:t>Apart from violations of Copyright and/or Related Rights in the form of Piracy, as long as the disputing parties are known to exist and/or are located in the territory of the Unitary State of the Republic of Indonesia, they must first seek dispute resolution through mediation before bringing criminal charges</w:t>
      </w:r>
      <w:r>
        <w:rPr>
          <w:rFonts w:ascii="Bell MT" w:hAnsi="Bell MT"/>
          <w:bCs/>
          <w:sz w:val="24"/>
          <w:szCs w:val="24"/>
        </w:rPr>
        <w:t>.</w:t>
      </w:r>
    </w:p>
    <w:p w14:paraId="7DDC80BF" w14:textId="14DD7BE2" w:rsidR="00C178BC" w:rsidRDefault="00C178BC" w:rsidP="00C178BC">
      <w:pPr>
        <w:spacing w:before="120" w:after="0" w:line="276" w:lineRule="auto"/>
        <w:jc w:val="both"/>
        <w:rPr>
          <w:rFonts w:ascii="Bell MT" w:hAnsi="Bell MT"/>
          <w:b/>
          <w:sz w:val="24"/>
          <w:szCs w:val="24"/>
        </w:rPr>
      </w:pPr>
      <w:r w:rsidRPr="00D9171F">
        <w:rPr>
          <w:rFonts w:ascii="Bell MT" w:hAnsi="Bell MT"/>
          <w:b/>
          <w:color w:val="C00000"/>
          <w:sz w:val="24"/>
          <w:szCs w:val="24"/>
        </w:rPr>
        <w:t>CONCLUSSION</w:t>
      </w:r>
    </w:p>
    <w:p w14:paraId="31D21790" w14:textId="0DF553E0" w:rsidR="004B533E" w:rsidRPr="004B533E" w:rsidRDefault="002528B8" w:rsidP="004B533E">
      <w:pPr>
        <w:spacing w:before="120" w:after="0" w:line="276" w:lineRule="auto"/>
        <w:ind w:firstLine="720"/>
        <w:jc w:val="both"/>
        <w:rPr>
          <w:rFonts w:ascii="Bell MT" w:hAnsi="Bell MT"/>
          <w:sz w:val="24"/>
          <w:szCs w:val="24"/>
        </w:rPr>
      </w:pPr>
      <w:r w:rsidRPr="002528B8">
        <w:rPr>
          <w:rFonts w:ascii="Bell MT" w:hAnsi="Bell MT"/>
          <w:bCs/>
          <w:sz w:val="24"/>
          <w:szCs w:val="24"/>
        </w:rPr>
        <w:t xml:space="preserve">Trademark rights are regulated in Law No. 20 of 2016 concerning Trademarks and Geographical Indications. According to Law No. 20 of 2016 concerning Trademarks and Geographical Indications, to obtain rights to a trademark, the trademark must be registered with the Directorate of Trademarks of the Ministry of Law and Human Rights of the Republic of </w:t>
      </w:r>
      <w:r w:rsidRPr="002528B8">
        <w:rPr>
          <w:rFonts w:ascii="Bell MT" w:hAnsi="Bell MT"/>
          <w:bCs/>
          <w:sz w:val="24"/>
          <w:szCs w:val="24"/>
        </w:rPr>
        <w:lastRenderedPageBreak/>
        <w:t>Indonesia according to the constitutive system, in other words, to obtain legal protection for trademark rights, the trademark must be registered by its owner with the Directorate of Trademarks and after being officially registered in the name of the owner, a trademark certificate will be issued. Law No. 20 of 2016 concerning Trademarks and Geographical Indications, specifically in Article 21 paragraph (1) letters b and c, Article 83 paragraph (2), and reinforced by the Explanation of Article 21 paragraph (1) letter b, Explanation of Article 76 paragraph (2), and Explanation of Article 83 paragraph (2). Indonesia adopts a Trademark registration system with a constitutive system. This system requires trademark registration so that a trademark can receive protection, this system is also known as the first to file system</w:t>
      </w:r>
      <w:r w:rsidR="004B533E" w:rsidRPr="004B533E">
        <w:rPr>
          <w:rFonts w:ascii="Bell MT" w:hAnsi="Bell MT"/>
          <w:sz w:val="24"/>
          <w:szCs w:val="24"/>
        </w:rPr>
        <w:t>.</w:t>
      </w:r>
    </w:p>
    <w:p w14:paraId="048531F2" w14:textId="63730C42" w:rsidR="00C178BC" w:rsidRPr="00C178BC" w:rsidRDefault="002528B8" w:rsidP="004B533E">
      <w:pPr>
        <w:spacing w:before="120" w:after="0" w:line="276" w:lineRule="auto"/>
        <w:ind w:firstLine="720"/>
        <w:jc w:val="both"/>
        <w:rPr>
          <w:rFonts w:ascii="Bell MT" w:hAnsi="Bell MT"/>
          <w:sz w:val="24"/>
          <w:szCs w:val="24"/>
        </w:rPr>
      </w:pPr>
      <w:r w:rsidRPr="002528B8">
        <w:rPr>
          <w:rFonts w:ascii="Bell MT" w:hAnsi="Bell MT"/>
          <w:bCs/>
          <w:sz w:val="24"/>
          <w:szCs w:val="24"/>
        </w:rPr>
        <w:t>The applicable procedural law in the process of filing a dispute in the field of intellectual property rights is the Civil Procedural Law as with the civil procedural law in civil cases handled by the District Court in the general judicial body environment. The process of filing a lawsuit for an intellectual property rights dispute has been regulated through laws and regulations in Indonesia, in accordance with the provisions of the applicable law on each intellectual property right, where the lawsuit is processed through the Commercial Court</w:t>
      </w:r>
      <w:r w:rsidR="00C178BC">
        <w:rPr>
          <w:rFonts w:ascii="Bell MT" w:hAnsi="Bell MT"/>
          <w:sz w:val="24"/>
          <w:szCs w:val="24"/>
        </w:rPr>
        <w:t>.</w:t>
      </w:r>
    </w:p>
    <w:p w14:paraId="3A8A48CD" w14:textId="77777777" w:rsidR="004B533E" w:rsidRDefault="004B533E">
      <w:pPr>
        <w:rPr>
          <w:rFonts w:ascii="Bell MT" w:hAnsi="Bell MT"/>
          <w:b/>
          <w:sz w:val="24"/>
          <w:szCs w:val="24"/>
          <w:lang w:val="pt-BR"/>
        </w:rPr>
      </w:pPr>
      <w:r>
        <w:rPr>
          <w:rFonts w:ascii="Bell MT" w:hAnsi="Bell MT"/>
          <w:b/>
          <w:sz w:val="24"/>
          <w:szCs w:val="24"/>
          <w:lang w:val="pt-BR"/>
        </w:rPr>
        <w:br w:type="page"/>
      </w:r>
    </w:p>
    <w:p w14:paraId="63ADEF83" w14:textId="7FE2CAC8" w:rsidR="00A14131" w:rsidRDefault="00A14131" w:rsidP="004B533E">
      <w:pPr>
        <w:tabs>
          <w:tab w:val="center" w:pos="2105"/>
        </w:tabs>
        <w:spacing w:before="120" w:after="0" w:line="276" w:lineRule="auto"/>
        <w:jc w:val="center"/>
        <w:rPr>
          <w:rFonts w:ascii="Bell MT" w:hAnsi="Bell MT"/>
          <w:b/>
          <w:sz w:val="24"/>
          <w:szCs w:val="24"/>
          <w:lang w:val="id-ID"/>
        </w:rPr>
      </w:pPr>
      <w:r w:rsidRPr="00D9171F">
        <w:rPr>
          <w:rFonts w:ascii="Bell MT" w:hAnsi="Bell MT"/>
          <w:b/>
          <w:color w:val="C00000"/>
          <w:sz w:val="24"/>
          <w:szCs w:val="24"/>
          <w:lang w:val="pt-BR"/>
        </w:rPr>
        <w:lastRenderedPageBreak/>
        <w:t>REFER</w:t>
      </w:r>
      <w:r w:rsidRPr="00D9171F">
        <w:rPr>
          <w:rFonts w:ascii="Bell MT" w:hAnsi="Bell MT"/>
          <w:b/>
          <w:color w:val="C00000"/>
          <w:sz w:val="24"/>
          <w:szCs w:val="24"/>
          <w:lang w:val="id-ID"/>
        </w:rPr>
        <w:t>ENCES</w:t>
      </w:r>
    </w:p>
    <w:p w14:paraId="3DFD9BCB" w14:textId="058B0C77" w:rsidR="00D9171F" w:rsidRPr="00D9171F" w:rsidRDefault="00E41DD9" w:rsidP="00C2507B">
      <w:pPr>
        <w:widowControl w:val="0"/>
        <w:autoSpaceDE w:val="0"/>
        <w:autoSpaceDN w:val="0"/>
        <w:adjustRightInd w:val="0"/>
        <w:spacing w:before="120" w:after="0" w:line="240" w:lineRule="auto"/>
        <w:ind w:left="480" w:hanging="480"/>
        <w:jc w:val="both"/>
        <w:rPr>
          <w:rFonts w:ascii="Bell MT" w:hAnsi="Bell MT" w:cs="Times New Roman"/>
          <w:noProof/>
          <w:sz w:val="24"/>
          <w:szCs w:val="24"/>
        </w:rPr>
      </w:pPr>
      <w:r>
        <w:rPr>
          <w:rFonts w:ascii="Bell MT" w:hAnsi="Bell MT"/>
          <w:sz w:val="24"/>
          <w:szCs w:val="24"/>
        </w:rPr>
        <w:fldChar w:fldCharType="begin" w:fldLock="1"/>
      </w:r>
      <w:r>
        <w:rPr>
          <w:rFonts w:ascii="Bell MT" w:hAnsi="Bell MT"/>
          <w:sz w:val="24"/>
          <w:szCs w:val="24"/>
        </w:rPr>
        <w:instrText xml:space="preserve">ADDIN Mendeley Bibliography CSL_BIBLIOGRAPHY </w:instrText>
      </w:r>
      <w:r>
        <w:rPr>
          <w:rFonts w:ascii="Bell MT" w:hAnsi="Bell MT"/>
          <w:sz w:val="24"/>
          <w:szCs w:val="24"/>
        </w:rPr>
        <w:fldChar w:fldCharType="separate"/>
      </w:r>
      <w:r w:rsidR="00D9171F" w:rsidRPr="00D9171F">
        <w:rPr>
          <w:rFonts w:ascii="Bell MT" w:hAnsi="Bell MT" w:cs="Times New Roman"/>
          <w:noProof/>
          <w:sz w:val="24"/>
          <w:szCs w:val="24"/>
        </w:rPr>
        <w:t xml:space="preserve">Arifin, Zainal, and Muhamamd Iqbal. “Perlindungan Hukum Terhadap Hak Merek Yang Terdaftar.” </w:t>
      </w:r>
      <w:r w:rsidR="00D9171F" w:rsidRPr="00D9171F">
        <w:rPr>
          <w:rFonts w:ascii="Bell MT" w:hAnsi="Bell MT" w:cs="Times New Roman"/>
          <w:i/>
          <w:iCs/>
          <w:noProof/>
          <w:sz w:val="24"/>
          <w:szCs w:val="24"/>
        </w:rPr>
        <w:t>Jurnal Ius Constituendum</w:t>
      </w:r>
      <w:r w:rsidR="00D9171F" w:rsidRPr="00D9171F">
        <w:rPr>
          <w:rFonts w:ascii="Bell MT" w:hAnsi="Bell MT" w:cs="Times New Roman"/>
          <w:noProof/>
          <w:sz w:val="24"/>
          <w:szCs w:val="24"/>
        </w:rPr>
        <w:t xml:space="preserve"> 5, no. 1 (2020): 50.</w:t>
      </w:r>
    </w:p>
    <w:p w14:paraId="454EA2F9" w14:textId="77777777" w:rsidR="00D9171F" w:rsidRPr="00D9171F" w:rsidRDefault="00D9171F" w:rsidP="00C2507B">
      <w:pPr>
        <w:widowControl w:val="0"/>
        <w:autoSpaceDE w:val="0"/>
        <w:autoSpaceDN w:val="0"/>
        <w:adjustRightInd w:val="0"/>
        <w:spacing w:before="120" w:after="0" w:line="240" w:lineRule="auto"/>
        <w:ind w:left="480" w:hanging="480"/>
        <w:jc w:val="both"/>
        <w:rPr>
          <w:rFonts w:ascii="Bell MT" w:hAnsi="Bell MT" w:cs="Times New Roman"/>
          <w:noProof/>
          <w:sz w:val="24"/>
          <w:szCs w:val="24"/>
        </w:rPr>
      </w:pPr>
      <w:r w:rsidRPr="00D9171F">
        <w:rPr>
          <w:rFonts w:ascii="Bell MT" w:hAnsi="Bell MT" w:cs="Times New Roman"/>
          <w:noProof/>
          <w:sz w:val="24"/>
          <w:szCs w:val="24"/>
        </w:rPr>
        <w:t xml:space="preserve">Laela, Fitri Ida. “Analisis Kepastian Hukum Merek Terkenal Terdaftar Terhadap Sengketa Gugatan Pembatalan Merek.” </w:t>
      </w:r>
      <w:r w:rsidRPr="00D9171F">
        <w:rPr>
          <w:rFonts w:ascii="Bell MT" w:hAnsi="Bell MT" w:cs="Times New Roman"/>
          <w:i/>
          <w:iCs/>
          <w:noProof/>
          <w:sz w:val="24"/>
          <w:szCs w:val="24"/>
        </w:rPr>
        <w:t>Jurnal Hukum Dan Keadilan</w:t>
      </w:r>
      <w:r w:rsidRPr="00D9171F">
        <w:rPr>
          <w:rFonts w:ascii="Bell MT" w:hAnsi="Bell MT" w:cs="Times New Roman"/>
          <w:noProof/>
          <w:sz w:val="24"/>
          <w:szCs w:val="24"/>
        </w:rPr>
        <w:t xml:space="preserve"> 7, no. 2 (2020): 82.</w:t>
      </w:r>
    </w:p>
    <w:p w14:paraId="74CEF755" w14:textId="77777777" w:rsidR="00D9171F" w:rsidRPr="00D9171F" w:rsidRDefault="00D9171F" w:rsidP="00C2507B">
      <w:pPr>
        <w:widowControl w:val="0"/>
        <w:autoSpaceDE w:val="0"/>
        <w:autoSpaceDN w:val="0"/>
        <w:adjustRightInd w:val="0"/>
        <w:spacing w:before="120" w:after="0" w:line="240" w:lineRule="auto"/>
        <w:ind w:left="480" w:hanging="480"/>
        <w:jc w:val="both"/>
        <w:rPr>
          <w:rFonts w:ascii="Bell MT" w:hAnsi="Bell MT" w:cs="Times New Roman"/>
          <w:noProof/>
          <w:sz w:val="24"/>
          <w:szCs w:val="24"/>
        </w:rPr>
      </w:pPr>
      <w:r w:rsidRPr="00D9171F">
        <w:rPr>
          <w:rFonts w:ascii="Bell MT" w:hAnsi="Bell MT" w:cs="Times New Roman"/>
          <w:noProof/>
          <w:sz w:val="24"/>
          <w:szCs w:val="24"/>
        </w:rPr>
        <w:t xml:space="preserve">Maulana, Insan Budi. </w:t>
      </w:r>
      <w:r w:rsidRPr="00D9171F">
        <w:rPr>
          <w:rFonts w:ascii="Bell MT" w:hAnsi="Bell MT" w:cs="Times New Roman"/>
          <w:i/>
          <w:iCs/>
          <w:noProof/>
          <w:sz w:val="24"/>
          <w:szCs w:val="24"/>
        </w:rPr>
        <w:t>Pelindungan Merek Terkenal Di Indonesia Dari Masa Ke Masa</w:t>
      </w:r>
      <w:r w:rsidRPr="00D9171F">
        <w:rPr>
          <w:rFonts w:ascii="Bell MT" w:hAnsi="Bell MT" w:cs="Times New Roman"/>
          <w:noProof/>
          <w:sz w:val="24"/>
          <w:szCs w:val="24"/>
        </w:rPr>
        <w:t>. Bandung: Citra Aditya Bakti, 2010.</w:t>
      </w:r>
    </w:p>
    <w:p w14:paraId="42F35FA8" w14:textId="77777777" w:rsidR="00D9171F" w:rsidRPr="00D9171F" w:rsidRDefault="00D9171F" w:rsidP="00C2507B">
      <w:pPr>
        <w:widowControl w:val="0"/>
        <w:autoSpaceDE w:val="0"/>
        <w:autoSpaceDN w:val="0"/>
        <w:adjustRightInd w:val="0"/>
        <w:spacing w:before="120" w:after="0" w:line="240" w:lineRule="auto"/>
        <w:ind w:left="480" w:hanging="480"/>
        <w:jc w:val="both"/>
        <w:rPr>
          <w:rFonts w:ascii="Bell MT" w:hAnsi="Bell MT" w:cs="Times New Roman"/>
          <w:noProof/>
          <w:sz w:val="24"/>
          <w:szCs w:val="24"/>
        </w:rPr>
      </w:pPr>
      <w:r w:rsidRPr="00D9171F">
        <w:rPr>
          <w:rFonts w:ascii="Bell MT" w:hAnsi="Bell MT" w:cs="Times New Roman"/>
          <w:noProof/>
          <w:sz w:val="24"/>
          <w:szCs w:val="24"/>
        </w:rPr>
        <w:t xml:space="preserve">Muhammad, Abdul kadir. </w:t>
      </w:r>
      <w:r w:rsidRPr="00D9171F">
        <w:rPr>
          <w:rFonts w:ascii="Bell MT" w:hAnsi="Bell MT" w:cs="Times New Roman"/>
          <w:i/>
          <w:iCs/>
          <w:noProof/>
          <w:sz w:val="24"/>
          <w:szCs w:val="24"/>
        </w:rPr>
        <w:t>Kajian Hukum Ekonomi Hak Kekayaan Intelektual</w:t>
      </w:r>
      <w:r w:rsidRPr="00D9171F">
        <w:rPr>
          <w:rFonts w:ascii="Bell MT" w:hAnsi="Bell MT" w:cs="Times New Roman"/>
          <w:noProof/>
          <w:sz w:val="24"/>
          <w:szCs w:val="24"/>
        </w:rPr>
        <w:t>. Bandung: Citra Aditya Bakti, 2007.</w:t>
      </w:r>
    </w:p>
    <w:p w14:paraId="0DA9798A" w14:textId="77777777" w:rsidR="00D9171F" w:rsidRPr="00D9171F" w:rsidRDefault="00D9171F" w:rsidP="00C2507B">
      <w:pPr>
        <w:widowControl w:val="0"/>
        <w:autoSpaceDE w:val="0"/>
        <w:autoSpaceDN w:val="0"/>
        <w:adjustRightInd w:val="0"/>
        <w:spacing w:before="120" w:after="0" w:line="240" w:lineRule="auto"/>
        <w:ind w:left="480" w:hanging="480"/>
        <w:jc w:val="both"/>
        <w:rPr>
          <w:rFonts w:ascii="Bell MT" w:hAnsi="Bell MT" w:cs="Times New Roman"/>
          <w:noProof/>
          <w:sz w:val="24"/>
          <w:szCs w:val="24"/>
        </w:rPr>
      </w:pPr>
      <w:r w:rsidRPr="00D9171F">
        <w:rPr>
          <w:rFonts w:ascii="Bell MT" w:hAnsi="Bell MT" w:cs="Times New Roman"/>
          <w:noProof/>
          <w:sz w:val="24"/>
          <w:szCs w:val="24"/>
        </w:rPr>
        <w:t xml:space="preserve">Naomi Yuli EsterHidayati, Nurul. “Urgensi Perlindungan Merek Melalui Protokol Madrid (Treadmark Protection Urgency Through The Madrid Protocol).” </w:t>
      </w:r>
      <w:r w:rsidRPr="00D9171F">
        <w:rPr>
          <w:rFonts w:ascii="Bell MT" w:hAnsi="Bell MT" w:cs="Times New Roman"/>
          <w:i/>
          <w:iCs/>
          <w:noProof/>
          <w:sz w:val="24"/>
          <w:szCs w:val="24"/>
        </w:rPr>
        <w:t>Jurnal Legislasi Indonesia</w:t>
      </w:r>
      <w:r w:rsidRPr="00D9171F">
        <w:rPr>
          <w:rFonts w:ascii="Bell MT" w:hAnsi="Bell MT" w:cs="Times New Roman"/>
          <w:noProof/>
          <w:sz w:val="24"/>
          <w:szCs w:val="24"/>
        </w:rPr>
        <w:t xml:space="preserve"> 14, no. 2 (2017): 172.</w:t>
      </w:r>
    </w:p>
    <w:p w14:paraId="39A85DE1" w14:textId="77777777" w:rsidR="00D9171F" w:rsidRPr="00D9171F" w:rsidRDefault="00D9171F" w:rsidP="00C2507B">
      <w:pPr>
        <w:widowControl w:val="0"/>
        <w:autoSpaceDE w:val="0"/>
        <w:autoSpaceDN w:val="0"/>
        <w:adjustRightInd w:val="0"/>
        <w:spacing w:before="120" w:after="0" w:line="240" w:lineRule="auto"/>
        <w:ind w:left="480" w:hanging="480"/>
        <w:jc w:val="both"/>
        <w:rPr>
          <w:rFonts w:ascii="Bell MT" w:hAnsi="Bell MT" w:cs="Times New Roman"/>
          <w:noProof/>
          <w:sz w:val="24"/>
          <w:szCs w:val="24"/>
        </w:rPr>
      </w:pPr>
      <w:r w:rsidRPr="00D9171F">
        <w:rPr>
          <w:rFonts w:ascii="Bell MT" w:hAnsi="Bell MT" w:cs="Times New Roman"/>
          <w:noProof/>
          <w:sz w:val="24"/>
          <w:szCs w:val="24"/>
        </w:rPr>
        <w:t xml:space="preserve">Rahimah, and Ismail Koto. “Implications of Parenting Patterns in the Development of Early Childhood Social Attitudes.” </w:t>
      </w:r>
      <w:r w:rsidRPr="00D9171F">
        <w:rPr>
          <w:rFonts w:ascii="Bell MT" w:hAnsi="Bell MT" w:cs="Times New Roman"/>
          <w:i/>
          <w:iCs/>
          <w:noProof/>
          <w:sz w:val="24"/>
          <w:szCs w:val="24"/>
        </w:rPr>
        <w:t>IJRS:International Journal Reglement &amp; Society</w:t>
      </w:r>
      <w:r w:rsidRPr="00D9171F">
        <w:rPr>
          <w:rFonts w:ascii="Bell MT" w:hAnsi="Bell MT" w:cs="Times New Roman"/>
          <w:noProof/>
          <w:sz w:val="24"/>
          <w:szCs w:val="24"/>
        </w:rPr>
        <w:t xml:space="preserve"> 3, no. 2 (2022): 129–33.</w:t>
      </w:r>
    </w:p>
    <w:p w14:paraId="0B2643CD" w14:textId="77777777" w:rsidR="00D9171F" w:rsidRPr="00D9171F" w:rsidRDefault="00D9171F" w:rsidP="00C2507B">
      <w:pPr>
        <w:widowControl w:val="0"/>
        <w:autoSpaceDE w:val="0"/>
        <w:autoSpaceDN w:val="0"/>
        <w:adjustRightInd w:val="0"/>
        <w:spacing w:before="120" w:after="0" w:line="240" w:lineRule="auto"/>
        <w:ind w:left="480" w:hanging="480"/>
        <w:jc w:val="both"/>
        <w:rPr>
          <w:rFonts w:ascii="Bell MT" w:hAnsi="Bell MT" w:cs="Times New Roman"/>
          <w:noProof/>
          <w:sz w:val="24"/>
          <w:szCs w:val="24"/>
        </w:rPr>
      </w:pPr>
      <w:r w:rsidRPr="00D9171F">
        <w:rPr>
          <w:rFonts w:ascii="Bell MT" w:hAnsi="Bell MT" w:cs="Times New Roman"/>
          <w:noProof/>
          <w:sz w:val="24"/>
          <w:szCs w:val="24"/>
        </w:rPr>
        <w:t xml:space="preserve">Ruslam, Surianto. </w:t>
      </w:r>
      <w:r w:rsidRPr="00D9171F">
        <w:rPr>
          <w:rFonts w:ascii="Bell MT" w:hAnsi="Bell MT" w:cs="Times New Roman"/>
          <w:i/>
          <w:iCs/>
          <w:noProof/>
          <w:sz w:val="24"/>
          <w:szCs w:val="24"/>
        </w:rPr>
        <w:t>Mendesain Logo</w:t>
      </w:r>
      <w:r w:rsidRPr="00D9171F">
        <w:rPr>
          <w:rFonts w:ascii="Bell MT" w:hAnsi="Bell MT" w:cs="Times New Roman"/>
          <w:noProof/>
          <w:sz w:val="24"/>
          <w:szCs w:val="24"/>
        </w:rPr>
        <w:t>. Jakarta: Gramedia Pustaka Prima, 2009.</w:t>
      </w:r>
    </w:p>
    <w:p w14:paraId="5603D8C0" w14:textId="77777777" w:rsidR="00D9171F" w:rsidRPr="00D9171F" w:rsidRDefault="00D9171F" w:rsidP="00C2507B">
      <w:pPr>
        <w:widowControl w:val="0"/>
        <w:autoSpaceDE w:val="0"/>
        <w:autoSpaceDN w:val="0"/>
        <w:adjustRightInd w:val="0"/>
        <w:spacing w:before="120" w:after="0" w:line="240" w:lineRule="auto"/>
        <w:ind w:left="480" w:hanging="480"/>
        <w:jc w:val="both"/>
        <w:rPr>
          <w:rFonts w:ascii="Bell MT" w:hAnsi="Bell MT" w:cs="Times New Roman"/>
          <w:noProof/>
          <w:sz w:val="24"/>
          <w:szCs w:val="24"/>
        </w:rPr>
      </w:pPr>
      <w:r w:rsidRPr="00D9171F">
        <w:rPr>
          <w:rFonts w:ascii="Bell MT" w:hAnsi="Bell MT" w:cs="Times New Roman"/>
          <w:noProof/>
          <w:sz w:val="24"/>
          <w:szCs w:val="24"/>
        </w:rPr>
        <w:t xml:space="preserve">Sujatmiko, Agung. “Tinjauan Filosofis Perlindungan Hak Milik Atas Merek.” </w:t>
      </w:r>
      <w:r w:rsidRPr="00D9171F">
        <w:rPr>
          <w:rFonts w:ascii="Bell MT" w:hAnsi="Bell MT" w:cs="Times New Roman"/>
          <w:i/>
          <w:iCs/>
          <w:noProof/>
          <w:sz w:val="24"/>
          <w:szCs w:val="24"/>
        </w:rPr>
        <w:t>Jurnal Media Hukum Fakultas Hukum Universitas Muhammadiyah Yogyakarta</w:t>
      </w:r>
      <w:r w:rsidRPr="00D9171F">
        <w:rPr>
          <w:rFonts w:ascii="Bell MT" w:hAnsi="Bell MT" w:cs="Times New Roman"/>
          <w:noProof/>
          <w:sz w:val="24"/>
          <w:szCs w:val="24"/>
        </w:rPr>
        <w:t xml:space="preserve"> 18, no. 2 (2011): 177.</w:t>
      </w:r>
    </w:p>
    <w:p w14:paraId="6C9F3050" w14:textId="77777777" w:rsidR="00D9171F" w:rsidRPr="00D9171F" w:rsidRDefault="00D9171F" w:rsidP="00C2507B">
      <w:pPr>
        <w:widowControl w:val="0"/>
        <w:autoSpaceDE w:val="0"/>
        <w:autoSpaceDN w:val="0"/>
        <w:adjustRightInd w:val="0"/>
        <w:spacing w:before="120" w:after="0" w:line="240" w:lineRule="auto"/>
        <w:ind w:left="480" w:hanging="480"/>
        <w:jc w:val="both"/>
        <w:rPr>
          <w:rFonts w:ascii="Bell MT" w:hAnsi="Bell MT" w:cs="Times New Roman"/>
          <w:noProof/>
          <w:sz w:val="24"/>
          <w:szCs w:val="24"/>
        </w:rPr>
      </w:pPr>
      <w:r w:rsidRPr="00D9171F">
        <w:rPr>
          <w:rFonts w:ascii="Bell MT" w:hAnsi="Bell MT" w:cs="Times New Roman"/>
          <w:noProof/>
          <w:sz w:val="24"/>
          <w:szCs w:val="24"/>
        </w:rPr>
        <w:t xml:space="preserve">Sulastri, Satino, and Yuliana. “Perlindungan Hukum Terhadap Merek (Tinjauan Terhadap Merek Dagang Tupperware Versus Tulipware).” </w:t>
      </w:r>
      <w:r w:rsidRPr="00D9171F">
        <w:rPr>
          <w:rFonts w:ascii="Bell MT" w:hAnsi="Bell MT" w:cs="Times New Roman"/>
          <w:i/>
          <w:iCs/>
          <w:noProof/>
          <w:sz w:val="24"/>
          <w:szCs w:val="24"/>
        </w:rPr>
        <w:t>Jurnal Yuridis Fakultas Hukum Universitas Pembangunan Nasional “Veteran” Jakarta</w:t>
      </w:r>
      <w:r w:rsidRPr="00D9171F">
        <w:rPr>
          <w:rFonts w:ascii="Bell MT" w:hAnsi="Bell MT" w:cs="Times New Roman"/>
          <w:noProof/>
          <w:sz w:val="24"/>
          <w:szCs w:val="24"/>
        </w:rPr>
        <w:t xml:space="preserve"> 5, no. 1 (2018): 162.</w:t>
      </w:r>
    </w:p>
    <w:p w14:paraId="320D62DA" w14:textId="77777777" w:rsidR="00D9171F" w:rsidRPr="00D9171F" w:rsidRDefault="00D9171F" w:rsidP="00C2507B">
      <w:pPr>
        <w:widowControl w:val="0"/>
        <w:autoSpaceDE w:val="0"/>
        <w:autoSpaceDN w:val="0"/>
        <w:adjustRightInd w:val="0"/>
        <w:spacing w:before="120" w:after="0" w:line="240" w:lineRule="auto"/>
        <w:ind w:left="480" w:hanging="480"/>
        <w:jc w:val="both"/>
        <w:rPr>
          <w:rFonts w:ascii="Bell MT" w:hAnsi="Bell MT" w:cs="Times New Roman"/>
          <w:noProof/>
          <w:sz w:val="24"/>
          <w:szCs w:val="24"/>
        </w:rPr>
      </w:pPr>
      <w:r w:rsidRPr="00D9171F">
        <w:rPr>
          <w:rFonts w:ascii="Bell MT" w:hAnsi="Bell MT" w:cs="Times New Roman"/>
          <w:noProof/>
          <w:sz w:val="24"/>
          <w:szCs w:val="24"/>
        </w:rPr>
        <w:t xml:space="preserve">Surakhmad, Winarno. </w:t>
      </w:r>
      <w:r w:rsidRPr="00D9171F">
        <w:rPr>
          <w:rFonts w:ascii="Bell MT" w:hAnsi="Bell MT" w:cs="Times New Roman"/>
          <w:i/>
          <w:iCs/>
          <w:noProof/>
          <w:sz w:val="24"/>
          <w:szCs w:val="24"/>
        </w:rPr>
        <w:t>Dasar Dan Teknik Research</w:t>
      </w:r>
      <w:r w:rsidRPr="00D9171F">
        <w:rPr>
          <w:rFonts w:ascii="Bell MT" w:hAnsi="Bell MT" w:cs="Times New Roman"/>
          <w:noProof/>
          <w:sz w:val="24"/>
          <w:szCs w:val="24"/>
        </w:rPr>
        <w:t>. Bandung: Tarsito, 1978.</w:t>
      </w:r>
    </w:p>
    <w:p w14:paraId="46960D5A" w14:textId="77777777" w:rsidR="00D9171F" w:rsidRPr="00D9171F" w:rsidRDefault="00D9171F" w:rsidP="00C2507B">
      <w:pPr>
        <w:widowControl w:val="0"/>
        <w:autoSpaceDE w:val="0"/>
        <w:autoSpaceDN w:val="0"/>
        <w:adjustRightInd w:val="0"/>
        <w:spacing w:before="120" w:after="0" w:line="240" w:lineRule="auto"/>
        <w:ind w:left="480" w:hanging="480"/>
        <w:jc w:val="both"/>
        <w:rPr>
          <w:rFonts w:ascii="Bell MT" w:hAnsi="Bell MT"/>
          <w:noProof/>
          <w:sz w:val="24"/>
        </w:rPr>
      </w:pPr>
      <w:r w:rsidRPr="00D9171F">
        <w:rPr>
          <w:rFonts w:ascii="Bell MT" w:hAnsi="Bell MT" w:cs="Times New Roman"/>
          <w:noProof/>
          <w:sz w:val="24"/>
          <w:szCs w:val="24"/>
        </w:rPr>
        <w:t xml:space="preserve">Sutedi, Adrian. </w:t>
      </w:r>
      <w:r w:rsidRPr="00D9171F">
        <w:rPr>
          <w:rFonts w:ascii="Bell MT" w:hAnsi="Bell MT" w:cs="Times New Roman"/>
          <w:i/>
          <w:iCs/>
          <w:noProof/>
          <w:sz w:val="24"/>
          <w:szCs w:val="24"/>
        </w:rPr>
        <w:t>Hak Atas Kekayaan Intelektual</w:t>
      </w:r>
      <w:r w:rsidRPr="00D9171F">
        <w:rPr>
          <w:rFonts w:ascii="Bell MT" w:hAnsi="Bell MT" w:cs="Times New Roman"/>
          <w:noProof/>
          <w:sz w:val="24"/>
          <w:szCs w:val="24"/>
        </w:rPr>
        <w:t>. Jakarta: Sinar Grafika, 2009.</w:t>
      </w:r>
    </w:p>
    <w:p w14:paraId="76039487" w14:textId="4E335BB4" w:rsidR="00E41DD9" w:rsidRPr="00A14131" w:rsidRDefault="00E41DD9" w:rsidP="00C2507B">
      <w:pPr>
        <w:tabs>
          <w:tab w:val="center" w:pos="2105"/>
        </w:tabs>
        <w:spacing w:before="120" w:after="0" w:line="276" w:lineRule="auto"/>
        <w:jc w:val="both"/>
        <w:rPr>
          <w:rFonts w:ascii="Bell MT" w:hAnsi="Bell MT"/>
          <w:sz w:val="24"/>
          <w:szCs w:val="24"/>
        </w:rPr>
      </w:pPr>
      <w:r>
        <w:rPr>
          <w:rFonts w:ascii="Bell MT" w:hAnsi="Bell MT"/>
          <w:sz w:val="24"/>
          <w:szCs w:val="24"/>
        </w:rPr>
        <w:fldChar w:fldCharType="end"/>
      </w:r>
    </w:p>
    <w:p w14:paraId="4F138815" w14:textId="3AD67677" w:rsidR="0033764C" w:rsidRPr="00A14131" w:rsidRDefault="0033764C" w:rsidP="00A14131">
      <w:pPr>
        <w:tabs>
          <w:tab w:val="left" w:pos="1410"/>
        </w:tabs>
        <w:rPr>
          <w:rFonts w:ascii="Bell MT" w:hAnsi="Bell MT"/>
          <w:color w:val="000000" w:themeColor="text1"/>
        </w:rPr>
      </w:pPr>
    </w:p>
    <w:sectPr w:rsidR="0033764C" w:rsidRPr="00A14131" w:rsidSect="0044283C">
      <w:headerReference w:type="default" r:id="rId8"/>
      <w:footerReference w:type="default" r:id="rId9"/>
      <w:pgSz w:w="12240" w:h="15840"/>
      <w:pgMar w:top="1440" w:right="1440" w:bottom="1440" w:left="1440" w:header="720" w:footer="720" w:gutter="0"/>
      <w:pgNumType w:start="2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D61B2" w14:textId="77777777" w:rsidR="00853E8F" w:rsidRDefault="00853E8F" w:rsidP="001C00CD">
      <w:pPr>
        <w:spacing w:after="0" w:line="240" w:lineRule="auto"/>
      </w:pPr>
      <w:r>
        <w:separator/>
      </w:r>
    </w:p>
  </w:endnote>
  <w:endnote w:type="continuationSeparator" w:id="0">
    <w:p w14:paraId="5BF5B4F1" w14:textId="77777777" w:rsidR="00853E8F" w:rsidRDefault="00853E8F" w:rsidP="001C0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Garamond Pro">
    <w:altName w:val="Georgia"/>
    <w:panose1 w:val="00000000000000000000"/>
    <w:charset w:val="00"/>
    <w:family w:val="roman"/>
    <w:notTrueType/>
    <w:pitch w:val="variable"/>
    <w:sig w:usb0="00000001"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190011"/>
      <w:docPartObj>
        <w:docPartGallery w:val="Page Numbers (Bottom of Page)"/>
        <w:docPartUnique/>
      </w:docPartObj>
    </w:sdtPr>
    <w:sdtEndPr>
      <w:rPr>
        <w:noProof/>
      </w:rPr>
    </w:sdtEndPr>
    <w:sdtContent>
      <w:p w14:paraId="0C916D0D" w14:textId="29340A67" w:rsidR="001D23DF" w:rsidRDefault="001D23DF">
        <w:pPr>
          <w:pStyle w:val="Footer"/>
          <w:jc w:val="right"/>
        </w:pPr>
        <w:r>
          <w:fldChar w:fldCharType="begin"/>
        </w:r>
        <w:r>
          <w:instrText xml:space="preserve"> PAGE   \* MERGEFORMAT </w:instrText>
        </w:r>
        <w:r>
          <w:fldChar w:fldCharType="separate"/>
        </w:r>
        <w:r w:rsidR="00D9171F">
          <w:rPr>
            <w:noProof/>
          </w:rPr>
          <w:t>35</w:t>
        </w:r>
        <w:r>
          <w:rPr>
            <w:noProof/>
          </w:rPr>
          <w:fldChar w:fldCharType="end"/>
        </w:r>
      </w:p>
    </w:sdtContent>
  </w:sdt>
  <w:p w14:paraId="66F033B7" w14:textId="77777777" w:rsidR="0044283C" w:rsidRPr="0044283C" w:rsidRDefault="0044283C">
    <w:pPr>
      <w:pStyle w:val="Footer"/>
      <w:rPr>
        <w:rFonts w:ascii="Bell MT" w:hAnsi="Bell M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E5872" w14:textId="77777777" w:rsidR="00853E8F" w:rsidRDefault="00853E8F" w:rsidP="001C00CD">
      <w:pPr>
        <w:spacing w:after="0" w:line="240" w:lineRule="auto"/>
      </w:pPr>
      <w:r>
        <w:separator/>
      </w:r>
    </w:p>
  </w:footnote>
  <w:footnote w:type="continuationSeparator" w:id="0">
    <w:p w14:paraId="7FC5D13F" w14:textId="77777777" w:rsidR="00853E8F" w:rsidRDefault="00853E8F" w:rsidP="001C00CD">
      <w:pPr>
        <w:spacing w:after="0" w:line="240" w:lineRule="auto"/>
      </w:pPr>
      <w:r>
        <w:continuationSeparator/>
      </w:r>
    </w:p>
  </w:footnote>
  <w:footnote w:id="1">
    <w:p w14:paraId="3BE62065" w14:textId="05D261C8" w:rsidR="00D9171F" w:rsidRPr="00D9171F" w:rsidRDefault="00D9171F">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{"citationItems":[{"id":"ITEM-1","itemData":{"author":[{"dropping-particle":"","family":"Muhammad","given":"Abdul kadir","non-dropping-particle":"","parse-names":false,"suffix":""}],"id":"ITEM-1","issued":{"date-parts":[["2007"]]},"number-of-pages":"9","publisher":"Citra Aditya Bakti","publisher-place":"Bandung","title":"Kajian Hukum Ekonomi Hak Kekayaan Intelektual","type":"book"},"uris":["http://www.mendeley.com/documents/?uuid=3ac805cb-4c66-4770-a0e7-cdbb2b606897"]}],"mendeley":{"formattedCitation":"Abdul kadir Muhammad, &lt;i&gt;Kajian Hukum Ekonomi Hak Kekayaan Intelektual&lt;/i&gt; (Bandung: Citra Aditya Bakti, 2007).","plainTextFormattedCitation":"Abdul kadir Muhammad, Kajian Hukum Ekonomi Hak Kekayaan Intelektual (Bandung: Citra Aditya Bakti, 2007).","previouslyFormattedCitation":"(Muhammad, 2007)"},"properties":{"noteIndex":1},"schema":"https://github.com/citation-style-language/schema/raw/master/csl-citation.json"}</w:instrText>
      </w:r>
      <w:r>
        <w:fldChar w:fldCharType="separate"/>
      </w:r>
      <w:r w:rsidRPr="00D9171F">
        <w:rPr>
          <w:noProof/>
        </w:rPr>
        <w:t xml:space="preserve">Abdul kadir Muhammad, </w:t>
      </w:r>
      <w:r w:rsidRPr="00D9171F">
        <w:rPr>
          <w:i/>
          <w:noProof/>
        </w:rPr>
        <w:t>Kajian Hukum Ekonomi Hak Kekayaan Intelektual</w:t>
      </w:r>
      <w:r w:rsidRPr="00D9171F">
        <w:rPr>
          <w:noProof/>
        </w:rPr>
        <w:t xml:space="preserve"> (Bandung: Citra Aditya Bakti, 2007).</w:t>
      </w:r>
      <w:r>
        <w:fldChar w:fldCharType="end"/>
      </w:r>
    </w:p>
  </w:footnote>
  <w:footnote w:id="2">
    <w:p w14:paraId="41D324F3" w14:textId="75218B83" w:rsidR="00D9171F" w:rsidRPr="00D9171F" w:rsidRDefault="00D9171F">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Sulastri","given":"","non-dropping-particle":"","parse-names":false,"suffix":""},{"dropping-particle":"","family":"Satino","given":"","non-dropping-particle":"","parse-names":false,"suffix":""},{"dropping-particle":"","family":"Yuliana","given":"","non-dropping-particle":"","parse-names":false,"suffix":""}],"container-title":"Jurnal Yuridis Fakultas Hukum Universitas Pembangunan Nasional “Veteran” Jakarta","id":"ITEM-1","issue":"1","issued":{"date-parts":[["2018"]]},"page":"162","title":"Perlindungan Hukum Terhadap Merek (Tinjauan Terhadap Merek Dagang Tupperware Versus Tulipware)","type":"article-journal","volume":"5"},"uris":["http://www.mendeley.com/documents/?uuid=fadd4924-8d35-4232-8401-18ae05f359d7"]}],"mendeley":{"formattedCitation":"Sulastri, Satino, and Yuliana, “Perlindungan Hukum Terhadap Merek (Tinjauan Terhadap Merek Dagang Tupperware Versus Tulipware),” &lt;i&gt;Jurnal Yuridis Fakultas Hukum Universitas Pembangunan Nasional “Veteran” Jakarta&lt;/i&gt; 5, no. 1 (2018): 162.","plainTextFormattedCitation":"Sulastri, Satino, and Yuliana, “Perlindungan Hukum Terhadap Merek (Tinjauan Terhadap Merek Dagang Tupperware Versus Tulipware),” Jurnal Yuridis Fakultas Hukum Universitas Pembangunan Nasional “Veteran” Jakarta 5, no. 1 (2018): 162.","previouslyFormattedCitation":"(Sulastri, Satino, &amp; Yuliana, 2018)"},"properties":{"noteIndex":2},"schema":"https://github.com/citation-style-language/schema/raw/master/csl-citation.json"}</w:instrText>
      </w:r>
      <w:r>
        <w:fldChar w:fldCharType="separate"/>
      </w:r>
      <w:r w:rsidRPr="00D9171F">
        <w:rPr>
          <w:noProof/>
        </w:rPr>
        <w:t xml:space="preserve">Sulastri, Satino, and Yuliana, “Perlindungan Hukum Terhadap Merek (Tinjauan Terhadap Merek Dagang Tupperware Versus Tulipware),” </w:t>
      </w:r>
      <w:r w:rsidRPr="00D9171F">
        <w:rPr>
          <w:i/>
          <w:noProof/>
        </w:rPr>
        <w:t>Jurnal Yuridis Fakultas Hukum Universitas Pembangunan Nasional “Veteran” Jakarta</w:t>
      </w:r>
      <w:r w:rsidRPr="00D9171F">
        <w:rPr>
          <w:noProof/>
        </w:rPr>
        <w:t xml:space="preserve"> 5, no. 1 (2018): 162.</w:t>
      </w:r>
      <w:r>
        <w:fldChar w:fldCharType="end"/>
      </w:r>
    </w:p>
  </w:footnote>
  <w:footnote w:id="3">
    <w:p w14:paraId="562E4F60" w14:textId="162B623A" w:rsidR="00D9171F" w:rsidRPr="00D9171F" w:rsidRDefault="00D9171F">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{"citationItems":[{"id":"ITEM-1","itemData":{"author":[{"dropping-particle":"","family":"Sujatmiko","given":"Agung","non-dropping-particle":"","parse-names":false,"suffix":""}],"container-title":"Jurnal Media Hukum Fakultas Hukum Universitas Muhammadiyah Yogyakarta","id":"ITEM-1","issue":"2","issued":{"date-parts":[["2011"]]},"page":"177","title":"Tinjauan Filosofis Perlindungan Hak Milik Atas Merek","type":"article-journal","volume":"18"},"uris":["http://www.mendeley.com/documents/?uuid=a299018d-13c5-41b5-b43d-c8cc6208f8a3"]}],"mendeley":{"formattedCitation":"Agung Sujatmiko, “Tinjauan Filosofis Perlindungan Hak Milik Atas Merek,” &lt;i&gt;Jurnal Media Hukum Fakultas Hukum Universitas Muhammadiyah Yogyakarta&lt;/i&gt; 18, no. 2 (2011): 177.","plainTextFormattedCitation":"Agung Sujatmiko, “Tinjauan Filosofis Perlindungan Hak Milik Atas Merek,” Jurnal Media Hukum Fakultas Hukum Universitas Muhammadiyah Yogyakarta 18, no. 2 (2011): 177.","previouslyFormattedCitation":"(Sujatmiko, 2011)"},"properties":{"noteIndex":3},"schema":"https://github.com/citation-style-language/schema/raw/master/csl-citation.json"}</w:instrText>
      </w:r>
      <w:r>
        <w:fldChar w:fldCharType="separate"/>
      </w:r>
      <w:r w:rsidRPr="00D9171F">
        <w:rPr>
          <w:noProof/>
        </w:rPr>
        <w:t xml:space="preserve">Agung Sujatmiko, “Tinjauan Filosofis Perlindungan Hak Milik Atas Merek,” </w:t>
      </w:r>
      <w:r w:rsidRPr="00D9171F">
        <w:rPr>
          <w:i/>
          <w:noProof/>
        </w:rPr>
        <w:t>Jurnal Media Hukum Fakultas Hukum Universitas Muhammadiyah Yogyakarta</w:t>
      </w:r>
      <w:r w:rsidRPr="00D9171F">
        <w:rPr>
          <w:noProof/>
        </w:rPr>
        <w:t xml:space="preserve"> 18, no. 2 (2011): 177.</w:t>
      </w:r>
      <w:r>
        <w:fldChar w:fldCharType="end"/>
      </w:r>
    </w:p>
  </w:footnote>
  <w:footnote w:id="4">
    <w:p w14:paraId="15568393" w14:textId="7539FDFE" w:rsidR="00D9171F" w:rsidRPr="00D9171F" w:rsidRDefault="00D9171F">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{"citationItems":[{"id":"ITEM-1","itemData":{"author":[{"dropping-particle":"","family":"Maulana","given":"Insan Budi","non-dropping-particle":"","parse-names":false,"suffix":""}],"id":"ITEM-1","issued":{"date-parts":[["2010"]]},"number-of-pages":"91","publisher":"Citra Aditya Bakti","publisher-place":"Bandung","title":"Pelindungan Merek Terkenal Di Indonesia Dari Masa Ke Masa","type":"book"},"uris":["http://www.mendeley.com/documents/?uuid=ea41561e-90d7-4fba-938d-f04adb977d00"]}],"mendeley":{"formattedCitation":"Insan Budi Maulana, &lt;i&gt;Pelindungan Merek Terkenal Di Indonesia Dari Masa Ke Masa&lt;/i&gt; (Bandung: Citra Aditya Bakti, 2010).","plainTextFormattedCitation":"Insan Budi Maulana, Pelindungan Merek Terkenal Di Indonesia Dari Masa Ke Masa (Bandung: Citra Aditya Bakti, 2010).","previouslyFormattedCitation":"(Maulana, 2010)"},"properties":{"noteIndex":4},"schema":"https://github.com/citation-style-language/schema/raw/master/csl-citation.json"}</w:instrText>
      </w:r>
      <w:r>
        <w:fldChar w:fldCharType="separate"/>
      </w:r>
      <w:r w:rsidRPr="00D9171F">
        <w:rPr>
          <w:noProof/>
        </w:rPr>
        <w:t xml:space="preserve">Insan Budi Maulana, </w:t>
      </w:r>
      <w:r w:rsidRPr="00D9171F">
        <w:rPr>
          <w:i/>
          <w:noProof/>
        </w:rPr>
        <w:t>Pelindungan Merek Terkenal Di Indonesia Dari Masa Ke Masa</w:t>
      </w:r>
      <w:r w:rsidRPr="00D9171F">
        <w:rPr>
          <w:noProof/>
        </w:rPr>
        <w:t xml:space="preserve"> (Bandung: Citra Aditya Bakti, 2010).</w:t>
      </w:r>
      <w:r>
        <w:fldChar w:fldCharType="end"/>
      </w:r>
    </w:p>
  </w:footnote>
  <w:footnote w:id="5">
    <w:p w14:paraId="27974D3B" w14:textId="45BF23E9" w:rsidR="00D9171F" w:rsidRPr="00D9171F" w:rsidRDefault="00D9171F">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{"citationItems":[{"id":"ITEM-1","itemData":{"author":[{"dropping-particle":"","family":"Ruslam","given":"Surianto","non-dropping-particle":"","parse-names":false,"suffix":""}],"id":"ITEM-1","issued":{"date-parts":[["2009"]]},"number-of-pages":"40","publisher":"Gramedia Pustaka Prima","publisher-place":"Jakarta","title":"Mendesain Logo","type":"book"},"uris":["http://www.mendeley.com/documents/?uuid=d1fbfa9d-d58d-403d-84d0-dfcf5fe0a3f9"]}],"mendeley":{"formattedCitation":"Surianto Ruslam, &lt;i&gt;Mendesain Logo&lt;/i&gt; (Jakarta: Gramedia Pustaka Prima, 2009).","plainTextFormattedCitation":"Surianto Ruslam, Mendesain Logo (Jakarta: Gramedia Pustaka Prima, 2009).","previouslyFormattedCitation":"(Ruslam, 2009)"},"properties":{"noteIndex":5},"schema":"https://github.com/citation-style-language/schema/raw/master/csl-citation.json"}</w:instrText>
      </w:r>
      <w:r>
        <w:fldChar w:fldCharType="separate"/>
      </w:r>
      <w:r w:rsidRPr="00D9171F">
        <w:rPr>
          <w:noProof/>
        </w:rPr>
        <w:t xml:space="preserve">Surianto Ruslam, </w:t>
      </w:r>
      <w:r w:rsidRPr="00D9171F">
        <w:rPr>
          <w:i/>
          <w:noProof/>
        </w:rPr>
        <w:t>Mendesain Logo</w:t>
      </w:r>
      <w:r w:rsidRPr="00D9171F">
        <w:rPr>
          <w:noProof/>
        </w:rPr>
        <w:t xml:space="preserve"> (Jakarta: Gramedia Pustaka Prima, 2009).</w:t>
      </w:r>
      <w:r>
        <w:fldChar w:fldCharType="end"/>
      </w:r>
    </w:p>
  </w:footnote>
  <w:footnote w:id="6">
    <w:p w14:paraId="0FAFA32C" w14:textId="0B1E29B5" w:rsidR="00D9171F" w:rsidRPr="00D9171F" w:rsidRDefault="00D9171F">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Rahimah","given":"","non-dropping-particle":"","parse-names":false,"suffix":""},{"dropping-particle":"","family":"Koto","given":"Ismail","non-dropping-particle":"","parse-names":false,"suffix":""}],"container-title":"IJRS:International Journal Reglement &amp; Society","id":"ITEM-1","issue":"2","issued":{"date-parts":[["2022"]]},"page":"129-133","title":"Implications of Parenting Patterns in the Development of Early Childhood Social Attitudes","type":"article-journal","volume":"3"},"uris":["http://www.mendeley.com/documents/?uuid=c151fa27-7f4f-4711-8da5-acadc6c1ccd0"]}],"mendeley":{"formattedCitation":"Rahimah and Ismail Koto, “Implications of Parenting Patterns in the Development of Early Childhood Social Attitudes,” &lt;i&gt;IJRS:International Journal Reglement &amp; Society&lt;/i&gt; 3, no. 2 (2022): 129–33.","plainTextFormattedCitation":"Rahimah and Ismail Koto, “Implications of Parenting Patterns in the Development of Early Childhood Social Attitudes,” IJRS:International Journal Reglement &amp; Society 3, no. 2 (2022): 129–33.","previouslyFormattedCitation":"(Rahimah &amp; Koto, 2022)"},"properties":{"noteIndex":6},"schema":"https://github.com/citation-style-language/schema/raw/master/csl-citation.json"}</w:instrText>
      </w:r>
      <w:r>
        <w:fldChar w:fldCharType="separate"/>
      </w:r>
      <w:r w:rsidRPr="00D9171F">
        <w:rPr>
          <w:noProof/>
        </w:rPr>
        <w:t xml:space="preserve">Rahimah and Ismail Koto, “Implications of Parenting Patterns in the Development of Early Childhood Social Attitudes,” </w:t>
      </w:r>
      <w:r w:rsidRPr="00D9171F">
        <w:rPr>
          <w:i/>
          <w:noProof/>
        </w:rPr>
        <w:t>IJRS:International Journal Reglement &amp; Society</w:t>
      </w:r>
      <w:r w:rsidRPr="00D9171F">
        <w:rPr>
          <w:noProof/>
        </w:rPr>
        <w:t xml:space="preserve"> 3, no. 2 (2022): 129–33.</w:t>
      </w:r>
      <w:r>
        <w:fldChar w:fldCharType="end"/>
      </w:r>
    </w:p>
  </w:footnote>
  <w:footnote w:id="7">
    <w:p w14:paraId="078CEB53" w14:textId="3B34E5D0" w:rsidR="00D9171F" w:rsidRPr="00D9171F" w:rsidRDefault="00D9171F">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Surakhmad","given":"Winarno","non-dropping-particle":"","parse-names":false,"suffix":""}],"id":"ITEM-1","issued":{"date-parts":[["1978"]]},"number-of-pages":"132","publisher":"Tarsito","publisher-place":"Bandung","title":"Dasar dan Teknik Research","type":"book"},"uris":["http://www.mendeley.com/documents/?uuid=76079b17-904b-4500-a27e-75468f369eb4"]}],"mendeley":{"formattedCitation":"Winarno Surakhmad, &lt;i&gt;Dasar Dan Teknik Research&lt;/i&gt; (Bandung: Tarsito, 1978).","plainTextFormattedCitation":"Winarno Surakhmad, Dasar Dan Teknik Research (Bandung: Tarsito, 1978).","previouslyFormattedCitation":"(Surakhmad, 1978)"},"properties":{"noteIndex":7},"schema":"https://github.com/citation-style-language/schema/raw/master/csl-citation.json"}</w:instrText>
      </w:r>
      <w:r>
        <w:fldChar w:fldCharType="separate"/>
      </w:r>
      <w:r w:rsidRPr="00D9171F">
        <w:rPr>
          <w:noProof/>
        </w:rPr>
        <w:t xml:space="preserve">Winarno Surakhmad, </w:t>
      </w:r>
      <w:r w:rsidRPr="00D9171F">
        <w:rPr>
          <w:i/>
          <w:noProof/>
        </w:rPr>
        <w:t>Dasar Dan Teknik Research</w:t>
      </w:r>
      <w:r w:rsidRPr="00D9171F">
        <w:rPr>
          <w:noProof/>
        </w:rPr>
        <w:t xml:space="preserve"> (Bandung: Tarsito, 1978).</w:t>
      </w:r>
      <w:r>
        <w:fldChar w:fldCharType="end"/>
      </w:r>
    </w:p>
  </w:footnote>
  <w:footnote w:id="8">
    <w:p w14:paraId="4EFE0499" w14:textId="6B517A92" w:rsidR="00D9171F" w:rsidRPr="00D9171F" w:rsidRDefault="00D9171F">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{"citationItems":[{"id":"ITEM-1","itemData":{"author":[{"dropping-particle":"","family":"Laela","given":"Fitri Ida","non-dropping-particle":"","parse-names":false,"suffix":""}],"container-title":"Jurnal Hukum dan Keadilan","id":"ITEM-1","issue":"2","issued":{"date-parts":[["2020"]]},"page":"82","title":"Analisis Kepastian Hukum Merek Terkenal Terdaftar Terhadap Sengketa Gugatan Pembatalan Merek","type":"article-journal","volume":"7"},"uris":["http://www.mendeley.com/documents/?uuid=4538fc28-caac-4094-859d-c3bc7387a8a0"]}],"mendeley":{"formattedCitation":"Fitri Ida Laela, “Analisis Kepastian Hukum Merek Terkenal Terdaftar Terhadap Sengketa Gugatan Pembatalan Merek,” &lt;i&gt;Jurnal Hukum Dan Keadilan&lt;/i&gt; 7, no. 2 (2020): 82.","plainTextFormattedCitation":"Fitri Ida Laela, “Analisis Kepastian Hukum Merek Terkenal Terdaftar Terhadap Sengketa Gugatan Pembatalan Merek,” Jurnal Hukum Dan Keadilan 7, no. 2 (2020): 82.","previouslyFormattedCitation":"(Laela, 2020)"},"properties":{"noteIndex":8},"schema":"https://github.com/citation-style-language/schema/raw/master/csl-citation.json"}</w:instrText>
      </w:r>
      <w:r>
        <w:fldChar w:fldCharType="separate"/>
      </w:r>
      <w:r w:rsidRPr="00D9171F">
        <w:rPr>
          <w:noProof/>
        </w:rPr>
        <w:t xml:space="preserve">Fitri Ida Laela, “Analisis Kepastian Hukum Merek Terkenal Terdaftar Terhadap Sengketa Gugatan Pembatalan Merek,” </w:t>
      </w:r>
      <w:r w:rsidRPr="00D9171F">
        <w:rPr>
          <w:i/>
          <w:noProof/>
        </w:rPr>
        <w:t>Jurnal Hukum Dan Keadilan</w:t>
      </w:r>
      <w:r w:rsidRPr="00D9171F">
        <w:rPr>
          <w:noProof/>
        </w:rPr>
        <w:t xml:space="preserve"> 7, no. 2 (2020): 82.</w:t>
      </w:r>
      <w:r>
        <w:fldChar w:fldCharType="end"/>
      </w:r>
    </w:p>
  </w:footnote>
  <w:footnote w:id="9">
    <w:p w14:paraId="213BE7D2" w14:textId="68ECAD08" w:rsidR="00D9171F" w:rsidRPr="00D9171F" w:rsidRDefault="00D9171F">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{"citationItems":[{"id":"ITEM-1","itemData":{"author":[{"dropping-particle":"","family":"Sutedi","given":"Adrian","non-dropping-particle":"","parse-names":false,"suffix":""}],"id":"ITEM-1","issued":{"date-parts":[["2009"]]},"number-of-pages":"91","publisher":"Sinar Grafika","publisher-place":"Jakarta","title":"Hak atas Kekayaan Intelektual","type":"book"},"uris":["http://www.mendeley.com/documents/?uuid=df744aeb-c95e-4775-8d15-d7f98703adb4"]}],"mendeley":{"formattedCitation":"Adrian Sutedi, &lt;i&gt;Hak Atas Kekayaan Intelektual&lt;/i&gt; (Jakarta: Sinar Grafika, 2009).","plainTextFormattedCitation":"Adrian Sutedi, Hak Atas Kekayaan Intelektual (Jakarta: Sinar Grafika, 2009).","previouslyFormattedCitation":"(Sutedi, 2009)"},"properties":{"noteIndex":9},"schema":"https://github.com/citation-style-language/schema/raw/master/csl-citation.json"}</w:instrText>
      </w:r>
      <w:r>
        <w:fldChar w:fldCharType="separate"/>
      </w:r>
      <w:r w:rsidRPr="00D9171F">
        <w:rPr>
          <w:noProof/>
        </w:rPr>
        <w:t xml:space="preserve">Adrian Sutedi, </w:t>
      </w:r>
      <w:r w:rsidRPr="00D9171F">
        <w:rPr>
          <w:i/>
          <w:noProof/>
        </w:rPr>
        <w:t>Hak Atas Kekayaan Intelektual</w:t>
      </w:r>
      <w:r w:rsidRPr="00D9171F">
        <w:rPr>
          <w:noProof/>
        </w:rPr>
        <w:t xml:space="preserve"> (Jakarta: Sinar Grafika, 2009).</w:t>
      </w:r>
      <w:r>
        <w:fldChar w:fldCharType="end"/>
      </w:r>
    </w:p>
  </w:footnote>
  <w:footnote w:id="10">
    <w:p w14:paraId="63ED21BA" w14:textId="2D142FBF" w:rsidR="00D9171F" w:rsidRPr="00D9171F" w:rsidRDefault="00D9171F">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Arifin","given":"Zainal","non-dropping-particle":"","parse-names":false,"suffix":""},{"dropping-particle":"","family":"Iqbal","given":"Muhamamd","non-dropping-particle":"","parse-names":false,"suffix":""}],"container-title":"Jurnal Ius Constituendum","id":"ITEM-1","issue":"1","issued":{"date-parts":[["2020"]]},"page":"50","title":"Perlindungan Hukum Terhadap Hak Merek Yang Terdaftar","type":"article-journal","volume":"5"},"uris":["http://www.mendeley.com/documents/?uuid=1accdf37-09fe-498e-8000-397d229b6433"]}],"mendeley":{"formattedCitation":"Zainal Arifin and Muhamamd Iqbal, “Perlindungan Hukum Terhadap Hak Merek Yang Terdaftar,” &lt;i&gt;Jurnal Ius Constituendum&lt;/i&gt; 5, no. 1 (2020): 50.","plainTextFormattedCitation":"Zainal Arifin and Muhamamd Iqbal, “Perlindungan Hukum Terhadap Hak Merek Yang Terdaftar,” Jurnal Ius Constituendum 5, no. 1 (2020): 50.","previouslyFormattedCitation":"(Arifin &amp; Iqbal, 2020)"},"properties":{"noteIndex":10},"schema":"https://github.com/citation-style-language/schema/raw/master/csl-citation.json"}</w:instrText>
      </w:r>
      <w:r>
        <w:fldChar w:fldCharType="separate"/>
      </w:r>
      <w:r w:rsidRPr="00D9171F">
        <w:rPr>
          <w:noProof/>
        </w:rPr>
        <w:t xml:space="preserve">Zainal Arifin and Muhamamd Iqbal, “Perlindungan Hukum Terhadap Hak Merek Yang Terdaftar,” </w:t>
      </w:r>
      <w:r w:rsidRPr="00D9171F">
        <w:rPr>
          <w:i/>
          <w:noProof/>
        </w:rPr>
        <w:t>Jurnal Ius Constituendum</w:t>
      </w:r>
      <w:r w:rsidRPr="00D9171F">
        <w:rPr>
          <w:noProof/>
        </w:rPr>
        <w:t xml:space="preserve"> 5, no. 1 (2020): 50.</w:t>
      </w:r>
      <w:r>
        <w:fldChar w:fldCharType="end"/>
      </w:r>
    </w:p>
  </w:footnote>
  <w:footnote w:id="11">
    <w:p w14:paraId="286455C5" w14:textId="1B7A5B6D" w:rsidR="00D9171F" w:rsidRPr="00D9171F" w:rsidRDefault="00D9171F">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{"citationItems":[{"id":"ITEM-1","itemData":{"author":[{"dropping-particle":"","family":"Naomi Yuli EsterHidayati","given":"Nurul","non-dropping-particle":"","parse-names":false,"suffix":""}],"container-title":"Jurnal Legislasi Indonesia","id":"ITEM-1","issue":"2","issued":{"date-parts":[["2017"]]},"page":"172","title":"Urgensi Perlindungan Merek Melalui Protokol Madrid (Treadmark Protection Urgency Through The Madrid Protocol)","type":"article-journal","volume":"14"},"uris":["http://www.mendeley.com/documents/?uuid=f78cd107-f593-4ab8-95d4-3e48944a270a"]}],"mendeley":{"formattedCitation":"Nurul Naomi Yuli EsterHidayati, “Urgensi Perlindungan Merek Melalui Protokol Madrid (Treadmark Protection Urgency Through The Madrid Protocol),” &lt;i&gt;Jurnal Legislasi Indonesia&lt;/i&gt; 14, no. 2 (2017): 172.","plainTextFormattedCitation":"Nurul Naomi Yuli EsterHidayati, “Urgensi Perlindungan Merek Melalui Protokol Madrid (Treadmark Protection Urgency Through The Madrid Protocol),” Jurnal Legislasi Indonesia 14, no. 2 (2017): 172.","previouslyFormattedCitation":"(Naomi Yuli EsterHidayati, 2017)"},"properties":{"noteIndex":11},"schema":"https://github.com/citation-style-language/schema/raw/master/csl-citation.json"}</w:instrText>
      </w:r>
      <w:r>
        <w:fldChar w:fldCharType="separate"/>
      </w:r>
      <w:r w:rsidRPr="00D9171F">
        <w:rPr>
          <w:noProof/>
        </w:rPr>
        <w:t xml:space="preserve">Nurul Naomi Yuli EsterHidayati, “Urgensi Perlindungan Merek Melalui Protokol Madrid (Treadmark Protection Urgency Through The Madrid Protocol),” </w:t>
      </w:r>
      <w:r w:rsidRPr="00D9171F">
        <w:rPr>
          <w:i/>
          <w:noProof/>
        </w:rPr>
        <w:t>Jurnal Legislasi Indonesia</w:t>
      </w:r>
      <w:r w:rsidRPr="00D9171F">
        <w:rPr>
          <w:noProof/>
        </w:rPr>
        <w:t xml:space="preserve"> 14, no. 2 (2017): 172.</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CD6B1" w14:textId="764081E7" w:rsidR="00D9171F" w:rsidRDefault="00D9171F" w:rsidP="00D9171F">
    <w:pPr>
      <w:spacing w:after="0" w:line="240" w:lineRule="auto"/>
      <w:ind w:right="55"/>
      <w:rPr>
        <w:rFonts w:ascii="Adobe Garamond Pro" w:hAnsi="Adobe Garamond Pro"/>
        <w:bCs/>
        <w:i/>
        <w:iCs/>
        <w:sz w:val="26"/>
        <w:szCs w:val="26"/>
      </w:rPr>
    </w:pPr>
    <w:r w:rsidRPr="00F01D2F">
      <w:rPr>
        <w:rFonts w:ascii="Adobe Garamond Pro" w:hAnsi="Adobe Garamond Pro"/>
        <w:bCs/>
        <w:i/>
        <w:iCs/>
        <w:noProof/>
        <w:sz w:val="26"/>
        <w:szCs w:val="26"/>
      </w:rPr>
      <w:drawing>
        <wp:anchor distT="0" distB="0" distL="114300" distR="114300" simplePos="0" relativeHeight="251659264" behindDoc="1" locked="0" layoutInCell="1" allowOverlap="1" wp14:anchorId="14528DAD" wp14:editId="627F8B3E">
          <wp:simplePos x="0" y="0"/>
          <wp:positionH relativeFrom="column">
            <wp:posOffset>3795395</wp:posOffset>
          </wp:positionH>
          <wp:positionV relativeFrom="paragraph">
            <wp:posOffset>75565</wp:posOffset>
          </wp:positionV>
          <wp:extent cx="1740439" cy="539917"/>
          <wp:effectExtent l="0" t="0" r="0" b="0"/>
          <wp:wrapNone/>
          <wp:docPr id="211250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5036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0439" cy="539917"/>
                  </a:xfrm>
                  <a:prstGeom prst="rect">
                    <a:avLst/>
                  </a:prstGeom>
                </pic:spPr>
              </pic:pic>
            </a:graphicData>
          </a:graphic>
          <wp14:sizeRelH relativeFrom="page">
            <wp14:pctWidth>0</wp14:pctWidth>
          </wp14:sizeRelH>
          <wp14:sizeRelV relativeFrom="page">
            <wp14:pctHeight>0</wp14:pctHeight>
          </wp14:sizeRelV>
        </wp:anchor>
      </w:drawing>
    </w:r>
    <w:r>
      <w:rPr>
        <w:rFonts w:ascii="Adobe Garamond Pro" w:hAnsi="Adobe Garamond Pro"/>
        <w:bCs/>
        <w:i/>
        <w:iCs/>
        <w:noProof/>
        <w:sz w:val="26"/>
        <w:szCs w:val="26"/>
      </w:rPr>
      <mc:AlternateContent>
        <mc:Choice Requires="wps">
          <w:drawing>
            <wp:anchor distT="0" distB="0" distL="114300" distR="114300" simplePos="0" relativeHeight="251660288" behindDoc="0" locked="0" layoutInCell="1" allowOverlap="1" wp14:anchorId="1E4976D1" wp14:editId="23C45F19">
              <wp:simplePos x="0" y="0"/>
              <wp:positionH relativeFrom="column">
                <wp:posOffset>-1118235</wp:posOffset>
              </wp:positionH>
              <wp:positionV relativeFrom="paragraph">
                <wp:posOffset>-1067435</wp:posOffset>
              </wp:positionV>
              <wp:extent cx="6388100" cy="863600"/>
              <wp:effectExtent l="0" t="0" r="0" b="0"/>
              <wp:wrapNone/>
              <wp:docPr id="2020265319" name="Rectangle 6"/>
              <wp:cNvGraphicFramePr/>
              <a:graphic xmlns:a="http://schemas.openxmlformats.org/drawingml/2006/main">
                <a:graphicData uri="http://schemas.microsoft.com/office/word/2010/wordprocessingShape">
                  <wps:wsp>
                    <wps:cNvSpPr/>
                    <wps:spPr>
                      <a:xfrm>
                        <a:off x="0" y="0"/>
                        <a:ext cx="6388100" cy="8636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CF2182" id="Rectangle 6" o:spid="_x0000_s1026" style="position:absolute;margin-left:-88.05pt;margin-top:-84.05pt;width:503pt;height:6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" fillcolor="white [3212]" stroked="f" strokeweight="1pt"/>
          </w:pict>
        </mc:Fallback>
      </mc:AlternateContent>
    </w:r>
    <w:proofErr w:type="spellStart"/>
    <w:r w:rsidRPr="00F01D2F">
      <w:rPr>
        <w:rFonts w:ascii="Adobe Garamond Pro" w:hAnsi="Adobe Garamond Pro"/>
        <w:bCs/>
        <w:i/>
        <w:iCs/>
        <w:sz w:val="26"/>
        <w:szCs w:val="26"/>
      </w:rPr>
      <w:t>Jurnal</w:t>
    </w:r>
    <w:proofErr w:type="spellEnd"/>
    <w:r w:rsidRPr="00F01D2F">
      <w:rPr>
        <w:rFonts w:ascii="Adobe Garamond Pro" w:hAnsi="Adobe Garamond Pro"/>
        <w:bCs/>
        <w:i/>
        <w:iCs/>
        <w:sz w:val="26"/>
        <w:szCs w:val="26"/>
      </w:rPr>
      <w:t xml:space="preserve"> Hukum </w:t>
    </w:r>
    <w:proofErr w:type="spellStart"/>
    <w:r w:rsidRPr="00F01D2F">
      <w:rPr>
        <w:rFonts w:ascii="Adobe Garamond Pro" w:hAnsi="Adobe Garamond Pro"/>
        <w:bCs/>
        <w:i/>
        <w:iCs/>
        <w:sz w:val="26"/>
        <w:szCs w:val="26"/>
      </w:rPr>
      <w:t>Replik</w:t>
    </w:r>
    <w:proofErr w:type="spellEnd"/>
  </w:p>
  <w:p w14:paraId="18151FF1" w14:textId="77777777" w:rsidR="00D9171F" w:rsidRPr="002B38A5" w:rsidRDefault="00D9171F" w:rsidP="00D9171F">
    <w:pPr>
      <w:spacing w:after="0" w:line="240" w:lineRule="auto"/>
      <w:rPr>
        <w:rFonts w:ascii="Adobe Garamond Pro" w:hAnsi="Adobe Garamond Pro"/>
        <w:bCs/>
        <w:sz w:val="20"/>
        <w:szCs w:val="20"/>
      </w:rPr>
    </w:pPr>
    <w:r w:rsidRPr="002B38A5">
      <w:rPr>
        <w:rFonts w:ascii="Adobe Garamond Pro" w:hAnsi="Adobe Garamond Pro"/>
        <w:bCs/>
        <w:sz w:val="20"/>
        <w:szCs w:val="20"/>
      </w:rPr>
      <w:t>ISSN 2337-9251 (Print) 2597-9094 (Online)</w:t>
    </w:r>
  </w:p>
  <w:p w14:paraId="7D7719A5" w14:textId="77777777" w:rsidR="00D9171F" w:rsidRPr="00EE7A98" w:rsidRDefault="00D9171F" w:rsidP="00D9171F">
    <w:pPr>
      <w:tabs>
        <w:tab w:val="center" w:pos="3288"/>
      </w:tabs>
      <w:spacing w:after="0" w:line="240" w:lineRule="auto"/>
      <w:rPr>
        <w:rFonts w:ascii="Adobe Garamond Pro" w:hAnsi="Adobe Garamond Pro"/>
        <w:bCs/>
        <w:sz w:val="20"/>
        <w:szCs w:val="20"/>
      </w:rPr>
    </w:pPr>
    <w:r w:rsidRPr="00EE7A98">
      <w:rPr>
        <w:rFonts w:ascii="Adobe Garamond Pro" w:hAnsi="Adobe Garamond Pro"/>
        <w:bCs/>
        <w:sz w:val="20"/>
        <w:szCs w:val="20"/>
      </w:rPr>
      <w:t xml:space="preserve">Vol. </w:t>
    </w:r>
    <w:r>
      <w:rPr>
        <w:rFonts w:ascii="Adobe Garamond Pro" w:hAnsi="Adobe Garamond Pro"/>
        <w:bCs/>
        <w:sz w:val="20"/>
        <w:szCs w:val="20"/>
      </w:rPr>
      <w:t>5</w:t>
    </w:r>
    <w:r w:rsidRPr="00EE7A98">
      <w:rPr>
        <w:rFonts w:ascii="Adobe Garamond Pro" w:hAnsi="Adobe Garamond Pro"/>
        <w:bCs/>
        <w:sz w:val="20"/>
        <w:szCs w:val="20"/>
      </w:rPr>
      <w:t xml:space="preserve"> Issue 1 (2023) 1–3</w:t>
    </w:r>
    <w:r>
      <w:rPr>
        <w:rFonts w:ascii="Adobe Garamond Pro" w:hAnsi="Adobe Garamond Pro"/>
        <w:bCs/>
        <w:sz w:val="20"/>
        <w:szCs w:val="20"/>
      </w:rPr>
      <w:t>4</w:t>
    </w:r>
    <w:r>
      <w:rPr>
        <w:rFonts w:ascii="Adobe Garamond Pro" w:hAnsi="Adobe Garamond Pro"/>
        <w:bCs/>
        <w:sz w:val="20"/>
        <w:szCs w:val="20"/>
      </w:rPr>
      <w:tab/>
    </w:r>
  </w:p>
  <w:p w14:paraId="5D1FB884" w14:textId="77777777" w:rsidR="00D9171F" w:rsidRPr="00EE7A98" w:rsidRDefault="00D9171F" w:rsidP="00D9171F">
    <w:pPr>
      <w:spacing w:after="0" w:line="240" w:lineRule="auto"/>
      <w:rPr>
        <w:rFonts w:ascii="Adobe Garamond Pro" w:hAnsi="Adobe Garamond Pro"/>
        <w:bCs/>
        <w:color w:val="0070C0"/>
        <w:sz w:val="20"/>
        <w:szCs w:val="20"/>
      </w:rPr>
    </w:pPr>
    <w:r w:rsidRPr="00EE7A98">
      <w:rPr>
        <w:rFonts w:ascii="Adobe Garamond Pro" w:hAnsi="Adobe Garamond Pro"/>
        <w:bCs/>
        <w:sz w:val="20"/>
        <w:szCs w:val="20"/>
      </w:rPr>
      <w:t xml:space="preserve">DOI: </w:t>
    </w:r>
    <w:hyperlink r:id="rId2" w:history="1">
      <w:r w:rsidRPr="003435FC">
        <w:rPr>
          <w:rStyle w:val="Hyperlink"/>
          <w:rFonts w:ascii="Adobe Garamond Pro" w:hAnsi="Adobe Garamond Pro"/>
          <w:bCs/>
          <w:sz w:val="20"/>
          <w:szCs w:val="20"/>
        </w:rPr>
        <w:t>https://doi.org/10.15294/ijals.v5i1.67726</w:t>
      </w:r>
    </w:hyperlink>
  </w:p>
  <w:p w14:paraId="4596AADA" w14:textId="07D03E45" w:rsidR="001C00CD" w:rsidRPr="00EE616F" w:rsidRDefault="00D9171F" w:rsidP="00D9171F">
    <w:r>
      <w:rPr>
        <w:rFonts w:ascii="Adobe Garamond Pro" w:hAnsi="Adobe Garamond Pro"/>
        <w:bCs/>
        <w:sz w:val="20"/>
        <w:szCs w:val="20"/>
      </w:rPr>
      <w:t>Available o</w:t>
    </w:r>
    <w:r w:rsidRPr="00EE7A98">
      <w:rPr>
        <w:rFonts w:ascii="Adobe Garamond Pro" w:hAnsi="Adobe Garamond Pro"/>
        <w:bCs/>
        <w:sz w:val="20"/>
        <w:szCs w:val="20"/>
      </w:rPr>
      <w:t xml:space="preserve">nline since: </w:t>
    </w:r>
    <w:r>
      <w:rPr>
        <w:rFonts w:ascii="Adobe Garamond Pro" w:hAnsi="Adobe Garamond Pro"/>
        <w:bCs/>
        <w:sz w:val="20"/>
        <w:szCs w:val="20"/>
      </w:rPr>
      <w:t>May 31, 202</w:t>
    </w:r>
    <w:r w:rsidR="00CE55E9">
      <w:rPr>
        <w:rFonts w:ascii="Adobe Garamond Pro" w:hAnsi="Adobe Garamond Pro"/>
        <w:bCs/>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E08"/>
    <w:multiLevelType w:val="hybridMultilevel"/>
    <w:tmpl w:val="D74E77CA"/>
    <w:lvl w:ilvl="0" w:tplc="30F232F2">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52AE5"/>
    <w:multiLevelType w:val="hybridMultilevel"/>
    <w:tmpl w:val="5984889A"/>
    <w:lvl w:ilvl="0" w:tplc="89B8E9A8">
      <w:start w:val="1"/>
      <w:numFmt w:val="upperLetter"/>
      <w:lvlText w:val="%1."/>
      <w:lvlJc w:val="left"/>
      <w:pPr>
        <w:ind w:left="1620" w:hanging="360"/>
      </w:pPr>
      <w:rPr>
        <w:rFonts w:ascii="Arial" w:hAnsi="Arial"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FAA0CEF"/>
    <w:multiLevelType w:val="hybridMultilevel"/>
    <w:tmpl w:val="9A2AAC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0C6793"/>
    <w:multiLevelType w:val="hybridMultilevel"/>
    <w:tmpl w:val="5AFABBC8"/>
    <w:lvl w:ilvl="0" w:tplc="04188E8E">
      <w:start w:val="1"/>
      <w:numFmt w:val="decimal"/>
      <w:lvlText w:val="%1."/>
      <w:lvlJc w:val="left"/>
      <w:pPr>
        <w:ind w:left="1620" w:hanging="360"/>
      </w:pPr>
      <w:rPr>
        <w:rFonts w:ascii="Arial" w:hAnsi="Arial"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16D47840"/>
    <w:multiLevelType w:val="hybridMultilevel"/>
    <w:tmpl w:val="1EB8E182"/>
    <w:lvl w:ilvl="0" w:tplc="2138CCAA">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D387A"/>
    <w:multiLevelType w:val="hybridMultilevel"/>
    <w:tmpl w:val="E4A673DC"/>
    <w:lvl w:ilvl="0" w:tplc="15A837FA">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9601D2B"/>
    <w:multiLevelType w:val="hybridMultilevel"/>
    <w:tmpl w:val="57B4F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A6095"/>
    <w:multiLevelType w:val="hybridMultilevel"/>
    <w:tmpl w:val="EE2C9B56"/>
    <w:lvl w:ilvl="0" w:tplc="9EAA64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FD6B9F"/>
    <w:multiLevelType w:val="hybridMultilevel"/>
    <w:tmpl w:val="7C4AB01E"/>
    <w:lvl w:ilvl="0" w:tplc="4D066476">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323C6113"/>
    <w:multiLevelType w:val="hybridMultilevel"/>
    <w:tmpl w:val="004A4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422F08"/>
    <w:multiLevelType w:val="hybridMultilevel"/>
    <w:tmpl w:val="1FA20DBC"/>
    <w:lvl w:ilvl="0" w:tplc="4816D32E">
      <w:start w:val="1"/>
      <w:numFmt w:val="decimal"/>
      <w:lvlText w:val="%1)"/>
      <w:lvlJc w:val="left"/>
      <w:pPr>
        <w:ind w:left="1620" w:hanging="360"/>
      </w:pPr>
      <w:rPr>
        <w:rFonts w:ascii="Bell MT" w:hAnsi="Bell MT"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368014CE"/>
    <w:multiLevelType w:val="hybridMultilevel"/>
    <w:tmpl w:val="8BC0AC22"/>
    <w:lvl w:ilvl="0" w:tplc="83C801E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E64F60"/>
    <w:multiLevelType w:val="hybridMultilevel"/>
    <w:tmpl w:val="9310341E"/>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3A580B01"/>
    <w:multiLevelType w:val="hybridMultilevel"/>
    <w:tmpl w:val="8C02915C"/>
    <w:lvl w:ilvl="0" w:tplc="5358D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4F0D3C"/>
    <w:multiLevelType w:val="hybridMultilevel"/>
    <w:tmpl w:val="BBF07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DB78B9"/>
    <w:multiLevelType w:val="hybridMultilevel"/>
    <w:tmpl w:val="9C7A9FDE"/>
    <w:lvl w:ilvl="0" w:tplc="7454551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417A1E52"/>
    <w:multiLevelType w:val="hybridMultilevel"/>
    <w:tmpl w:val="EC82C010"/>
    <w:lvl w:ilvl="0" w:tplc="1908949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72637F7"/>
    <w:multiLevelType w:val="hybridMultilevel"/>
    <w:tmpl w:val="B914E78C"/>
    <w:lvl w:ilvl="0" w:tplc="952EA64A">
      <w:start w:val="1"/>
      <w:numFmt w:val="decimal"/>
      <w:lvlText w:val="(%1)"/>
      <w:lvlJc w:val="left"/>
      <w:pPr>
        <w:ind w:left="1620" w:hanging="360"/>
      </w:pPr>
      <w:rPr>
        <w:rFonts w:ascii="Bell MT" w:hAnsi="Bell MT"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49050A85"/>
    <w:multiLevelType w:val="hybridMultilevel"/>
    <w:tmpl w:val="64DEED96"/>
    <w:lvl w:ilvl="0" w:tplc="8B6C1BDE">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6761C0"/>
    <w:multiLevelType w:val="hybridMultilevel"/>
    <w:tmpl w:val="9A727BA2"/>
    <w:lvl w:ilvl="0" w:tplc="3D66C8E6">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C57D56"/>
    <w:multiLevelType w:val="hybridMultilevel"/>
    <w:tmpl w:val="C204C6E8"/>
    <w:lvl w:ilvl="0" w:tplc="49AE213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15:restartNumberingAfterBreak="0">
    <w:nsid w:val="55555DF7"/>
    <w:multiLevelType w:val="hybridMultilevel"/>
    <w:tmpl w:val="2CD0B250"/>
    <w:lvl w:ilvl="0" w:tplc="947854E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0D0907"/>
    <w:multiLevelType w:val="hybridMultilevel"/>
    <w:tmpl w:val="E5A8EA6A"/>
    <w:lvl w:ilvl="0" w:tplc="1274630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1461C3"/>
    <w:multiLevelType w:val="hybridMultilevel"/>
    <w:tmpl w:val="743CB0CA"/>
    <w:lvl w:ilvl="0" w:tplc="08090019">
      <w:start w:val="1"/>
      <w:numFmt w:val="lowerLetter"/>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num w:numId="1" w16cid:durableId="1774864256">
    <w:abstractNumId w:val="5"/>
  </w:num>
  <w:num w:numId="2" w16cid:durableId="207033575">
    <w:abstractNumId w:val="7"/>
  </w:num>
  <w:num w:numId="3" w16cid:durableId="947735196">
    <w:abstractNumId w:val="1"/>
  </w:num>
  <w:num w:numId="4" w16cid:durableId="50735157">
    <w:abstractNumId w:val="20"/>
  </w:num>
  <w:num w:numId="5" w16cid:durableId="47337108">
    <w:abstractNumId w:val="10"/>
  </w:num>
  <w:num w:numId="6" w16cid:durableId="1900701627">
    <w:abstractNumId w:val="12"/>
  </w:num>
  <w:num w:numId="7" w16cid:durableId="52898784">
    <w:abstractNumId w:val="17"/>
  </w:num>
  <w:num w:numId="8" w16cid:durableId="2135785368">
    <w:abstractNumId w:val="3"/>
  </w:num>
  <w:num w:numId="9" w16cid:durableId="1073166330">
    <w:abstractNumId w:val="8"/>
  </w:num>
  <w:num w:numId="10" w16cid:durableId="1395741051">
    <w:abstractNumId w:val="15"/>
  </w:num>
  <w:num w:numId="11" w16cid:durableId="554782246">
    <w:abstractNumId w:val="0"/>
  </w:num>
  <w:num w:numId="12" w16cid:durableId="1149438780">
    <w:abstractNumId w:val="2"/>
  </w:num>
  <w:num w:numId="13" w16cid:durableId="1611007940">
    <w:abstractNumId w:val="23"/>
  </w:num>
  <w:num w:numId="14" w16cid:durableId="935093850">
    <w:abstractNumId w:val="14"/>
  </w:num>
  <w:num w:numId="15" w16cid:durableId="1068499556">
    <w:abstractNumId w:val="16"/>
  </w:num>
  <w:num w:numId="16" w16cid:durableId="204483942">
    <w:abstractNumId w:val="11"/>
  </w:num>
  <w:num w:numId="17" w16cid:durableId="1031877235">
    <w:abstractNumId w:val="21"/>
  </w:num>
  <w:num w:numId="18" w16cid:durableId="1050180700">
    <w:abstractNumId w:val="18"/>
  </w:num>
  <w:num w:numId="19" w16cid:durableId="1143428775">
    <w:abstractNumId w:val="4"/>
  </w:num>
  <w:num w:numId="20" w16cid:durableId="1188331486">
    <w:abstractNumId w:val="19"/>
  </w:num>
  <w:num w:numId="21" w16cid:durableId="484902806">
    <w:abstractNumId w:val="22"/>
  </w:num>
  <w:num w:numId="22" w16cid:durableId="1876847786">
    <w:abstractNumId w:val="13"/>
  </w:num>
  <w:num w:numId="23" w16cid:durableId="1140534593">
    <w:abstractNumId w:val="6"/>
  </w:num>
  <w:num w:numId="24" w16cid:durableId="15197326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0D7"/>
    <w:rsid w:val="000B7E51"/>
    <w:rsid w:val="000D7BDC"/>
    <w:rsid w:val="000E2D54"/>
    <w:rsid w:val="00125128"/>
    <w:rsid w:val="00134BE6"/>
    <w:rsid w:val="00176C81"/>
    <w:rsid w:val="00182DBB"/>
    <w:rsid w:val="001B7160"/>
    <w:rsid w:val="001C00CD"/>
    <w:rsid w:val="001C09B9"/>
    <w:rsid w:val="001D23DF"/>
    <w:rsid w:val="00230F8D"/>
    <w:rsid w:val="0024132C"/>
    <w:rsid w:val="002528B8"/>
    <w:rsid w:val="00282179"/>
    <w:rsid w:val="002B4127"/>
    <w:rsid w:val="002E415E"/>
    <w:rsid w:val="002F4BB9"/>
    <w:rsid w:val="00326A26"/>
    <w:rsid w:val="0033764C"/>
    <w:rsid w:val="0035162E"/>
    <w:rsid w:val="00351FF6"/>
    <w:rsid w:val="003D27CD"/>
    <w:rsid w:val="003E582E"/>
    <w:rsid w:val="00420BD6"/>
    <w:rsid w:val="0044283C"/>
    <w:rsid w:val="00496C0E"/>
    <w:rsid w:val="004A1244"/>
    <w:rsid w:val="004B533E"/>
    <w:rsid w:val="004C6C0A"/>
    <w:rsid w:val="004C7594"/>
    <w:rsid w:val="004E1BE6"/>
    <w:rsid w:val="004E281D"/>
    <w:rsid w:val="00523717"/>
    <w:rsid w:val="00582480"/>
    <w:rsid w:val="005847C6"/>
    <w:rsid w:val="005959C4"/>
    <w:rsid w:val="005B3AEE"/>
    <w:rsid w:val="005B6ED7"/>
    <w:rsid w:val="005D38D2"/>
    <w:rsid w:val="005E0E17"/>
    <w:rsid w:val="00611783"/>
    <w:rsid w:val="006152A1"/>
    <w:rsid w:val="00642B14"/>
    <w:rsid w:val="006450EA"/>
    <w:rsid w:val="006859DA"/>
    <w:rsid w:val="00685E3C"/>
    <w:rsid w:val="006D0A15"/>
    <w:rsid w:val="006F2637"/>
    <w:rsid w:val="007059BE"/>
    <w:rsid w:val="00742282"/>
    <w:rsid w:val="0074780C"/>
    <w:rsid w:val="00755530"/>
    <w:rsid w:val="0076486C"/>
    <w:rsid w:val="00800527"/>
    <w:rsid w:val="00833AE5"/>
    <w:rsid w:val="0084245A"/>
    <w:rsid w:val="00853E8F"/>
    <w:rsid w:val="00883441"/>
    <w:rsid w:val="008B25D2"/>
    <w:rsid w:val="008F28D0"/>
    <w:rsid w:val="009060A6"/>
    <w:rsid w:val="0091032D"/>
    <w:rsid w:val="009148ED"/>
    <w:rsid w:val="00952C08"/>
    <w:rsid w:val="0095674B"/>
    <w:rsid w:val="00962466"/>
    <w:rsid w:val="009C4F24"/>
    <w:rsid w:val="009C6CA7"/>
    <w:rsid w:val="00A14131"/>
    <w:rsid w:val="00AB2AF9"/>
    <w:rsid w:val="00AF03B8"/>
    <w:rsid w:val="00B046D4"/>
    <w:rsid w:val="00B140D7"/>
    <w:rsid w:val="00B72A73"/>
    <w:rsid w:val="00B803E7"/>
    <w:rsid w:val="00BE4C4D"/>
    <w:rsid w:val="00BE6288"/>
    <w:rsid w:val="00C178BC"/>
    <w:rsid w:val="00C2507B"/>
    <w:rsid w:val="00C3536C"/>
    <w:rsid w:val="00C73F18"/>
    <w:rsid w:val="00C8301C"/>
    <w:rsid w:val="00CD2161"/>
    <w:rsid w:val="00CE55E9"/>
    <w:rsid w:val="00CF78FD"/>
    <w:rsid w:val="00D138FE"/>
    <w:rsid w:val="00D70F0A"/>
    <w:rsid w:val="00D9171F"/>
    <w:rsid w:val="00DA0369"/>
    <w:rsid w:val="00DB03E5"/>
    <w:rsid w:val="00E23D2D"/>
    <w:rsid w:val="00E3147B"/>
    <w:rsid w:val="00E41DD9"/>
    <w:rsid w:val="00E55112"/>
    <w:rsid w:val="00E61639"/>
    <w:rsid w:val="00E95347"/>
    <w:rsid w:val="00EA2111"/>
    <w:rsid w:val="00EA58AF"/>
    <w:rsid w:val="00EB45A9"/>
    <w:rsid w:val="00EB6E6E"/>
    <w:rsid w:val="00EC2D5C"/>
    <w:rsid w:val="00EE616F"/>
    <w:rsid w:val="00EF665C"/>
    <w:rsid w:val="00EF7A11"/>
    <w:rsid w:val="00F32201"/>
    <w:rsid w:val="00F51A4D"/>
    <w:rsid w:val="00F66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5B63B"/>
  <w15:docId w15:val="{A3BEC072-0A16-4478-BED3-3D0CA9E73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16F"/>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outlineLvl w:val="0"/>
    </w:pPr>
    <w:rPr>
      <w:rFonts w:eastAsiaTheme="minorEastAsia"/>
      <w:caps/>
      <w:color w:val="FFFFFF" w:themeColor="background1"/>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0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0CD"/>
  </w:style>
  <w:style w:type="paragraph" w:styleId="Footer">
    <w:name w:val="footer"/>
    <w:basedOn w:val="Normal"/>
    <w:link w:val="FooterChar"/>
    <w:uiPriority w:val="99"/>
    <w:unhideWhenUsed/>
    <w:rsid w:val="001C0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0CD"/>
  </w:style>
  <w:style w:type="character" w:customStyle="1" w:styleId="Heading1Char">
    <w:name w:val="Heading 1 Char"/>
    <w:basedOn w:val="DefaultParagraphFont"/>
    <w:link w:val="Heading1"/>
    <w:uiPriority w:val="9"/>
    <w:rsid w:val="00EE616F"/>
    <w:rPr>
      <w:rFonts w:eastAsiaTheme="minorEastAsia"/>
      <w:caps/>
      <w:color w:val="FFFFFF" w:themeColor="background1"/>
      <w:spacing w:val="15"/>
      <w:shd w:val="clear" w:color="auto" w:fill="4472C4" w:themeFill="accent1"/>
    </w:rPr>
  </w:style>
  <w:style w:type="character" w:styleId="Hyperlink">
    <w:name w:val="Hyperlink"/>
    <w:basedOn w:val="DefaultParagraphFont"/>
    <w:uiPriority w:val="99"/>
    <w:unhideWhenUsed/>
    <w:rsid w:val="00EE616F"/>
    <w:rPr>
      <w:color w:val="0563C1" w:themeColor="hyperlink"/>
      <w:u w:val="single"/>
    </w:rPr>
  </w:style>
  <w:style w:type="paragraph" w:styleId="ListParagraph">
    <w:name w:val="List Paragraph"/>
    <w:basedOn w:val="Normal"/>
    <w:uiPriority w:val="34"/>
    <w:qFormat/>
    <w:rsid w:val="005E0E17"/>
    <w:pPr>
      <w:ind w:left="720"/>
      <w:contextualSpacing/>
    </w:pPr>
  </w:style>
  <w:style w:type="paragraph" w:styleId="Bibliography">
    <w:name w:val="Bibliography"/>
    <w:basedOn w:val="Normal"/>
    <w:next w:val="Normal"/>
    <w:uiPriority w:val="37"/>
    <w:unhideWhenUsed/>
    <w:rsid w:val="000E2D54"/>
    <w:pPr>
      <w:spacing w:after="0" w:line="480" w:lineRule="auto"/>
      <w:ind w:left="720" w:hanging="720"/>
    </w:pPr>
  </w:style>
  <w:style w:type="paragraph" w:styleId="FootnoteText">
    <w:name w:val="footnote text"/>
    <w:basedOn w:val="Normal"/>
    <w:link w:val="FootnoteTextChar"/>
    <w:uiPriority w:val="99"/>
    <w:semiHidden/>
    <w:unhideWhenUsed/>
    <w:rsid w:val="005B3AEE"/>
    <w:pPr>
      <w:spacing w:after="0" w:line="240" w:lineRule="auto"/>
    </w:pPr>
    <w:rPr>
      <w:rFonts w:ascii="Times New Roman" w:eastAsia="Times New Roman" w:hAnsi="Times New Roman" w:cs="Times New Roman"/>
      <w:sz w:val="20"/>
      <w:szCs w:val="20"/>
      <w:lang w:val="en-ID"/>
    </w:rPr>
  </w:style>
  <w:style w:type="character" w:customStyle="1" w:styleId="FootnoteTextChar">
    <w:name w:val="Footnote Text Char"/>
    <w:basedOn w:val="DefaultParagraphFont"/>
    <w:link w:val="FootnoteText"/>
    <w:uiPriority w:val="99"/>
    <w:semiHidden/>
    <w:rsid w:val="005B3AEE"/>
    <w:rPr>
      <w:rFonts w:ascii="Times New Roman" w:eastAsia="Times New Roman" w:hAnsi="Times New Roman" w:cs="Times New Roman"/>
      <w:sz w:val="20"/>
      <w:szCs w:val="20"/>
      <w:lang w:val="en-ID"/>
    </w:rPr>
  </w:style>
  <w:style w:type="character" w:styleId="FootnoteReference">
    <w:name w:val="footnote reference"/>
    <w:aliases w:val="Footnote text,BVI fnr,Footnote Text1,Footnote Text2,Footnote Text3,Footnote number"/>
    <w:uiPriority w:val="99"/>
    <w:unhideWhenUsed/>
    <w:qFormat/>
    <w:rsid w:val="005B3AEE"/>
    <w:rPr>
      <w:vertAlign w:val="superscript"/>
    </w:rPr>
  </w:style>
  <w:style w:type="paragraph" w:styleId="NoSpacing">
    <w:name w:val="No Spacing"/>
    <w:uiPriority w:val="1"/>
    <w:qFormat/>
    <w:rsid w:val="0074780C"/>
    <w:pPr>
      <w:spacing w:after="0" w:line="240" w:lineRule="auto"/>
    </w:pPr>
    <w:rPr>
      <w:rFonts w:ascii="Calibri" w:eastAsia="Calibri" w:hAnsi="Calibri" w:cs="Times New Roman"/>
      <w:lang w:val="id-ID"/>
    </w:rPr>
  </w:style>
  <w:style w:type="paragraph" w:styleId="NormalWeb">
    <w:name w:val="Normal (Web)"/>
    <w:basedOn w:val="Normal"/>
    <w:uiPriority w:val="99"/>
    <w:unhideWhenUsed/>
    <w:rsid w:val="008F28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ceitemhidden">
    <w:name w:val="mceitemhidden"/>
    <w:basedOn w:val="DefaultParagraphFont"/>
    <w:rsid w:val="008F28D0"/>
  </w:style>
  <w:style w:type="character" w:customStyle="1" w:styleId="hiddenspellerror">
    <w:name w:val="hiddenspellerror"/>
    <w:basedOn w:val="DefaultParagraphFont"/>
    <w:rsid w:val="008F28D0"/>
  </w:style>
  <w:style w:type="character" w:customStyle="1" w:styleId="hiddengrammarerror">
    <w:name w:val="hiddengrammarerror"/>
    <w:basedOn w:val="DefaultParagraphFont"/>
    <w:rsid w:val="00CD2161"/>
  </w:style>
  <w:style w:type="table" w:styleId="PlainTable2">
    <w:name w:val="Plain Table 2"/>
    <w:basedOn w:val="TableNormal"/>
    <w:uiPriority w:val="42"/>
    <w:rsid w:val="00A14131"/>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8792">
      <w:bodyDiv w:val="1"/>
      <w:marLeft w:val="0"/>
      <w:marRight w:val="0"/>
      <w:marTop w:val="0"/>
      <w:marBottom w:val="0"/>
      <w:divBdr>
        <w:top w:val="none" w:sz="0" w:space="0" w:color="auto"/>
        <w:left w:val="none" w:sz="0" w:space="0" w:color="auto"/>
        <w:bottom w:val="none" w:sz="0" w:space="0" w:color="auto"/>
        <w:right w:val="none" w:sz="0" w:space="0" w:color="auto"/>
      </w:divBdr>
    </w:div>
    <w:div w:id="754324075">
      <w:bodyDiv w:val="1"/>
      <w:marLeft w:val="0"/>
      <w:marRight w:val="0"/>
      <w:marTop w:val="0"/>
      <w:marBottom w:val="0"/>
      <w:divBdr>
        <w:top w:val="none" w:sz="0" w:space="0" w:color="auto"/>
        <w:left w:val="none" w:sz="0" w:space="0" w:color="auto"/>
        <w:bottom w:val="none" w:sz="0" w:space="0" w:color="auto"/>
        <w:right w:val="none" w:sz="0" w:space="0" w:color="auto"/>
      </w:divBdr>
    </w:div>
    <w:div w:id="984116891">
      <w:bodyDiv w:val="1"/>
      <w:marLeft w:val="0"/>
      <w:marRight w:val="0"/>
      <w:marTop w:val="0"/>
      <w:marBottom w:val="0"/>
      <w:divBdr>
        <w:top w:val="none" w:sz="0" w:space="0" w:color="auto"/>
        <w:left w:val="none" w:sz="0" w:space="0" w:color="auto"/>
        <w:bottom w:val="none" w:sz="0" w:space="0" w:color="auto"/>
        <w:right w:val="none" w:sz="0" w:space="0" w:color="auto"/>
      </w:divBdr>
    </w:div>
    <w:div w:id="1718628790">
      <w:bodyDiv w:val="1"/>
      <w:marLeft w:val="0"/>
      <w:marRight w:val="0"/>
      <w:marTop w:val="0"/>
      <w:marBottom w:val="0"/>
      <w:divBdr>
        <w:top w:val="none" w:sz="0" w:space="0" w:color="auto"/>
        <w:left w:val="none" w:sz="0" w:space="0" w:color="auto"/>
        <w:bottom w:val="none" w:sz="0" w:space="0" w:color="auto"/>
        <w:right w:val="none" w:sz="0" w:space="0" w:color="auto"/>
      </w:divBdr>
    </w:div>
    <w:div w:id="1797329685">
      <w:bodyDiv w:val="1"/>
      <w:marLeft w:val="0"/>
      <w:marRight w:val="0"/>
      <w:marTop w:val="0"/>
      <w:marBottom w:val="0"/>
      <w:divBdr>
        <w:top w:val="none" w:sz="0" w:space="0" w:color="auto"/>
        <w:left w:val="none" w:sz="0" w:space="0" w:color="auto"/>
        <w:bottom w:val="none" w:sz="0" w:space="0" w:color="auto"/>
        <w:right w:val="none" w:sz="0" w:space="0" w:color="auto"/>
      </w:divBdr>
    </w:div>
    <w:div w:id="1830168302">
      <w:bodyDiv w:val="1"/>
      <w:marLeft w:val="0"/>
      <w:marRight w:val="0"/>
      <w:marTop w:val="0"/>
      <w:marBottom w:val="0"/>
      <w:divBdr>
        <w:top w:val="none" w:sz="0" w:space="0" w:color="auto"/>
        <w:left w:val="none" w:sz="0" w:space="0" w:color="auto"/>
        <w:bottom w:val="none" w:sz="0" w:space="0" w:color="auto"/>
        <w:right w:val="none" w:sz="0" w:space="0" w:color="auto"/>
      </w:divBdr>
    </w:div>
    <w:div w:id="1942837646">
      <w:bodyDiv w:val="1"/>
      <w:marLeft w:val="0"/>
      <w:marRight w:val="0"/>
      <w:marTop w:val="0"/>
      <w:marBottom w:val="0"/>
      <w:divBdr>
        <w:top w:val="none" w:sz="0" w:space="0" w:color="auto"/>
        <w:left w:val="none" w:sz="0" w:space="0" w:color="auto"/>
        <w:bottom w:val="none" w:sz="0" w:space="0" w:color="auto"/>
        <w:right w:val="none" w:sz="0" w:space="0" w:color="auto"/>
      </w:divBdr>
    </w:div>
    <w:div w:id="206459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doi.org/10.15294/ijals.v5i1.67726"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94D667B-03BC-423E-B19C-7A72DC8DF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3595</Words>
  <Characters>20498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Ismail Koto</cp:lastModifiedBy>
  <cp:revision>8</cp:revision>
  <cp:lastPrinted>2020-08-29T10:53:00Z</cp:lastPrinted>
  <dcterms:created xsi:type="dcterms:W3CDTF">2024-09-24T05:36:00Z</dcterms:created>
  <dcterms:modified xsi:type="dcterms:W3CDTF">2025-07-08T09:06:00Z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id="hd1eKXqp"/&gt;&lt;style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http://www.zotero.org/styles/apa-6th-edition</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5d0ba8bc-e0a1-3c17-afd2-c4d15bf06f54</vt:lpwstr>
  </property>
  <property fmtid="{D5CDD505-2E9C-101B-9397-08002B2CF9AE}" pid="26" name="Mendeley Citation Style_1">
    <vt:lpwstr>http://www.zotero.org/styles/chicago-fullnote-bibliography</vt:lpwstr>
  </property>
</Properties>
</file>