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9539" w14:textId="5B2315BE" w:rsidR="00FA6E70" w:rsidRDefault="005C0CDC" w:rsidP="003435FC">
      <w:pPr>
        <w:spacing w:after="0" w:line="240" w:lineRule="auto"/>
        <w:ind w:right="55"/>
        <w:rPr>
          <w:rFonts w:ascii="Adobe Garamond Pro" w:hAnsi="Adobe Garamond Pro"/>
          <w:bCs/>
          <w:i/>
          <w:iCs/>
          <w:sz w:val="26"/>
          <w:szCs w:val="26"/>
        </w:rPr>
      </w:pPr>
      <w:r>
        <w:rPr>
          <w:rFonts w:ascii="Adobe Garamond Pro" w:hAnsi="Adobe Garamond Pro"/>
          <w:bCs/>
          <w:i/>
          <w:iCs/>
          <w:noProof/>
          <w:sz w:val="26"/>
          <w:szCs w:val="26"/>
        </w:rPr>
        <mc:AlternateContent>
          <mc:Choice Requires="wps">
            <w:drawing>
              <wp:anchor distT="0" distB="0" distL="114300" distR="114300" simplePos="0" relativeHeight="251673600" behindDoc="0" locked="0" layoutInCell="1" allowOverlap="1" wp14:anchorId="6D05C00C" wp14:editId="6C06046B">
                <wp:simplePos x="0" y="0"/>
                <wp:positionH relativeFrom="column">
                  <wp:posOffset>-1118235</wp:posOffset>
                </wp:positionH>
                <wp:positionV relativeFrom="paragraph">
                  <wp:posOffset>-1067435</wp:posOffset>
                </wp:positionV>
                <wp:extent cx="6388100" cy="863600"/>
                <wp:effectExtent l="0" t="0" r="0" b="0"/>
                <wp:wrapNone/>
                <wp:docPr id="2020265319" name="Rectangle 6"/>
                <wp:cNvGraphicFramePr/>
                <a:graphic xmlns:a="http://schemas.openxmlformats.org/drawingml/2006/main">
                  <a:graphicData uri="http://schemas.microsoft.com/office/word/2010/wordprocessingShape">
                    <wps:wsp>
                      <wps:cNvSpPr/>
                      <wps:spPr>
                        <a:xfrm>
                          <a:off x="0" y="0"/>
                          <a:ext cx="6388100" cy="863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BBC93E" id="Rectangle 6" o:spid="_x0000_s1026" style="position:absolute;margin-left:-88.05pt;margin-top:-84.05pt;width:503pt;height:6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mLMeAIAAF4FAAAOAAAAZHJzL2Uyb0RvYy54bWysVMFu2zAMvQ/YPwi6r7bTNsuCOkXQosOA&#10;oi3WDj0rshQbkEWNUuJkXz9Kdpy2K3YYdpEpkXwkn0leXO5aw7YKfQO25MVJzpmyEqrGrkv+4+nm&#10;04wzH4SthAGrSr5Xnl8uPn646NxcTaAGUylkBGL9vHMlr0Nw8yzzslat8CfglCWlBmxFoCuuswpF&#10;R+itySZ5Ps06wMohSOU9vV73Sr5I+ForGe619iowU3LKLaQT07mKZ7a4EPM1Clc3ckhD/EMWrWgs&#10;BR2hrkUQbIPNH1BtIxE86HAioc1A60aqVANVU+RvqnmshVOpFiLHu5Em//9g5d320T0g0dA5P/ck&#10;xip2Gtv4pfzYLpG1H8lSu8AkPU5PZ7MiJ04l6WbT0ynJBJMdvR368FVBy6JQcqSfkTgS21sfetOD&#10;SQzmwTTVTWNMusQGUFcG2VbQr1utiwH8lZWx0dZC9OoB40t2LCVJYW9UtDP2u9KsqSj5SUokddkx&#10;iJBS2VD0qlpUqo9dnOdjaaNHKjQBRmRN8UfsAeB1AQfsPsvBPrqq1KSjc/63xHrn0SNFBhtG57ax&#10;gO8BGKpqiNzbH0jqqYksraDaPyBD6EfEO3nT0G+7FT48CKSZoD9Ncx7u6dAGupLDIHFWA/567z3a&#10;U6uSlrOOZqzk/udGoOLMfLPUxF+Ks7M4lOlydv55Qhd8qVm91NhNewXUCwVtFCeTGO2DOYgaoX2m&#10;dbCMUUklrKTYJZcBD5er0M8+LRSplstkRoPoRLi1j05G8MhqbMun3bNAN/RuoK6/g8M8ivmbFu5t&#10;o6eF5SaAblJ/H3kd+KYhTo0zLJy4JV7ek9VxLS5+AwAA//8DAFBLAwQUAAYACAAAACEAkEG6M+EA&#10;AAANAQAADwAAAGRycy9kb3ducmV2LnhtbEyPwU7DMBBE70j8g7VI3FonqZqkIU6FEFTQG4VwdmOT&#10;RNjrEDtt+Hu2J7jN7oxm35bb2Rp20qPvHQqIlxEwjY1TPbYC3t+eFjkwHyQqaRxqAT/aw7a6vipl&#10;odwZX/XpEFpGJegLKaALYSg4902nrfRLN2gk79ONVgYax5arUZ6p3BqeRFHKreyRLnRy0A+dbr4O&#10;kxUwrbOXx/nje7eqozrb12b9HHaDELc38/0dsKDn8BeGCz6hQ0VMRzeh8swIWMRZGlP2otKcFGXy&#10;ZLMBdqTVKomBVyX//0X1CwAA//8DAFBLAQItABQABgAIAAAAIQC2gziS/gAAAOEBAAATAAAAAAAA&#10;AAAAAAAAAAAAAABbQ29udGVudF9UeXBlc10ueG1sUEsBAi0AFAAGAAgAAAAhADj9If/WAAAAlAEA&#10;AAsAAAAAAAAAAAAAAAAALwEAAF9yZWxzLy5yZWxzUEsBAi0AFAAGAAgAAAAhADZ2Ysx4AgAAXgUA&#10;AA4AAAAAAAAAAAAAAAAALgIAAGRycy9lMm9Eb2MueG1sUEsBAi0AFAAGAAgAAAAhAJBBujPhAAAA&#10;DQEAAA8AAAAAAAAAAAAAAAAA0gQAAGRycy9kb3ducmV2LnhtbFBLBQYAAAAABAAEAPMAAADgBQAA&#10;AAA=&#10;" fillcolor="white [3212]" stroked="f" strokeweight="2pt"/>
            </w:pict>
          </mc:Fallback>
        </mc:AlternateContent>
      </w:r>
      <w:r w:rsidR="00F01D2F" w:rsidRPr="00F01D2F">
        <w:rPr>
          <w:rFonts w:ascii="Adobe Garamond Pro" w:hAnsi="Adobe Garamond Pro"/>
          <w:bCs/>
          <w:i/>
          <w:iCs/>
          <w:noProof/>
          <w:sz w:val="26"/>
          <w:szCs w:val="26"/>
        </w:rPr>
        <w:drawing>
          <wp:anchor distT="0" distB="0" distL="114300" distR="114300" simplePos="0" relativeHeight="251672576" behindDoc="1" locked="0" layoutInCell="1" allowOverlap="1" wp14:anchorId="69EFF5A4" wp14:editId="6D1A9789">
            <wp:simplePos x="0" y="0"/>
            <wp:positionH relativeFrom="column">
              <wp:posOffset>2662266</wp:posOffset>
            </wp:positionH>
            <wp:positionV relativeFrom="paragraph">
              <wp:posOffset>76097</wp:posOffset>
            </wp:positionV>
            <wp:extent cx="1740439" cy="539917"/>
            <wp:effectExtent l="0" t="0" r="0" b="0"/>
            <wp:wrapNone/>
            <wp:docPr id="211250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036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4499" cy="541176"/>
                    </a:xfrm>
                    <a:prstGeom prst="rect">
                      <a:avLst/>
                    </a:prstGeom>
                  </pic:spPr>
                </pic:pic>
              </a:graphicData>
            </a:graphic>
            <wp14:sizeRelH relativeFrom="page">
              <wp14:pctWidth>0</wp14:pctWidth>
            </wp14:sizeRelH>
            <wp14:sizeRelV relativeFrom="page">
              <wp14:pctHeight>0</wp14:pctHeight>
            </wp14:sizeRelV>
          </wp:anchor>
        </w:drawing>
      </w:r>
      <w:proofErr w:type="spellStart"/>
      <w:r w:rsidR="00F01D2F" w:rsidRPr="00F01D2F">
        <w:rPr>
          <w:rFonts w:ascii="Adobe Garamond Pro" w:hAnsi="Adobe Garamond Pro"/>
          <w:bCs/>
          <w:i/>
          <w:iCs/>
          <w:sz w:val="26"/>
          <w:szCs w:val="26"/>
        </w:rPr>
        <w:t>Jurnal</w:t>
      </w:r>
      <w:proofErr w:type="spellEnd"/>
      <w:r w:rsidR="00F01D2F" w:rsidRPr="00F01D2F">
        <w:rPr>
          <w:rFonts w:ascii="Adobe Garamond Pro" w:hAnsi="Adobe Garamond Pro"/>
          <w:bCs/>
          <w:i/>
          <w:iCs/>
          <w:sz w:val="26"/>
          <w:szCs w:val="26"/>
        </w:rPr>
        <w:t xml:space="preserve"> Hukum </w:t>
      </w:r>
      <w:proofErr w:type="spellStart"/>
      <w:r w:rsidR="00F01D2F" w:rsidRPr="00F01D2F">
        <w:rPr>
          <w:rFonts w:ascii="Adobe Garamond Pro" w:hAnsi="Adobe Garamond Pro"/>
          <w:bCs/>
          <w:i/>
          <w:iCs/>
          <w:sz w:val="26"/>
          <w:szCs w:val="26"/>
        </w:rPr>
        <w:t>Replik</w:t>
      </w:r>
      <w:proofErr w:type="spellEnd"/>
    </w:p>
    <w:p w14:paraId="1F53B874" w14:textId="57DD9E26" w:rsidR="002B38A5" w:rsidRPr="002B38A5" w:rsidRDefault="002B38A5" w:rsidP="002B38A5">
      <w:pPr>
        <w:spacing w:after="0" w:line="240" w:lineRule="auto"/>
        <w:rPr>
          <w:rFonts w:ascii="Adobe Garamond Pro" w:hAnsi="Adobe Garamond Pro"/>
          <w:bCs/>
          <w:sz w:val="20"/>
          <w:szCs w:val="20"/>
        </w:rPr>
      </w:pPr>
      <w:r w:rsidRPr="002B38A5">
        <w:rPr>
          <w:rFonts w:ascii="Adobe Garamond Pro" w:hAnsi="Adobe Garamond Pro"/>
          <w:bCs/>
          <w:sz w:val="20"/>
          <w:szCs w:val="20"/>
        </w:rPr>
        <w:t>ISSN 2337-9251 (Print) 2597-9094 (Online)</w:t>
      </w:r>
    </w:p>
    <w:p w14:paraId="15C19ED0" w14:textId="33D683BF" w:rsidR="00FA6E70" w:rsidRPr="00EE7A98" w:rsidRDefault="00AD0CB5" w:rsidP="003435FC">
      <w:pPr>
        <w:spacing w:after="0" w:line="240" w:lineRule="auto"/>
        <w:rPr>
          <w:rFonts w:ascii="Adobe Garamond Pro" w:hAnsi="Adobe Garamond Pro"/>
          <w:bCs/>
          <w:sz w:val="20"/>
          <w:szCs w:val="20"/>
        </w:rPr>
      </w:pPr>
      <w:r w:rsidRPr="00EE7A98">
        <w:rPr>
          <w:rFonts w:ascii="Adobe Garamond Pro" w:hAnsi="Adobe Garamond Pro"/>
          <w:bCs/>
          <w:sz w:val="20"/>
          <w:szCs w:val="20"/>
        </w:rPr>
        <w:t xml:space="preserve">Vol. </w:t>
      </w:r>
      <w:r w:rsidR="003435FC">
        <w:rPr>
          <w:rFonts w:ascii="Adobe Garamond Pro" w:hAnsi="Adobe Garamond Pro"/>
          <w:bCs/>
          <w:sz w:val="20"/>
          <w:szCs w:val="20"/>
        </w:rPr>
        <w:t>5</w:t>
      </w:r>
      <w:r w:rsidRPr="00EE7A98">
        <w:rPr>
          <w:rFonts w:ascii="Adobe Garamond Pro" w:hAnsi="Adobe Garamond Pro"/>
          <w:bCs/>
          <w:sz w:val="20"/>
          <w:szCs w:val="20"/>
        </w:rPr>
        <w:t xml:space="preserve"> Issue 1</w:t>
      </w:r>
      <w:r w:rsidR="00FA6E70" w:rsidRPr="00EE7A98">
        <w:rPr>
          <w:rFonts w:ascii="Adobe Garamond Pro" w:hAnsi="Adobe Garamond Pro"/>
          <w:bCs/>
          <w:sz w:val="20"/>
          <w:szCs w:val="20"/>
        </w:rPr>
        <w:t xml:space="preserve"> (2023) 1–3</w:t>
      </w:r>
      <w:r w:rsidR="00E018B8">
        <w:rPr>
          <w:rFonts w:ascii="Adobe Garamond Pro" w:hAnsi="Adobe Garamond Pro"/>
          <w:bCs/>
          <w:sz w:val="20"/>
          <w:szCs w:val="20"/>
        </w:rPr>
        <w:t>4</w:t>
      </w:r>
    </w:p>
    <w:p w14:paraId="65EDE5F0" w14:textId="23287B8F" w:rsidR="00AD0CB5" w:rsidRPr="00EE7A98" w:rsidRDefault="00AD0CB5" w:rsidP="003435FC">
      <w:pPr>
        <w:spacing w:after="0" w:line="240" w:lineRule="auto"/>
        <w:rPr>
          <w:rFonts w:ascii="Adobe Garamond Pro" w:hAnsi="Adobe Garamond Pro"/>
          <w:bCs/>
          <w:color w:val="0070C0"/>
          <w:sz w:val="20"/>
          <w:szCs w:val="20"/>
        </w:rPr>
      </w:pPr>
      <w:r w:rsidRPr="00EE7A98">
        <w:rPr>
          <w:rFonts w:ascii="Adobe Garamond Pro" w:hAnsi="Adobe Garamond Pro"/>
          <w:bCs/>
          <w:sz w:val="20"/>
          <w:szCs w:val="20"/>
        </w:rPr>
        <w:t xml:space="preserve">DOI: </w:t>
      </w:r>
      <w:hyperlink r:id="rId9" w:history="1">
        <w:r w:rsidR="003435FC" w:rsidRPr="003435FC">
          <w:rPr>
            <w:rStyle w:val="Hyperlink"/>
            <w:rFonts w:ascii="Adobe Garamond Pro" w:hAnsi="Adobe Garamond Pro"/>
            <w:bCs/>
            <w:sz w:val="20"/>
            <w:szCs w:val="20"/>
            <w:u w:val="none"/>
          </w:rPr>
          <w:t>https://doi.org/10.15294/ijals.v5i1.67726</w:t>
        </w:r>
      </w:hyperlink>
    </w:p>
    <w:p w14:paraId="36261731" w14:textId="1FF07145" w:rsidR="00FA6E70" w:rsidRDefault="003435FC" w:rsidP="003435FC">
      <w:pPr>
        <w:spacing w:after="0" w:line="240" w:lineRule="auto"/>
        <w:rPr>
          <w:rFonts w:ascii="Adobe Garamond Pro" w:hAnsi="Adobe Garamond Pro"/>
          <w:bCs/>
          <w:sz w:val="20"/>
          <w:szCs w:val="20"/>
        </w:rPr>
      </w:pPr>
      <w:r>
        <w:rPr>
          <w:rFonts w:ascii="Adobe Garamond Pro" w:hAnsi="Adobe Garamond Pro"/>
          <w:bCs/>
          <w:sz w:val="20"/>
          <w:szCs w:val="20"/>
        </w:rPr>
        <w:t>Available o</w:t>
      </w:r>
      <w:r w:rsidR="00AD0CB5" w:rsidRPr="00EE7A98">
        <w:rPr>
          <w:rFonts w:ascii="Adobe Garamond Pro" w:hAnsi="Adobe Garamond Pro"/>
          <w:bCs/>
          <w:sz w:val="20"/>
          <w:szCs w:val="20"/>
        </w:rPr>
        <w:t xml:space="preserve">nline since: </w:t>
      </w:r>
      <w:r>
        <w:rPr>
          <w:rFonts w:ascii="Adobe Garamond Pro" w:hAnsi="Adobe Garamond Pro"/>
          <w:bCs/>
          <w:sz w:val="20"/>
          <w:szCs w:val="20"/>
        </w:rPr>
        <w:t>May 31, 2023</w:t>
      </w:r>
    </w:p>
    <w:p w14:paraId="6555998C" w14:textId="77777777" w:rsidR="00F01D2F" w:rsidRPr="003D5A07" w:rsidRDefault="00F01D2F" w:rsidP="003435FC">
      <w:pPr>
        <w:spacing w:after="0" w:line="240" w:lineRule="auto"/>
        <w:rPr>
          <w:rFonts w:ascii="Adobe Garamond Pro" w:hAnsi="Adobe Garamond Pro"/>
          <w:bCs/>
          <w:sz w:val="20"/>
          <w:szCs w:val="20"/>
        </w:rPr>
      </w:pPr>
    </w:p>
    <w:p w14:paraId="700F9406" w14:textId="77777777" w:rsidR="00FA6E70" w:rsidRPr="003D5A07" w:rsidRDefault="00FA6E70" w:rsidP="003435FC">
      <w:pPr>
        <w:spacing w:after="0" w:line="240" w:lineRule="auto"/>
        <w:rPr>
          <w:rFonts w:ascii="Adobe Garamond Pro" w:hAnsi="Adobe Garamond Pro"/>
          <w:b/>
          <w:sz w:val="20"/>
          <w:szCs w:val="20"/>
        </w:rPr>
      </w:pPr>
    </w:p>
    <w:p w14:paraId="656CBE8F" w14:textId="77777777" w:rsidR="00FA6E70" w:rsidRPr="003D5A07" w:rsidRDefault="00FA6E70" w:rsidP="003435FC">
      <w:pPr>
        <w:spacing w:after="0" w:line="240" w:lineRule="auto"/>
        <w:rPr>
          <w:rFonts w:ascii="Adobe Garamond Pro" w:hAnsi="Adobe Garamond Pro"/>
          <w:b/>
          <w:sz w:val="20"/>
          <w:szCs w:val="20"/>
        </w:rPr>
      </w:pPr>
    </w:p>
    <w:p w14:paraId="63AFFFA0" w14:textId="77777777" w:rsidR="00C57E69" w:rsidRPr="00C57E69" w:rsidRDefault="00C57E69" w:rsidP="00C57E69">
      <w:pPr>
        <w:spacing w:after="0" w:line="240" w:lineRule="auto"/>
        <w:ind w:right="55"/>
        <w:jc w:val="center"/>
        <w:rPr>
          <w:rFonts w:ascii="Adobe Garamond Pro Bold" w:hAnsi="Adobe Garamond Pro Bold" w:cs="Times New Roman"/>
          <w:b/>
          <w:color w:val="000000" w:themeColor="text1"/>
          <w:sz w:val="28"/>
          <w:szCs w:val="24"/>
        </w:rPr>
      </w:pPr>
      <w:r w:rsidRPr="00C57E69">
        <w:rPr>
          <w:rFonts w:ascii="Adobe Garamond Pro Bold" w:hAnsi="Adobe Garamond Pro Bold" w:cs="Times New Roman"/>
          <w:b/>
          <w:color w:val="000000" w:themeColor="text1"/>
          <w:sz w:val="28"/>
          <w:szCs w:val="24"/>
        </w:rPr>
        <w:t>THE LEGAL DIMENSIONS OF COMMUNICATION IN HOSPITAL SETTINGS: A MEDICOLEGAL PERSPECTIVE</w:t>
      </w:r>
    </w:p>
    <w:p w14:paraId="3492DAF1" w14:textId="77777777" w:rsidR="00FA6E70" w:rsidRPr="003D5A07" w:rsidRDefault="00FA6E70" w:rsidP="003435FC">
      <w:pPr>
        <w:spacing w:after="0" w:line="240" w:lineRule="auto"/>
        <w:ind w:left="851" w:right="849"/>
        <w:jc w:val="center"/>
        <w:rPr>
          <w:rFonts w:ascii="Adobe Garamond Pro" w:hAnsi="Adobe Garamond Pro"/>
          <w:b/>
          <w:bCs/>
          <w:color w:val="000000" w:themeColor="text1"/>
          <w:sz w:val="38"/>
          <w:szCs w:val="38"/>
        </w:rPr>
      </w:pPr>
    </w:p>
    <w:p w14:paraId="62C70060" w14:textId="3560AFA5" w:rsidR="00AC53E8" w:rsidRPr="003D5A07" w:rsidRDefault="00C57E69" w:rsidP="003435FC">
      <w:pPr>
        <w:spacing w:after="0" w:line="240" w:lineRule="auto"/>
        <w:jc w:val="center"/>
        <w:rPr>
          <w:rFonts w:ascii="Adobe Garamond Pro" w:hAnsi="Adobe Garamond Pro" w:cs="Times New Roman"/>
          <w:bCs/>
          <w:sz w:val="24"/>
          <w:szCs w:val="24"/>
        </w:rPr>
      </w:pPr>
      <w:r>
        <w:rPr>
          <w:rFonts w:ascii="Adobe Garamond Pro Bold" w:hAnsi="Adobe Garamond Pro Bold" w:cs="Times New Roman"/>
          <w:bCs/>
          <w:sz w:val="24"/>
          <w:szCs w:val="24"/>
        </w:rPr>
        <w:t>Muhammad Luthfie Hakim</w:t>
      </w:r>
      <w:r w:rsidR="00813628">
        <w:rPr>
          <w:rFonts w:ascii="Adobe Garamond Pro Bold" w:hAnsi="Adobe Garamond Pro Bold" w:cs="Times New Roman"/>
          <w:bCs/>
          <w:sz w:val="24"/>
          <w:szCs w:val="24"/>
        </w:rPr>
        <w:t xml:space="preserve"> </w:t>
      </w:r>
      <w:r w:rsidR="00813628" w:rsidRPr="003D5A07">
        <w:rPr>
          <w:rFonts w:ascii="Adobe Garamond Pro" w:hAnsi="Adobe Garamond Pro" w:cs="Times New Roman"/>
          <w:sz w:val="18"/>
          <w:szCs w:val="18"/>
          <w:vertAlign w:val="superscript"/>
        </w:rPr>
        <w:sym w:font="Wingdings" w:char="F02A"/>
      </w:r>
      <w:r w:rsidR="003435FC">
        <w:rPr>
          <w:rFonts w:ascii="Adobe Garamond Pro Bold" w:hAnsi="Adobe Garamond Pro Bold" w:cs="Times New Roman"/>
          <w:bCs/>
          <w:sz w:val="24"/>
          <w:szCs w:val="24"/>
        </w:rPr>
        <w:t xml:space="preserve"> </w:t>
      </w:r>
      <w:r w:rsidR="008A6709">
        <w:rPr>
          <w:noProof/>
        </w:rPr>
        <w:drawing>
          <wp:inline distT="0" distB="0" distL="0" distR="0" wp14:anchorId="35277096" wp14:editId="1762F5C3">
            <wp:extent cx="107950" cy="107950"/>
            <wp:effectExtent l="0" t="0" r="6350" b="6350"/>
            <wp:docPr id="2094669201"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69201" name="Picture 2">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46" cy="113646"/>
                    </a:xfrm>
                    <a:prstGeom prst="rect">
                      <a:avLst/>
                    </a:prstGeom>
                    <a:noFill/>
                    <a:ln>
                      <a:noFill/>
                    </a:ln>
                  </pic:spPr>
                </pic:pic>
              </a:graphicData>
            </a:graphic>
          </wp:inline>
        </w:drawing>
      </w:r>
    </w:p>
    <w:p w14:paraId="584F9022" w14:textId="176243C9" w:rsidR="00ED4C5F" w:rsidRPr="008A6709" w:rsidRDefault="00C57E69" w:rsidP="00ED4C5F">
      <w:pPr>
        <w:spacing w:after="0" w:line="240" w:lineRule="auto"/>
        <w:ind w:left="284" w:right="480"/>
        <w:jc w:val="center"/>
        <w:rPr>
          <w:rFonts w:ascii="Adobe Garamond Pro" w:hAnsi="Adobe Garamond Pro" w:cs="Times New Roman"/>
          <w:noProof/>
          <w:sz w:val="20"/>
          <w:szCs w:val="20"/>
        </w:rPr>
      </w:pPr>
      <w:r>
        <w:rPr>
          <w:rFonts w:ascii="Adobe Garamond Pro" w:hAnsi="Adobe Garamond Pro" w:cs="Times New Roman"/>
          <w:noProof/>
          <w:sz w:val="20"/>
          <w:szCs w:val="20"/>
        </w:rPr>
        <w:t>Universitas Muhammadiyah Jakarta</w:t>
      </w:r>
    </w:p>
    <w:p w14:paraId="7845A2D3" w14:textId="77777777" w:rsidR="008A6709" w:rsidRDefault="008A6709" w:rsidP="003435FC">
      <w:pPr>
        <w:spacing w:after="0" w:line="240" w:lineRule="auto"/>
        <w:ind w:left="284" w:right="480"/>
        <w:jc w:val="center"/>
        <w:rPr>
          <w:rFonts w:ascii="Adobe Garamond Pro Bold" w:hAnsi="Adobe Garamond Pro Bold" w:cs="Times New Roman"/>
          <w:bCs/>
          <w:sz w:val="24"/>
          <w:szCs w:val="24"/>
        </w:rPr>
      </w:pPr>
    </w:p>
    <w:p w14:paraId="1880E1CC" w14:textId="6CAF9ED9" w:rsidR="00B820EC" w:rsidRDefault="00C57E69" w:rsidP="003435FC">
      <w:pPr>
        <w:spacing w:after="0" w:line="240" w:lineRule="auto"/>
        <w:jc w:val="center"/>
        <w:rPr>
          <w:rFonts w:ascii="Adobe Garamond Pro Bold" w:hAnsi="Adobe Garamond Pro Bold" w:cs="Times New Roman"/>
          <w:bCs/>
          <w:sz w:val="24"/>
          <w:szCs w:val="24"/>
        </w:rPr>
      </w:pPr>
      <w:r>
        <w:rPr>
          <w:rFonts w:ascii="Adobe Garamond Pro Bold" w:hAnsi="Adobe Garamond Pro Bold" w:cs="Times New Roman"/>
          <w:bCs/>
          <w:sz w:val="24"/>
          <w:szCs w:val="24"/>
        </w:rPr>
        <w:t xml:space="preserve">Aby Maulana </w:t>
      </w:r>
      <w:r w:rsidR="00AC79E5">
        <w:rPr>
          <w:noProof/>
        </w:rPr>
        <w:drawing>
          <wp:inline distT="0" distB="0" distL="0" distR="0" wp14:anchorId="05E453B0" wp14:editId="55130EE9">
            <wp:extent cx="107950" cy="107950"/>
            <wp:effectExtent l="0" t="0" r="6350" b="6350"/>
            <wp:docPr id="796506461"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06461" name="Picture 2">
                      <a:hlinkClick r:id="rId1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46" cy="113646"/>
                    </a:xfrm>
                    <a:prstGeom prst="rect">
                      <a:avLst/>
                    </a:prstGeom>
                    <a:noFill/>
                    <a:ln>
                      <a:noFill/>
                    </a:ln>
                  </pic:spPr>
                </pic:pic>
              </a:graphicData>
            </a:graphic>
          </wp:inline>
        </w:drawing>
      </w:r>
    </w:p>
    <w:p w14:paraId="51E8FB54" w14:textId="77777777" w:rsidR="00C57E69" w:rsidRPr="008A6709" w:rsidRDefault="00C57E69" w:rsidP="00C57E69">
      <w:pPr>
        <w:spacing w:after="0" w:line="240" w:lineRule="auto"/>
        <w:ind w:left="284" w:right="480"/>
        <w:jc w:val="center"/>
        <w:rPr>
          <w:rFonts w:ascii="Adobe Garamond Pro" w:hAnsi="Adobe Garamond Pro" w:cs="Times New Roman"/>
          <w:noProof/>
          <w:sz w:val="20"/>
          <w:szCs w:val="20"/>
        </w:rPr>
      </w:pPr>
      <w:r>
        <w:rPr>
          <w:rFonts w:ascii="Adobe Garamond Pro" w:hAnsi="Adobe Garamond Pro" w:cs="Times New Roman"/>
          <w:noProof/>
          <w:sz w:val="20"/>
          <w:szCs w:val="20"/>
        </w:rPr>
        <w:t>Universitas Muhammadiyah Jakarta</w:t>
      </w:r>
    </w:p>
    <w:p w14:paraId="233016F6" w14:textId="77777777" w:rsidR="00545ECF" w:rsidRDefault="00545ECF" w:rsidP="00545ECF">
      <w:pPr>
        <w:spacing w:after="0" w:line="240" w:lineRule="auto"/>
        <w:jc w:val="center"/>
        <w:rPr>
          <w:rFonts w:ascii="Adobe Garamond Pro Bold" w:hAnsi="Adobe Garamond Pro Bold" w:cs="Times New Roman"/>
          <w:bCs/>
          <w:sz w:val="24"/>
          <w:szCs w:val="24"/>
        </w:rPr>
      </w:pPr>
    </w:p>
    <w:p w14:paraId="136377E9" w14:textId="42D67CAF" w:rsidR="00545ECF" w:rsidRDefault="00C57E69" w:rsidP="00545ECF">
      <w:pPr>
        <w:spacing w:after="0" w:line="240" w:lineRule="auto"/>
        <w:jc w:val="center"/>
        <w:rPr>
          <w:rFonts w:ascii="Adobe Garamond Pro Bold" w:hAnsi="Adobe Garamond Pro Bold" w:cs="Times New Roman"/>
          <w:bCs/>
          <w:sz w:val="24"/>
          <w:szCs w:val="24"/>
        </w:rPr>
      </w:pPr>
      <w:proofErr w:type="spellStart"/>
      <w:r>
        <w:rPr>
          <w:rFonts w:ascii="Adobe Garamond Pro Bold" w:hAnsi="Adobe Garamond Pro Bold" w:cs="Times New Roman"/>
          <w:bCs/>
          <w:sz w:val="24"/>
          <w:szCs w:val="24"/>
        </w:rPr>
        <w:t>Mizna</w:t>
      </w:r>
      <w:proofErr w:type="spellEnd"/>
      <w:r>
        <w:rPr>
          <w:rFonts w:ascii="Adobe Garamond Pro Bold" w:hAnsi="Adobe Garamond Pro Bold" w:cs="Times New Roman"/>
          <w:bCs/>
          <w:sz w:val="24"/>
          <w:szCs w:val="24"/>
        </w:rPr>
        <w:t xml:space="preserve"> </w:t>
      </w:r>
      <w:proofErr w:type="spellStart"/>
      <w:r>
        <w:rPr>
          <w:rFonts w:ascii="Adobe Garamond Pro Bold" w:hAnsi="Adobe Garamond Pro Bold" w:cs="Times New Roman"/>
          <w:bCs/>
          <w:sz w:val="24"/>
          <w:szCs w:val="24"/>
        </w:rPr>
        <w:t>Sabilla</w:t>
      </w:r>
      <w:proofErr w:type="spellEnd"/>
      <w:r w:rsidR="00545ECF">
        <w:rPr>
          <w:rFonts w:ascii="Adobe Garamond Pro Bold" w:hAnsi="Adobe Garamond Pro Bold" w:cs="Times New Roman"/>
          <w:bCs/>
          <w:sz w:val="24"/>
          <w:szCs w:val="24"/>
        </w:rPr>
        <w:t xml:space="preserve"> </w:t>
      </w:r>
      <w:r w:rsidR="00545ECF">
        <w:rPr>
          <w:noProof/>
        </w:rPr>
        <w:drawing>
          <wp:inline distT="0" distB="0" distL="0" distR="0" wp14:anchorId="7FF5D2B6" wp14:editId="583BB5D8">
            <wp:extent cx="107950" cy="107950"/>
            <wp:effectExtent l="0" t="0" r="6350" b="6350"/>
            <wp:docPr id="841044646" name="Picture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44646" name="Picture 2">
                      <a:hlinkClick r:id="rId1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46" cy="113646"/>
                    </a:xfrm>
                    <a:prstGeom prst="rect">
                      <a:avLst/>
                    </a:prstGeom>
                    <a:noFill/>
                    <a:ln>
                      <a:noFill/>
                    </a:ln>
                  </pic:spPr>
                </pic:pic>
              </a:graphicData>
            </a:graphic>
          </wp:inline>
        </w:drawing>
      </w:r>
    </w:p>
    <w:p w14:paraId="1C563FB8" w14:textId="77777777" w:rsidR="00C57E69" w:rsidRPr="008A6709" w:rsidRDefault="00C57E69" w:rsidP="00C57E69">
      <w:pPr>
        <w:spacing w:after="0" w:line="240" w:lineRule="auto"/>
        <w:ind w:left="284" w:right="480"/>
        <w:jc w:val="center"/>
        <w:rPr>
          <w:rFonts w:ascii="Adobe Garamond Pro" w:hAnsi="Adobe Garamond Pro" w:cs="Times New Roman"/>
          <w:noProof/>
          <w:sz w:val="20"/>
          <w:szCs w:val="20"/>
        </w:rPr>
      </w:pPr>
      <w:r>
        <w:rPr>
          <w:rFonts w:ascii="Adobe Garamond Pro" w:hAnsi="Adobe Garamond Pro" w:cs="Times New Roman"/>
          <w:noProof/>
          <w:sz w:val="20"/>
          <w:szCs w:val="20"/>
        </w:rPr>
        <w:t>Universitas Muhammadiyah Jakarta</w:t>
      </w:r>
    </w:p>
    <w:p w14:paraId="175F4CF9" w14:textId="77777777" w:rsidR="008A6709" w:rsidRPr="008A6709" w:rsidRDefault="008A6709" w:rsidP="003435FC">
      <w:pPr>
        <w:spacing w:after="0" w:line="240" w:lineRule="auto"/>
        <w:ind w:left="284" w:right="480"/>
        <w:jc w:val="center"/>
        <w:rPr>
          <w:rFonts w:ascii="Adobe Garamond Pro" w:hAnsi="Adobe Garamond Pro" w:cs="Times New Roman"/>
          <w:noProof/>
          <w:sz w:val="20"/>
          <w:szCs w:val="20"/>
        </w:rPr>
      </w:pPr>
    </w:p>
    <w:p w14:paraId="51AD51BC" w14:textId="27F22949" w:rsidR="00AC53E8" w:rsidRPr="008A6709" w:rsidRDefault="00AC53E8" w:rsidP="003435FC">
      <w:pPr>
        <w:pBdr>
          <w:bottom w:val="single" w:sz="6" w:space="1" w:color="auto"/>
        </w:pBdr>
        <w:spacing w:after="0" w:line="240" w:lineRule="auto"/>
        <w:jc w:val="center"/>
        <w:rPr>
          <w:noProof/>
          <w:sz w:val="20"/>
          <w:szCs w:val="20"/>
        </w:rPr>
      </w:pPr>
      <w:r w:rsidRPr="003D5A07">
        <w:rPr>
          <w:rFonts w:ascii="Adobe Garamond Pro" w:hAnsi="Adobe Garamond Pro" w:cs="Times New Roman"/>
          <w:sz w:val="18"/>
          <w:szCs w:val="18"/>
        </w:rPr>
        <w:sym w:font="Wingdings" w:char="F02A"/>
      </w:r>
      <w:r w:rsidR="00AA2911" w:rsidRPr="003D5A07">
        <w:rPr>
          <w:rFonts w:ascii="Adobe Garamond Pro" w:hAnsi="Adobe Garamond Pro" w:cs="Times New Roman"/>
          <w:sz w:val="24"/>
          <w:szCs w:val="24"/>
        </w:rPr>
        <w:t xml:space="preserve"> </w:t>
      </w:r>
      <w:r w:rsidR="00813628" w:rsidRPr="00813628">
        <w:rPr>
          <w:rFonts w:ascii="Adobe Garamond Pro" w:hAnsi="Adobe Garamond Pro" w:cs="Times New Roman"/>
          <w:noProof/>
          <w:sz w:val="20"/>
          <w:szCs w:val="20"/>
        </w:rPr>
        <w:t xml:space="preserve">Correspondence email: </w:t>
      </w:r>
      <w:r w:rsidR="00C57E69">
        <w:rPr>
          <w:rFonts w:ascii="Adobe Garamond Pro" w:hAnsi="Adobe Garamond Pro" w:cs="Times New Roman"/>
          <w:noProof/>
          <w:sz w:val="20"/>
          <w:szCs w:val="20"/>
        </w:rPr>
        <w:t>aby.maulana</w:t>
      </w:r>
      <w:r w:rsidR="00813628" w:rsidRPr="00813628">
        <w:rPr>
          <w:rFonts w:ascii="Adobe Garamond Pro" w:hAnsi="Adobe Garamond Pro" w:cs="Times New Roman"/>
          <w:noProof/>
          <w:sz w:val="20"/>
          <w:szCs w:val="20"/>
        </w:rPr>
        <w:t>@</w:t>
      </w:r>
      <w:r w:rsidR="00C57E69">
        <w:rPr>
          <w:rFonts w:ascii="Adobe Garamond Pro" w:hAnsi="Adobe Garamond Pro" w:cs="Times New Roman"/>
          <w:noProof/>
          <w:sz w:val="20"/>
          <w:szCs w:val="20"/>
        </w:rPr>
        <w:t>umj</w:t>
      </w:r>
      <w:r w:rsidR="00813628" w:rsidRPr="00813628">
        <w:rPr>
          <w:rFonts w:ascii="Adobe Garamond Pro" w:hAnsi="Adobe Garamond Pro" w:cs="Times New Roman"/>
          <w:noProof/>
          <w:sz w:val="20"/>
          <w:szCs w:val="20"/>
        </w:rPr>
        <w:t>.ac.id</w:t>
      </w:r>
    </w:p>
    <w:p w14:paraId="3BADCF3E" w14:textId="77777777" w:rsidR="003D5A07" w:rsidRPr="003D5A07" w:rsidRDefault="003D5A07" w:rsidP="003435FC">
      <w:pPr>
        <w:pBdr>
          <w:bottom w:val="single" w:sz="6" w:space="1" w:color="auto"/>
        </w:pBdr>
        <w:spacing w:after="0" w:line="240" w:lineRule="auto"/>
        <w:jc w:val="center"/>
        <w:rPr>
          <w:rStyle w:val="Hyperlink"/>
          <w:rFonts w:ascii="Adobe Garamond Pro" w:hAnsi="Adobe Garamond Pro"/>
          <w:b/>
          <w:bCs/>
          <w:color w:val="auto"/>
        </w:rPr>
      </w:pPr>
    </w:p>
    <w:p w14:paraId="3B40CB89" w14:textId="77777777" w:rsidR="003D5A07" w:rsidRPr="003D5A07" w:rsidRDefault="003D5A07" w:rsidP="003435FC">
      <w:pPr>
        <w:spacing w:after="0" w:line="240" w:lineRule="auto"/>
        <w:jc w:val="center"/>
        <w:rPr>
          <w:rFonts w:ascii="Adobe Garamond Pro" w:hAnsi="Adobe Garamond Pro" w:cs="Times New Roman"/>
          <w:sz w:val="24"/>
          <w:szCs w:val="24"/>
        </w:rPr>
      </w:pPr>
    </w:p>
    <w:p w14:paraId="3C4CDCDB" w14:textId="7FA8DA19" w:rsidR="00B63FE3" w:rsidRPr="003435FC" w:rsidRDefault="003D5A07" w:rsidP="003435FC">
      <w:pPr>
        <w:spacing w:after="0" w:line="240" w:lineRule="auto"/>
        <w:jc w:val="both"/>
        <w:rPr>
          <w:rFonts w:ascii="Adobe Garamond Pro" w:hAnsi="Adobe Garamond Pro" w:cs="Times New Roman"/>
          <w:sz w:val="24"/>
          <w:szCs w:val="24"/>
        </w:rPr>
      </w:pPr>
      <w:r w:rsidRPr="00F01D2F">
        <w:rPr>
          <w:rStyle w:val="tlid-translation"/>
          <w:rFonts w:ascii="Adobe Garamond Pro" w:hAnsi="Adobe Garamond Pro" w:cs="Times New Roman"/>
          <w:b/>
          <w:color w:val="C00000"/>
          <w:sz w:val="28"/>
          <w:szCs w:val="28"/>
        </w:rPr>
        <w:t>Abstract</w:t>
      </w:r>
    </w:p>
    <w:p w14:paraId="79D87EAD" w14:textId="5B00C0E3" w:rsidR="00C57E69" w:rsidRPr="00C57E69" w:rsidRDefault="007419CE" w:rsidP="00C57E69">
      <w:pPr>
        <w:spacing w:after="0" w:line="240" w:lineRule="auto"/>
        <w:jc w:val="both"/>
        <w:rPr>
          <w:rFonts w:ascii="Adobe Garamond Pro" w:eastAsia="Times New Roman" w:hAnsi="Adobe Garamond Pro" w:cs="Times New Roman"/>
          <w:noProof/>
          <w:lang w:val="en-ID"/>
        </w:rPr>
      </w:pPr>
      <w:r w:rsidRPr="00C57E69">
        <w:rPr>
          <w:rFonts w:ascii="Adobe Garamond Pro" w:eastAsia="Times New Roman" w:hAnsi="Adobe Garamond Pro" w:cs="Times New Roman"/>
          <w:noProof/>
        </w:rPr>
        <mc:AlternateContent>
          <mc:Choice Requires="wps">
            <w:drawing>
              <wp:anchor distT="45720" distB="45720" distL="114300" distR="114300" simplePos="0" relativeHeight="251671552" behindDoc="0" locked="0" layoutInCell="1" allowOverlap="1" wp14:anchorId="19DBE973" wp14:editId="440C65BE">
                <wp:simplePos x="0" y="0"/>
                <wp:positionH relativeFrom="column">
                  <wp:posOffset>-102235</wp:posOffset>
                </wp:positionH>
                <wp:positionV relativeFrom="paragraph">
                  <wp:posOffset>1950198</wp:posOffset>
                </wp:positionV>
                <wp:extent cx="4390390" cy="610235"/>
                <wp:effectExtent l="0" t="0" r="0" b="0"/>
                <wp:wrapSquare wrapText="bothSides"/>
                <wp:docPr id="726454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610235"/>
                        </a:xfrm>
                        <a:prstGeom prst="rect">
                          <a:avLst/>
                        </a:prstGeom>
                        <a:solidFill>
                          <a:srgbClr val="FFFFFF"/>
                        </a:solidFill>
                        <a:ln w="9525">
                          <a:noFill/>
                          <a:miter lim="800000"/>
                          <a:headEnd/>
                          <a:tailEnd/>
                        </a:ln>
                      </wps:spPr>
                      <wps:txbx>
                        <w:txbxContent>
                          <w:p w14:paraId="58F8B8E4" w14:textId="77777777" w:rsidR="007419CE" w:rsidRPr="00C324D9" w:rsidRDefault="007419CE" w:rsidP="007419CE">
                            <w:pPr>
                              <w:pStyle w:val="Footer"/>
                              <w:jc w:val="both"/>
                              <w:rPr>
                                <w:rFonts w:ascii="Adobe Garamond Pro" w:hAnsi="Adobe Garamond Pro"/>
                                <w:sz w:val="12"/>
                                <w:szCs w:val="12"/>
                              </w:rPr>
                            </w:pPr>
                          </w:p>
                          <w:p w14:paraId="1CCA6FE5" w14:textId="355BF27F" w:rsidR="00F01D2F" w:rsidRDefault="007419CE" w:rsidP="007419CE">
                            <w:pPr>
                              <w:pStyle w:val="Footer"/>
                              <w:jc w:val="both"/>
                              <w:rPr>
                                <w:rFonts w:ascii="Adobe Garamond Pro" w:hAnsi="Adobe Garamond Pro"/>
                                <w:sz w:val="12"/>
                                <w:szCs w:val="12"/>
                              </w:rPr>
                            </w:pPr>
                            <w:r w:rsidRPr="00C324D9">
                              <w:rPr>
                                <w:rFonts w:ascii="Adobe Garamond Pro" w:hAnsi="Adobe Garamond Pro"/>
                                <w:sz w:val="12"/>
                                <w:szCs w:val="12"/>
                              </w:rPr>
                              <w:t>© 202</w:t>
                            </w:r>
                            <w:r w:rsidR="00F01D2F">
                              <w:rPr>
                                <w:rFonts w:ascii="Adobe Garamond Pro" w:hAnsi="Adobe Garamond Pro"/>
                                <w:sz w:val="12"/>
                                <w:szCs w:val="12"/>
                              </w:rPr>
                              <w:t>4</w:t>
                            </w:r>
                            <w:r w:rsidRPr="00C324D9">
                              <w:rPr>
                                <w:rFonts w:ascii="Adobe Garamond Pro" w:hAnsi="Adobe Garamond Pro"/>
                                <w:sz w:val="12"/>
                                <w:szCs w:val="12"/>
                              </w:rPr>
                              <w:t xml:space="preserve"> Authors. </w:t>
                            </w:r>
                            <w:proofErr w:type="spellStart"/>
                            <w:r w:rsidR="00424102">
                              <w:rPr>
                                <w:rFonts w:ascii="Adobe Garamond Pro" w:hAnsi="Adobe Garamond Pro"/>
                                <w:i/>
                                <w:iCs/>
                                <w:sz w:val="12"/>
                                <w:szCs w:val="12"/>
                              </w:rPr>
                              <w:t>Jurnal</w:t>
                            </w:r>
                            <w:proofErr w:type="spellEnd"/>
                            <w:r w:rsidR="00424102">
                              <w:rPr>
                                <w:rFonts w:ascii="Adobe Garamond Pro" w:hAnsi="Adobe Garamond Pro"/>
                                <w:i/>
                                <w:iCs/>
                                <w:sz w:val="12"/>
                                <w:szCs w:val="12"/>
                              </w:rPr>
                              <w:t xml:space="preserve"> Hukum </w:t>
                            </w:r>
                            <w:proofErr w:type="spellStart"/>
                            <w:r w:rsidR="00424102">
                              <w:rPr>
                                <w:rFonts w:ascii="Adobe Garamond Pro" w:hAnsi="Adobe Garamond Pro"/>
                                <w:i/>
                                <w:iCs/>
                                <w:sz w:val="12"/>
                                <w:szCs w:val="12"/>
                              </w:rPr>
                              <w:t>Replik</w:t>
                            </w:r>
                            <w:proofErr w:type="spellEnd"/>
                            <w:r w:rsidR="00424102">
                              <w:rPr>
                                <w:rFonts w:ascii="Adobe Garamond Pro" w:hAnsi="Adobe Garamond Pro"/>
                                <w:i/>
                                <w:iCs/>
                                <w:sz w:val="12"/>
                                <w:szCs w:val="12"/>
                              </w:rPr>
                              <w:t xml:space="preserve"> </w:t>
                            </w:r>
                            <w:r w:rsidR="00424102">
                              <w:rPr>
                                <w:rFonts w:ascii="Adobe Garamond Pro" w:hAnsi="Adobe Garamond Pro"/>
                                <w:sz w:val="12"/>
                                <w:szCs w:val="12"/>
                              </w:rPr>
                              <w:t>is a Journal for Indonesian Procedural Law Studies published biannually by the</w:t>
                            </w:r>
                            <w:r w:rsidR="00424102" w:rsidRPr="00424102">
                              <w:rPr>
                                <w:rFonts w:ascii="Adobe Garamond Pro" w:hAnsi="Adobe Garamond Pro"/>
                                <w:sz w:val="12"/>
                                <w:szCs w:val="12"/>
                              </w:rPr>
                              <w:t xml:space="preserve"> Faculty </w:t>
                            </w:r>
                            <w:r w:rsidR="00424102" w:rsidRPr="00424102">
                              <w:rPr>
                                <w:rFonts w:ascii="Adobe Garamond Pro" w:hAnsi="Adobe Garamond Pro"/>
                                <w:i/>
                                <w:iCs/>
                                <w:sz w:val="12"/>
                                <w:szCs w:val="12"/>
                              </w:rPr>
                              <w:t>of</w:t>
                            </w:r>
                            <w:r w:rsidR="00424102" w:rsidRPr="00424102">
                              <w:rPr>
                                <w:rFonts w:ascii="Adobe Garamond Pro" w:hAnsi="Adobe Garamond Pro"/>
                                <w:sz w:val="12"/>
                                <w:szCs w:val="12"/>
                              </w:rPr>
                              <w:t xml:space="preserve"> Law, Universitas Muhammadiyah Tangerang, Indonesia</w:t>
                            </w:r>
                            <w:r w:rsidR="00424102">
                              <w:rPr>
                                <w:rFonts w:ascii="Adobe Garamond Pro" w:hAnsi="Adobe Garamond Pro"/>
                                <w:sz w:val="12"/>
                                <w:szCs w:val="12"/>
                              </w:rPr>
                              <w:t xml:space="preserve">. </w:t>
                            </w:r>
                            <w:r w:rsidR="00424102" w:rsidRPr="00424102">
                              <w:rPr>
                                <w:rFonts w:ascii="Adobe Garamond Pro" w:hAnsi="Adobe Garamond Pro"/>
                                <w:sz w:val="12"/>
                                <w:szCs w:val="12"/>
                              </w:rPr>
                              <w:t>This work is licensed under a </w:t>
                            </w:r>
                            <w:hyperlink r:id="rId14" w:history="1">
                              <w:r w:rsidR="00424102" w:rsidRPr="00424102">
                                <w:rPr>
                                  <w:rStyle w:val="Hyperlink"/>
                                  <w:rFonts w:ascii="Adobe Garamond Pro" w:hAnsi="Adobe Garamond Pro"/>
                                  <w:color w:val="auto"/>
                                  <w:sz w:val="12"/>
                                  <w:szCs w:val="12"/>
                                  <w:u w:val="none"/>
                                </w:rPr>
                                <w:t>Creative Commons Attribution-</w:t>
                              </w:r>
                              <w:proofErr w:type="spellStart"/>
                              <w:r w:rsidR="00424102" w:rsidRPr="00424102">
                                <w:rPr>
                                  <w:rStyle w:val="Hyperlink"/>
                                  <w:rFonts w:ascii="Adobe Garamond Pro" w:hAnsi="Adobe Garamond Pro"/>
                                  <w:color w:val="auto"/>
                                  <w:sz w:val="12"/>
                                  <w:szCs w:val="12"/>
                                  <w:u w:val="none"/>
                                </w:rPr>
                                <w:t>ShareAlike</w:t>
                              </w:r>
                              <w:proofErr w:type="spellEnd"/>
                              <w:r w:rsidR="00424102" w:rsidRPr="00424102">
                                <w:rPr>
                                  <w:rStyle w:val="Hyperlink"/>
                                  <w:rFonts w:ascii="Adobe Garamond Pro" w:hAnsi="Adobe Garamond Pro"/>
                                  <w:color w:val="auto"/>
                                  <w:sz w:val="12"/>
                                  <w:szCs w:val="12"/>
                                  <w:u w:val="none"/>
                                </w:rPr>
                                <w:t xml:space="preserve"> 4.0 International License</w:t>
                              </w:r>
                            </w:hyperlink>
                            <w:r w:rsidRPr="00424102">
                              <w:rPr>
                                <w:rFonts w:ascii="Adobe Garamond Pro" w:hAnsi="Adobe Garamond Pro"/>
                                <w:sz w:val="12"/>
                                <w:szCs w:val="12"/>
                              </w:rPr>
                              <w:t xml:space="preserve">.  </w:t>
                            </w:r>
                            <w:r w:rsidRPr="00C324D9">
                              <w:rPr>
                                <w:rFonts w:ascii="Adobe Garamond Pro" w:hAnsi="Adobe Garamond Pro"/>
                                <w:sz w:val="12"/>
                                <w:szCs w:val="12"/>
                              </w:rPr>
                              <w:t>All writings published in this journal are personal views of the authors and do not represent the views of this journal and the author's affiliated institutions.</w:t>
                            </w:r>
                            <w:r w:rsidR="00F01D2F">
                              <w:rPr>
                                <w:rFonts w:ascii="Adobe Garamond Pro" w:hAnsi="Adobe Garamond Pro"/>
                                <w:sz w:val="12"/>
                                <w:szCs w:val="12"/>
                              </w:rPr>
                              <w:t xml:space="preserve"> </w:t>
                            </w:r>
                            <w:r w:rsidR="00F01D2F" w:rsidRPr="00424102">
                              <w:rPr>
                                <w:rFonts w:ascii="Adobe Garamond Pro" w:hAnsi="Adobe Garamond Pro"/>
                                <w:b/>
                                <w:bCs/>
                                <w:sz w:val="12"/>
                                <w:szCs w:val="12"/>
                              </w:rPr>
                              <w:t>History or Article:</w:t>
                            </w:r>
                            <w:r w:rsidR="00F01D2F">
                              <w:rPr>
                                <w:rFonts w:ascii="Adobe Garamond Pro" w:hAnsi="Adobe Garamond Pro"/>
                                <w:sz w:val="12"/>
                                <w:szCs w:val="12"/>
                              </w:rPr>
                              <w:t xml:space="preserve"> </w:t>
                            </w:r>
                            <w:r w:rsidR="00F01D2F" w:rsidRPr="00ED4C5F">
                              <w:rPr>
                                <w:rFonts w:ascii="Adobe Garamond Pro" w:hAnsi="Adobe Garamond Pro"/>
                                <w:b/>
                                <w:bCs/>
                                <w:color w:val="C00000"/>
                                <w:sz w:val="12"/>
                                <w:szCs w:val="12"/>
                              </w:rPr>
                              <w:t>Submitted</w:t>
                            </w:r>
                            <w:r w:rsidR="00F01D2F" w:rsidRPr="00F01D2F">
                              <w:rPr>
                                <w:rFonts w:ascii="Adobe Garamond Pro" w:hAnsi="Adobe Garamond Pro"/>
                                <w:sz w:val="12"/>
                                <w:szCs w:val="12"/>
                              </w:rPr>
                              <w:t xml:space="preserve"> 01/01/2024 </w:t>
                            </w:r>
                            <w:r w:rsidR="00F01D2F" w:rsidRPr="00ED4C5F">
                              <w:rPr>
                                <w:rFonts w:ascii="Adobe Garamond Pro" w:hAnsi="Adobe Garamond Pro"/>
                                <w:b/>
                                <w:bCs/>
                                <w:color w:val="C00000"/>
                                <w:sz w:val="12"/>
                                <w:szCs w:val="12"/>
                              </w:rPr>
                              <w:t>Revised</w:t>
                            </w:r>
                            <w:r w:rsidR="00F01D2F" w:rsidRPr="00F01D2F">
                              <w:rPr>
                                <w:rFonts w:ascii="Adobe Garamond Pro" w:hAnsi="Adobe Garamond Pro"/>
                                <w:sz w:val="12"/>
                                <w:szCs w:val="12"/>
                              </w:rPr>
                              <w:t xml:space="preserve"> 02/02/204 </w:t>
                            </w:r>
                            <w:r w:rsidR="00F01D2F" w:rsidRPr="00ED4C5F">
                              <w:rPr>
                                <w:rFonts w:ascii="Adobe Garamond Pro" w:hAnsi="Adobe Garamond Pro"/>
                                <w:b/>
                                <w:bCs/>
                                <w:color w:val="C00000"/>
                                <w:sz w:val="12"/>
                                <w:szCs w:val="12"/>
                              </w:rPr>
                              <w:t>Accepted</w:t>
                            </w:r>
                            <w:r w:rsidR="00F01D2F" w:rsidRPr="00F01D2F">
                              <w:rPr>
                                <w:rFonts w:ascii="Adobe Garamond Pro" w:hAnsi="Adobe Garamond Pro"/>
                                <w:sz w:val="12"/>
                                <w:szCs w:val="12"/>
                              </w:rPr>
                              <w:t xml:space="preserve"> 03/03/2024</w:t>
                            </w:r>
                          </w:p>
                          <w:p w14:paraId="4691ADAC" w14:textId="77777777" w:rsidR="00424102" w:rsidRPr="00C324D9" w:rsidRDefault="00424102" w:rsidP="007419CE">
                            <w:pPr>
                              <w:pStyle w:val="Footer"/>
                              <w:jc w:val="both"/>
                              <w:rPr>
                                <w:rFonts w:ascii="Adobe Garamond Pro" w:hAnsi="Adobe Garamond Pro"/>
                                <w:sz w:val="18"/>
                                <w:szCs w:val="18"/>
                              </w:rPr>
                            </w:pPr>
                          </w:p>
                          <w:p w14:paraId="3A326F70" w14:textId="77777777" w:rsidR="007419CE" w:rsidRPr="00C324D9" w:rsidRDefault="007419CE" w:rsidP="007419CE">
                            <w:pPr>
                              <w:rPr>
                                <w:rFonts w:ascii="Adobe Garamond Pro" w:hAnsi="Adobe Garamond Pro"/>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DBE973" id="_x0000_t202" coordsize="21600,21600" o:spt="202" path="m,l,21600r21600,l21600,xe">
                <v:stroke joinstyle="miter"/>
                <v:path gradientshapeok="t" o:connecttype="rect"/>
              </v:shapetype>
              <v:shape id="Text Box 2" o:spid="_x0000_s1026" type="#_x0000_t202" style="position:absolute;left:0;text-align:left;margin-left:-8.05pt;margin-top:153.55pt;width:345.7pt;height:48.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0GDQIAAPYDAAAOAAAAZHJzL2Uyb0RvYy54bWysU9tu2zAMfR+wfxD0vthJk64x4hRdugwD&#10;ugvQ7QMUWY6FyaJGKbGzry8lu2m2vQ0TDIE0qSPy8Gh127eGHRV6Dbbk00nOmbISKm33Jf/+bfvm&#10;hjMfhK2EAatKflKe365fv1p1rlAzaMBUChmBWF90ruRNCK7IMi8b1Qo/AacsBWvAVgRycZ9VKDpC&#10;b002y/PrrAOsHIJU3tPf+yHI1wm/rpUMX+raq8BMyam2kHZM+y7u2Xolij0K12g5liH+oYpWaEuX&#10;nqHuRRDsgPovqFZLBA91mEhoM6hrLVXqgbqZ5n9089gIp1IvRI53Z5r8/4OVn4+P7iuy0L+DngaY&#10;mvDuAeQPzyxsGmH36g4RukaJii6eRsqyzvliPBqp9oWPILvuE1Q0ZHEIkID6GtvICvXJCJ0GcDqT&#10;rvrAJP2cXy1z+jiTFLue5rOrRbpCFM+nHfrwQUHLolFypKEmdHF88CFWI4rnlHiZB6OrrTYmObjf&#10;bQyyoyABbNMa0X9LM5Z1JV8uZouEbCGeT9podSCBGt2W/CaPa5BMZOO9rVJKENoMNlVi7EhPZGTg&#10;JvS7nhIjTTuoTkQUwiBEejhkNIC/OOtIhCX3Pw8CFWfmoyWyl9P5PKo2OfPF2xk5eBnZXUaElQRV&#10;8sDZYG5CUnrkwcIdDaXWia+XSsZaSVyJxvEhRPVe+inr5bmunwAAAP//AwBQSwMEFAAGAAgAAAAh&#10;AAx9nG/gAAAACwEAAA8AAABkcnMvZG93bnJldi54bWxMj8FOg0AQhu8mvsNmTLyYdqG0YClDoyYa&#10;r619gIWdApGdJey20Ld3PeltJvPln+8v9rPpxZVG11lGiJcRCOLa6o4bhNPX++IZhPOKteotE8KN&#10;HOzL+7tC5dpOfKDr0TcihLDLFULr/ZBL6eqWjHJLOxCH29mORvmwjo3Uo5pCuOnlKopSaVTH4UOr&#10;Bnprqf4+XgzC+XN62myn6sOfssM6fVVdVtkb4uPD/LID4Wn2fzD86gd1KINTZS+snegRFnEaBxQh&#10;ibIwBCLNNgmICmEdJSuQZSH/dyh/AAAA//8DAFBLAQItABQABgAIAAAAIQC2gziS/gAAAOEBAAAT&#10;AAAAAAAAAAAAAAAAAAAAAABbQ29udGVudF9UeXBlc10ueG1sUEsBAi0AFAAGAAgAAAAhADj9If/W&#10;AAAAlAEAAAsAAAAAAAAAAAAAAAAALwEAAF9yZWxzLy5yZWxzUEsBAi0AFAAGAAgAAAAhALaybQYN&#10;AgAA9gMAAA4AAAAAAAAAAAAAAAAALgIAAGRycy9lMm9Eb2MueG1sUEsBAi0AFAAGAAgAAAAhAAx9&#10;nG/gAAAACwEAAA8AAAAAAAAAAAAAAAAAZwQAAGRycy9kb3ducmV2LnhtbFBLBQYAAAAABAAEAPMA&#10;AAB0BQAAAAA=&#10;" stroked="f">
                <v:textbox>
                  <w:txbxContent>
                    <w:p w14:paraId="58F8B8E4" w14:textId="77777777" w:rsidR="007419CE" w:rsidRPr="00C324D9" w:rsidRDefault="007419CE" w:rsidP="007419CE">
                      <w:pPr>
                        <w:pStyle w:val="Footer"/>
                        <w:jc w:val="both"/>
                        <w:rPr>
                          <w:rFonts w:ascii="Adobe Garamond Pro" w:hAnsi="Adobe Garamond Pro"/>
                          <w:sz w:val="12"/>
                          <w:szCs w:val="12"/>
                        </w:rPr>
                      </w:pPr>
                    </w:p>
                    <w:p w14:paraId="1CCA6FE5" w14:textId="355BF27F" w:rsidR="00F01D2F" w:rsidRDefault="007419CE" w:rsidP="007419CE">
                      <w:pPr>
                        <w:pStyle w:val="Footer"/>
                        <w:jc w:val="both"/>
                        <w:rPr>
                          <w:rFonts w:ascii="Adobe Garamond Pro" w:hAnsi="Adobe Garamond Pro"/>
                          <w:sz w:val="12"/>
                          <w:szCs w:val="12"/>
                        </w:rPr>
                      </w:pPr>
                      <w:r w:rsidRPr="00C324D9">
                        <w:rPr>
                          <w:rFonts w:ascii="Adobe Garamond Pro" w:hAnsi="Adobe Garamond Pro"/>
                          <w:sz w:val="12"/>
                          <w:szCs w:val="12"/>
                        </w:rPr>
                        <w:t>© 202</w:t>
                      </w:r>
                      <w:r w:rsidR="00F01D2F">
                        <w:rPr>
                          <w:rFonts w:ascii="Adobe Garamond Pro" w:hAnsi="Adobe Garamond Pro"/>
                          <w:sz w:val="12"/>
                          <w:szCs w:val="12"/>
                        </w:rPr>
                        <w:t>4</w:t>
                      </w:r>
                      <w:r w:rsidRPr="00C324D9">
                        <w:rPr>
                          <w:rFonts w:ascii="Adobe Garamond Pro" w:hAnsi="Adobe Garamond Pro"/>
                          <w:sz w:val="12"/>
                          <w:szCs w:val="12"/>
                        </w:rPr>
                        <w:t xml:space="preserve"> Authors. </w:t>
                      </w:r>
                      <w:proofErr w:type="spellStart"/>
                      <w:r w:rsidR="00424102">
                        <w:rPr>
                          <w:rFonts w:ascii="Adobe Garamond Pro" w:hAnsi="Adobe Garamond Pro"/>
                          <w:i/>
                          <w:iCs/>
                          <w:sz w:val="12"/>
                          <w:szCs w:val="12"/>
                        </w:rPr>
                        <w:t>Jurnal</w:t>
                      </w:r>
                      <w:proofErr w:type="spellEnd"/>
                      <w:r w:rsidR="00424102">
                        <w:rPr>
                          <w:rFonts w:ascii="Adobe Garamond Pro" w:hAnsi="Adobe Garamond Pro"/>
                          <w:i/>
                          <w:iCs/>
                          <w:sz w:val="12"/>
                          <w:szCs w:val="12"/>
                        </w:rPr>
                        <w:t xml:space="preserve"> Hukum </w:t>
                      </w:r>
                      <w:proofErr w:type="spellStart"/>
                      <w:r w:rsidR="00424102">
                        <w:rPr>
                          <w:rFonts w:ascii="Adobe Garamond Pro" w:hAnsi="Adobe Garamond Pro"/>
                          <w:i/>
                          <w:iCs/>
                          <w:sz w:val="12"/>
                          <w:szCs w:val="12"/>
                        </w:rPr>
                        <w:t>Replik</w:t>
                      </w:r>
                      <w:proofErr w:type="spellEnd"/>
                      <w:r w:rsidR="00424102">
                        <w:rPr>
                          <w:rFonts w:ascii="Adobe Garamond Pro" w:hAnsi="Adobe Garamond Pro"/>
                          <w:i/>
                          <w:iCs/>
                          <w:sz w:val="12"/>
                          <w:szCs w:val="12"/>
                        </w:rPr>
                        <w:t xml:space="preserve"> </w:t>
                      </w:r>
                      <w:r w:rsidR="00424102">
                        <w:rPr>
                          <w:rFonts w:ascii="Adobe Garamond Pro" w:hAnsi="Adobe Garamond Pro"/>
                          <w:sz w:val="12"/>
                          <w:szCs w:val="12"/>
                        </w:rPr>
                        <w:t>is a Journal for Indonesian Procedural Law Studies published biannually by the</w:t>
                      </w:r>
                      <w:r w:rsidR="00424102" w:rsidRPr="00424102">
                        <w:rPr>
                          <w:rFonts w:ascii="Adobe Garamond Pro" w:hAnsi="Adobe Garamond Pro"/>
                          <w:sz w:val="12"/>
                          <w:szCs w:val="12"/>
                        </w:rPr>
                        <w:t xml:space="preserve"> Faculty </w:t>
                      </w:r>
                      <w:r w:rsidR="00424102" w:rsidRPr="00424102">
                        <w:rPr>
                          <w:rFonts w:ascii="Adobe Garamond Pro" w:hAnsi="Adobe Garamond Pro"/>
                          <w:i/>
                          <w:iCs/>
                          <w:sz w:val="12"/>
                          <w:szCs w:val="12"/>
                        </w:rPr>
                        <w:t>of</w:t>
                      </w:r>
                      <w:r w:rsidR="00424102" w:rsidRPr="00424102">
                        <w:rPr>
                          <w:rFonts w:ascii="Adobe Garamond Pro" w:hAnsi="Adobe Garamond Pro"/>
                          <w:sz w:val="12"/>
                          <w:szCs w:val="12"/>
                        </w:rPr>
                        <w:t xml:space="preserve"> Law, Universitas Muhammadiyah Tangerang, Indonesia</w:t>
                      </w:r>
                      <w:r w:rsidR="00424102">
                        <w:rPr>
                          <w:rFonts w:ascii="Adobe Garamond Pro" w:hAnsi="Adobe Garamond Pro"/>
                          <w:sz w:val="12"/>
                          <w:szCs w:val="12"/>
                        </w:rPr>
                        <w:t xml:space="preserve">. </w:t>
                      </w:r>
                      <w:r w:rsidR="00424102" w:rsidRPr="00424102">
                        <w:rPr>
                          <w:rFonts w:ascii="Adobe Garamond Pro" w:hAnsi="Adobe Garamond Pro"/>
                          <w:sz w:val="12"/>
                          <w:szCs w:val="12"/>
                        </w:rPr>
                        <w:t>This work is licensed under a </w:t>
                      </w:r>
                      <w:hyperlink r:id="rId15" w:history="1">
                        <w:r w:rsidR="00424102" w:rsidRPr="00424102">
                          <w:rPr>
                            <w:rStyle w:val="Hyperlink"/>
                            <w:rFonts w:ascii="Adobe Garamond Pro" w:hAnsi="Adobe Garamond Pro"/>
                            <w:color w:val="auto"/>
                            <w:sz w:val="12"/>
                            <w:szCs w:val="12"/>
                            <w:u w:val="none"/>
                          </w:rPr>
                          <w:t>Creative Commons Attribution-</w:t>
                        </w:r>
                        <w:proofErr w:type="spellStart"/>
                        <w:r w:rsidR="00424102" w:rsidRPr="00424102">
                          <w:rPr>
                            <w:rStyle w:val="Hyperlink"/>
                            <w:rFonts w:ascii="Adobe Garamond Pro" w:hAnsi="Adobe Garamond Pro"/>
                            <w:color w:val="auto"/>
                            <w:sz w:val="12"/>
                            <w:szCs w:val="12"/>
                            <w:u w:val="none"/>
                          </w:rPr>
                          <w:t>ShareAlike</w:t>
                        </w:r>
                        <w:proofErr w:type="spellEnd"/>
                        <w:r w:rsidR="00424102" w:rsidRPr="00424102">
                          <w:rPr>
                            <w:rStyle w:val="Hyperlink"/>
                            <w:rFonts w:ascii="Adobe Garamond Pro" w:hAnsi="Adobe Garamond Pro"/>
                            <w:color w:val="auto"/>
                            <w:sz w:val="12"/>
                            <w:szCs w:val="12"/>
                            <w:u w:val="none"/>
                          </w:rPr>
                          <w:t xml:space="preserve"> 4.0 International License</w:t>
                        </w:r>
                      </w:hyperlink>
                      <w:r w:rsidRPr="00424102">
                        <w:rPr>
                          <w:rFonts w:ascii="Adobe Garamond Pro" w:hAnsi="Adobe Garamond Pro"/>
                          <w:sz w:val="12"/>
                          <w:szCs w:val="12"/>
                        </w:rPr>
                        <w:t xml:space="preserve">.  </w:t>
                      </w:r>
                      <w:r w:rsidRPr="00C324D9">
                        <w:rPr>
                          <w:rFonts w:ascii="Adobe Garamond Pro" w:hAnsi="Adobe Garamond Pro"/>
                          <w:sz w:val="12"/>
                          <w:szCs w:val="12"/>
                        </w:rPr>
                        <w:t>All writings published in this journal are personal views of the authors and do not represent the views of this journal and the author's affiliated institutions.</w:t>
                      </w:r>
                      <w:r w:rsidR="00F01D2F">
                        <w:rPr>
                          <w:rFonts w:ascii="Adobe Garamond Pro" w:hAnsi="Adobe Garamond Pro"/>
                          <w:sz w:val="12"/>
                          <w:szCs w:val="12"/>
                        </w:rPr>
                        <w:t xml:space="preserve"> </w:t>
                      </w:r>
                      <w:r w:rsidR="00F01D2F" w:rsidRPr="00424102">
                        <w:rPr>
                          <w:rFonts w:ascii="Adobe Garamond Pro" w:hAnsi="Adobe Garamond Pro"/>
                          <w:b/>
                          <w:bCs/>
                          <w:sz w:val="12"/>
                          <w:szCs w:val="12"/>
                        </w:rPr>
                        <w:t>History or Article:</w:t>
                      </w:r>
                      <w:r w:rsidR="00F01D2F">
                        <w:rPr>
                          <w:rFonts w:ascii="Adobe Garamond Pro" w:hAnsi="Adobe Garamond Pro"/>
                          <w:sz w:val="12"/>
                          <w:szCs w:val="12"/>
                        </w:rPr>
                        <w:t xml:space="preserve"> </w:t>
                      </w:r>
                      <w:r w:rsidR="00F01D2F" w:rsidRPr="00ED4C5F">
                        <w:rPr>
                          <w:rFonts w:ascii="Adobe Garamond Pro" w:hAnsi="Adobe Garamond Pro"/>
                          <w:b/>
                          <w:bCs/>
                          <w:color w:val="C00000"/>
                          <w:sz w:val="12"/>
                          <w:szCs w:val="12"/>
                        </w:rPr>
                        <w:t>Submitted</w:t>
                      </w:r>
                      <w:r w:rsidR="00F01D2F" w:rsidRPr="00F01D2F">
                        <w:rPr>
                          <w:rFonts w:ascii="Adobe Garamond Pro" w:hAnsi="Adobe Garamond Pro"/>
                          <w:sz w:val="12"/>
                          <w:szCs w:val="12"/>
                        </w:rPr>
                        <w:t xml:space="preserve"> 01/01/2024 </w:t>
                      </w:r>
                      <w:r w:rsidR="00F01D2F" w:rsidRPr="00ED4C5F">
                        <w:rPr>
                          <w:rFonts w:ascii="Adobe Garamond Pro" w:hAnsi="Adobe Garamond Pro"/>
                          <w:b/>
                          <w:bCs/>
                          <w:color w:val="C00000"/>
                          <w:sz w:val="12"/>
                          <w:szCs w:val="12"/>
                        </w:rPr>
                        <w:t>Revised</w:t>
                      </w:r>
                      <w:r w:rsidR="00F01D2F" w:rsidRPr="00F01D2F">
                        <w:rPr>
                          <w:rFonts w:ascii="Adobe Garamond Pro" w:hAnsi="Adobe Garamond Pro"/>
                          <w:sz w:val="12"/>
                          <w:szCs w:val="12"/>
                        </w:rPr>
                        <w:t xml:space="preserve"> 02/02/204 </w:t>
                      </w:r>
                      <w:r w:rsidR="00F01D2F" w:rsidRPr="00ED4C5F">
                        <w:rPr>
                          <w:rFonts w:ascii="Adobe Garamond Pro" w:hAnsi="Adobe Garamond Pro"/>
                          <w:b/>
                          <w:bCs/>
                          <w:color w:val="C00000"/>
                          <w:sz w:val="12"/>
                          <w:szCs w:val="12"/>
                        </w:rPr>
                        <w:t>Accepted</w:t>
                      </w:r>
                      <w:r w:rsidR="00F01D2F" w:rsidRPr="00F01D2F">
                        <w:rPr>
                          <w:rFonts w:ascii="Adobe Garamond Pro" w:hAnsi="Adobe Garamond Pro"/>
                          <w:sz w:val="12"/>
                          <w:szCs w:val="12"/>
                        </w:rPr>
                        <w:t xml:space="preserve"> 03/03/2024</w:t>
                      </w:r>
                    </w:p>
                    <w:p w14:paraId="4691ADAC" w14:textId="77777777" w:rsidR="00424102" w:rsidRPr="00C324D9" w:rsidRDefault="00424102" w:rsidP="007419CE">
                      <w:pPr>
                        <w:pStyle w:val="Footer"/>
                        <w:jc w:val="both"/>
                        <w:rPr>
                          <w:rFonts w:ascii="Adobe Garamond Pro" w:hAnsi="Adobe Garamond Pro"/>
                          <w:sz w:val="18"/>
                          <w:szCs w:val="18"/>
                        </w:rPr>
                      </w:pPr>
                    </w:p>
                    <w:p w14:paraId="3A326F70" w14:textId="77777777" w:rsidR="007419CE" w:rsidRPr="00C324D9" w:rsidRDefault="007419CE" w:rsidP="007419CE">
                      <w:pPr>
                        <w:rPr>
                          <w:rFonts w:ascii="Adobe Garamond Pro" w:hAnsi="Adobe Garamond Pro"/>
                          <w:sz w:val="24"/>
                          <w:szCs w:val="24"/>
                        </w:rPr>
                      </w:pPr>
                    </w:p>
                  </w:txbxContent>
                </v:textbox>
                <w10:wrap type="square"/>
              </v:shape>
            </w:pict>
          </mc:Fallback>
        </mc:AlternateContent>
      </w:r>
      <w:r w:rsidR="00C57E69" w:rsidRPr="00C57E69">
        <w:rPr>
          <w:rFonts w:ascii="Adobe Garamond Pro" w:eastAsia="Times New Roman" w:hAnsi="Adobe Garamond Pro" w:cs="Times New Roman"/>
          <w:noProof/>
          <w:lang w:val="en-ID"/>
        </w:rPr>
        <w:t xml:space="preserve">Communication in healthcare services is not merely a technical or interpersonal matter, but an integral part of the legal and ethical responsibilities of the medical profession. This article aims to examine the legal aspects of communication in hospitals through a normative and analytical approach. The discussion focuses on the classification of communication types (clinical and administrative), effective communication methods (SBAR and closed-loop), and the strategic role of medical records in documenting explanations and informed consent. By tracing the provisions of Law Number 17 of 2023 on Health, related ministerial regulations, and field practices, this paper shows that communication and documentation failures are among the main causes </w:t>
      </w:r>
      <w:r w:rsidR="00C57E69">
        <w:rPr>
          <w:rFonts w:ascii="Adobe Garamond Pro" w:eastAsia="Times New Roman" w:hAnsi="Adobe Garamond Pro" w:cs="Times New Roman"/>
          <w:noProof/>
          <w:lang w:val="en-ID"/>
        </w:rPr>
        <w:t xml:space="preserve"> </w:t>
      </w:r>
      <w:r w:rsidR="00C57E69" w:rsidRPr="00C57E69">
        <w:rPr>
          <w:rFonts w:ascii="Adobe Garamond Pro" w:eastAsia="Times New Roman" w:hAnsi="Adobe Garamond Pro" w:cs="Times New Roman"/>
          <w:noProof/>
          <w:lang w:val="en-ID"/>
        </w:rPr>
        <w:t xml:space="preserve">of medical disputes in Indonesia. It also identifies common documentation errors, such as incomplete information, undocumented </w:t>
      </w:r>
    </w:p>
    <w:p w14:paraId="33B16DC1" w14:textId="77777777" w:rsidR="00C57E69" w:rsidRDefault="00C57E69" w:rsidP="00C57E69">
      <w:pPr>
        <w:spacing w:after="0" w:line="240" w:lineRule="auto"/>
        <w:jc w:val="both"/>
        <w:rPr>
          <w:rFonts w:ascii="Adobe Garamond Pro" w:eastAsia="Times New Roman" w:hAnsi="Adobe Garamond Pro" w:cs="Times New Roman"/>
          <w:noProof/>
          <w:lang w:val="en-ID"/>
        </w:rPr>
      </w:pPr>
    </w:p>
    <w:p w14:paraId="146EDC4A" w14:textId="77777777" w:rsidR="00C57E69" w:rsidRDefault="00C57E69" w:rsidP="00C57E69">
      <w:pPr>
        <w:spacing w:after="0" w:line="240" w:lineRule="auto"/>
        <w:jc w:val="both"/>
        <w:rPr>
          <w:rFonts w:ascii="Adobe Garamond Pro" w:eastAsia="Times New Roman" w:hAnsi="Adobe Garamond Pro" w:cs="Times New Roman"/>
          <w:noProof/>
          <w:lang w:val="en-ID"/>
        </w:rPr>
      </w:pPr>
    </w:p>
    <w:p w14:paraId="464E8B7C" w14:textId="38CC65EC" w:rsidR="00C57E69" w:rsidRPr="00C57E69" w:rsidRDefault="00C57E69" w:rsidP="00C57E69">
      <w:pPr>
        <w:spacing w:after="0" w:line="240" w:lineRule="auto"/>
        <w:jc w:val="both"/>
        <w:rPr>
          <w:rFonts w:ascii="Adobe Garamond Pro" w:eastAsia="Times New Roman" w:hAnsi="Adobe Garamond Pro" w:cs="Times New Roman"/>
          <w:b/>
          <w:bCs/>
          <w:noProof/>
          <w:lang w:val="en-ID"/>
        </w:rPr>
      </w:pPr>
      <w:r w:rsidRPr="00C57E69">
        <w:rPr>
          <w:rFonts w:ascii="Adobe Garamond Pro" w:eastAsia="Times New Roman" w:hAnsi="Adobe Garamond Pro" w:cs="Times New Roman"/>
          <w:noProof/>
          <w:lang w:val="en-ID"/>
        </w:rPr>
        <w:lastRenderedPageBreak/>
        <w:t>explanations, or explanations delivered by unauthorized personnel. The article concludes that effective and well-documented communication not only protects patient rights but also strengthens the legal standing of medical professionals and hospitals. Reforming communication and documentation systems in healthcare facilities should be an integral part of quality improvement and legal protection strategies in medical practice.</w:t>
      </w:r>
    </w:p>
    <w:p w14:paraId="0DF8B569" w14:textId="4E49E0B3" w:rsidR="00AC79E5" w:rsidRPr="003435FC" w:rsidRDefault="00AC79E5" w:rsidP="00AC79E5">
      <w:pPr>
        <w:spacing w:after="0" w:line="240" w:lineRule="auto"/>
        <w:jc w:val="both"/>
        <w:rPr>
          <w:rFonts w:ascii="Adobe Garamond Pro" w:eastAsia="Times New Roman" w:hAnsi="Adobe Garamond Pro" w:cs="Times New Roman"/>
          <w:sz w:val="24"/>
          <w:szCs w:val="24"/>
          <w:shd w:val="clear" w:color="auto" w:fill="FFFFFF"/>
        </w:rPr>
      </w:pPr>
    </w:p>
    <w:p w14:paraId="3784AF64" w14:textId="77777777" w:rsidR="003D5A07" w:rsidRPr="003435FC" w:rsidRDefault="00B63FE3" w:rsidP="003435FC">
      <w:pPr>
        <w:spacing w:after="0" w:line="240" w:lineRule="auto"/>
        <w:jc w:val="both"/>
        <w:rPr>
          <w:rStyle w:val="tlid-translation"/>
          <w:rFonts w:ascii="Adobe Garamond Pro" w:hAnsi="Adobe Garamond Pro" w:cs="Times New Roman"/>
          <w:sz w:val="24"/>
          <w:szCs w:val="24"/>
        </w:rPr>
      </w:pPr>
      <w:r w:rsidRPr="00F01D2F">
        <w:rPr>
          <w:rStyle w:val="tlid-translation"/>
          <w:rFonts w:ascii="Adobe Garamond Pro" w:hAnsi="Adobe Garamond Pro" w:cs="Times New Roman"/>
          <w:b/>
          <w:color w:val="C00000"/>
          <w:sz w:val="28"/>
          <w:szCs w:val="28"/>
        </w:rPr>
        <w:t>Keywords</w:t>
      </w:r>
    </w:p>
    <w:p w14:paraId="1953F999" w14:textId="59A759FB" w:rsidR="00AA2911" w:rsidRPr="003D5A07" w:rsidRDefault="00C57E69" w:rsidP="003435FC">
      <w:pPr>
        <w:spacing w:after="0" w:line="240" w:lineRule="auto"/>
        <w:jc w:val="both"/>
        <w:rPr>
          <w:rStyle w:val="word-text-color1"/>
          <w:rFonts w:ascii="Adobe Garamond Pro" w:hAnsi="Adobe Garamond Pro" w:cs="Times New Roman"/>
          <w:i/>
          <w:color w:val="000000" w:themeColor="text1"/>
          <w:sz w:val="24"/>
        </w:rPr>
      </w:pPr>
      <w:r w:rsidRPr="00C57E69">
        <w:rPr>
          <w:rFonts w:ascii="Adobe Garamond Pro" w:hAnsi="Adobe Garamond Pro"/>
          <w:i/>
          <w:iCs/>
          <w:color w:val="000000" w:themeColor="text1"/>
          <w:sz w:val="24"/>
          <w:szCs w:val="24"/>
          <w:lang w:val="en-ID"/>
        </w:rPr>
        <w:t>medical communication, medical records, informed consent, hospital, legal liability</w:t>
      </w:r>
    </w:p>
    <w:p w14:paraId="57EF0373" w14:textId="77777777" w:rsidR="00EA74A0" w:rsidRPr="003D5A07" w:rsidRDefault="00EA74A0" w:rsidP="003435FC">
      <w:pPr>
        <w:spacing w:after="0" w:line="240" w:lineRule="auto"/>
        <w:jc w:val="both"/>
        <w:rPr>
          <w:rStyle w:val="word-text-color1"/>
          <w:rFonts w:ascii="Adobe Garamond Pro" w:hAnsi="Adobe Garamond Pro" w:cs="Times New Roman"/>
          <w:color w:val="000000" w:themeColor="text1"/>
          <w:sz w:val="24"/>
          <w:szCs w:val="20"/>
        </w:rPr>
      </w:pPr>
    </w:p>
    <w:p w14:paraId="19CDD441" w14:textId="14D5A1EA" w:rsidR="003435FC" w:rsidRDefault="003435FC" w:rsidP="00AC79E5">
      <w:pPr>
        <w:spacing w:after="0" w:line="240" w:lineRule="auto"/>
        <w:jc w:val="both"/>
        <w:rPr>
          <w:rFonts w:ascii="Adobe Garamond Pro" w:hAnsi="Adobe Garamond Pro" w:cs="Arial"/>
          <w:b/>
          <w:color w:val="C00000"/>
          <w:sz w:val="28"/>
          <w:szCs w:val="28"/>
          <w:lang w:val="id-ID"/>
        </w:rPr>
      </w:pPr>
      <w:r w:rsidRPr="00F01D2F">
        <w:rPr>
          <w:rFonts w:ascii="Adobe Garamond Pro" w:hAnsi="Adobe Garamond Pro" w:cs="Arial"/>
          <w:b/>
          <w:color w:val="C00000"/>
          <w:sz w:val="28"/>
          <w:szCs w:val="28"/>
        </w:rPr>
        <w:t>I</w:t>
      </w:r>
      <w:r w:rsidRPr="00F01D2F">
        <w:rPr>
          <w:rFonts w:ascii="Adobe Garamond Pro" w:hAnsi="Adobe Garamond Pro" w:cs="Arial"/>
          <w:b/>
          <w:color w:val="C00000"/>
          <w:sz w:val="28"/>
          <w:szCs w:val="28"/>
          <w:lang w:val="id-ID"/>
        </w:rPr>
        <w:t>ntroduction</w:t>
      </w:r>
    </w:p>
    <w:p w14:paraId="6D71DDC4" w14:textId="77777777" w:rsidR="00C57E69" w:rsidRDefault="00C57E6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Pr="00C57E69">
        <w:rPr>
          <w:rFonts w:ascii="Adobe Garamond Pro" w:hAnsi="Adobe Garamond Pro"/>
          <w:sz w:val="24"/>
          <w:szCs w:val="24"/>
          <w:lang w:val="en-ID"/>
        </w:rPr>
        <w:t>Communication in healthcare services is not merely a clinical skill, but rather a fundamental element in ensuring patient safety and legal certainty in medical practice. Numerous studies indicate that communication failures between healthcare professionals and patients are among the primary causes of medical errors that lead to legal disputes. An analytical report by The Joint Commission (TJC) in the United States, based on 2,455 sentinel events in 2008, revealed that over 70% of these incidents were caused by communication failures among health professionals.</w:t>
      </w:r>
      <w:r w:rsidRPr="00C57E69">
        <w:rPr>
          <w:rFonts w:ascii="Adobe Garamond Pro" w:hAnsi="Adobe Garamond Pro"/>
          <w:sz w:val="24"/>
          <w:szCs w:val="24"/>
          <w:vertAlign w:val="superscript"/>
          <w:lang w:val="en-ID"/>
        </w:rPr>
        <w:footnoteReference w:id="1"/>
      </w:r>
      <w:r>
        <w:rPr>
          <w:rFonts w:ascii="Adobe Garamond Pro" w:hAnsi="Adobe Garamond Pro"/>
          <w:sz w:val="24"/>
          <w:szCs w:val="24"/>
          <w:lang w:val="en-ID"/>
        </w:rPr>
        <w:t xml:space="preserve"> </w:t>
      </w:r>
      <w:r w:rsidRPr="00C57E69">
        <w:rPr>
          <w:rFonts w:ascii="Adobe Garamond Pro" w:hAnsi="Adobe Garamond Pro"/>
          <w:sz w:val="24"/>
          <w:szCs w:val="24"/>
          <w:lang w:val="en-ID"/>
        </w:rPr>
        <w:t>This phenomenon also reflects the situation in Indonesia. According to the Indonesian Medical Disciplinary Honorary Council (</w:t>
      </w:r>
      <w:proofErr w:type="spellStart"/>
      <w:r w:rsidRPr="00C57E69">
        <w:rPr>
          <w:rFonts w:ascii="Adobe Garamond Pro" w:hAnsi="Adobe Garamond Pro"/>
          <w:sz w:val="24"/>
          <w:szCs w:val="24"/>
          <w:lang w:val="en-ID"/>
        </w:rPr>
        <w:t>Majelis</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Kehormatan</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Disiplin</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Kedokteran</w:t>
      </w:r>
      <w:proofErr w:type="spellEnd"/>
      <w:r w:rsidRPr="00C57E69">
        <w:rPr>
          <w:rFonts w:ascii="Adobe Garamond Pro" w:hAnsi="Adobe Garamond Pro"/>
          <w:sz w:val="24"/>
          <w:szCs w:val="24"/>
          <w:lang w:val="en-ID"/>
        </w:rPr>
        <w:t xml:space="preserve"> Indonesia, MKDKI)—now restructured as the Medical Professional Disciplinary Board (</w:t>
      </w:r>
      <w:proofErr w:type="spellStart"/>
      <w:r w:rsidRPr="00C57E69">
        <w:rPr>
          <w:rFonts w:ascii="Adobe Garamond Pro" w:hAnsi="Adobe Garamond Pro"/>
          <w:sz w:val="24"/>
          <w:szCs w:val="24"/>
          <w:lang w:val="en-ID"/>
        </w:rPr>
        <w:t>Majelis</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Disiplin</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Profesi</w:t>
      </w:r>
      <w:proofErr w:type="spellEnd"/>
      <w:r w:rsidRPr="00C57E69">
        <w:rPr>
          <w:rFonts w:ascii="Adobe Garamond Pro" w:hAnsi="Adobe Garamond Pro"/>
          <w:sz w:val="24"/>
          <w:szCs w:val="24"/>
          <w:lang w:val="en-ID"/>
        </w:rPr>
        <w:t>, MDP)—most allegations of disciplinary violations in the medical field stem from inadequate communication, either in terms of delivering medical information or documenting it in the medical records.</w:t>
      </w:r>
      <w:r w:rsidRPr="00C57E69">
        <w:rPr>
          <w:rFonts w:ascii="Adobe Garamond Pro" w:hAnsi="Adobe Garamond Pro"/>
          <w:sz w:val="24"/>
          <w:szCs w:val="24"/>
          <w:vertAlign w:val="superscript"/>
          <w:lang w:val="en-ID"/>
        </w:rPr>
        <w:footnoteReference w:id="2"/>
      </w:r>
      <w:r w:rsidRPr="00C57E69">
        <w:rPr>
          <w:rFonts w:ascii="Adobe Garamond Pro" w:hAnsi="Adobe Garamond Pro"/>
          <w:sz w:val="24"/>
          <w:szCs w:val="24"/>
          <w:lang w:val="en-ID"/>
        </w:rPr>
        <w:t xml:space="preserve"> The problem becomes more serious when poor communication results in medical procedures conducted without valid consent, or when important medical information is not properly conveyed to patients or their families.</w:t>
      </w:r>
    </w:p>
    <w:p w14:paraId="13F9CEC0" w14:textId="77777777" w:rsidR="00552229" w:rsidRDefault="00C57E6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Pr="00C57E69">
        <w:rPr>
          <w:rFonts w:ascii="Adobe Garamond Pro" w:hAnsi="Adobe Garamond Pro"/>
          <w:sz w:val="24"/>
          <w:szCs w:val="24"/>
          <w:lang w:val="en-ID"/>
        </w:rPr>
        <w:t xml:space="preserve">From a legal standpoint, communication is not a neutral domain. Within the hospital setting, communication forms an integral part of the legal obligation of healthcare professionals to provide truthful and complete information, as stipulated in Article 45 of Law Number 29 of 2004 concerning Medical Practice, which explicitly mandates medical explanation prior to the provision of any medical </w:t>
      </w:r>
      <w:r w:rsidRPr="00C57E69">
        <w:rPr>
          <w:rFonts w:ascii="Adobe Garamond Pro" w:hAnsi="Adobe Garamond Pro"/>
          <w:sz w:val="24"/>
          <w:szCs w:val="24"/>
          <w:lang w:val="en-ID"/>
        </w:rPr>
        <w:lastRenderedPageBreak/>
        <w:t>action.</w:t>
      </w:r>
      <w:r w:rsidRPr="00C57E69">
        <w:rPr>
          <w:rFonts w:ascii="Adobe Garamond Pro" w:hAnsi="Adobe Garamond Pro"/>
          <w:sz w:val="24"/>
          <w:szCs w:val="24"/>
          <w:vertAlign w:val="superscript"/>
          <w:lang w:val="en-ID"/>
        </w:rPr>
        <w:footnoteReference w:id="3"/>
      </w:r>
      <w:r w:rsidRPr="00C57E69">
        <w:rPr>
          <w:rFonts w:ascii="Adobe Garamond Pro" w:hAnsi="Adobe Garamond Pro"/>
          <w:sz w:val="24"/>
          <w:szCs w:val="24"/>
          <w:lang w:val="en-ID"/>
        </w:rPr>
        <w:t xml:space="preserve"> This provision has been further reinforced and expanded in Law Number 17 of 2023 on Health, particularly in Articles 293 and 294, which detail the elements of information that must be disclosed by healthcare providers to patients.</w:t>
      </w:r>
    </w:p>
    <w:p w14:paraId="76CAEBFE" w14:textId="599AC142"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Unfortunately, in day-to-day hospital practice, communication is often perceived merely as a technical matter or soft skill. In reality, within the framework of health law, communication functions as a legal protection mechanism not only for patients but also for the medical professionals themselves. Communication failure can be the legal basis for accusations of medical malpractice, ethical violations, disciplinary sanctions, and civil lawsuits.</w:t>
      </w:r>
      <w:r w:rsidR="00C57E69" w:rsidRPr="00C57E69">
        <w:rPr>
          <w:rFonts w:ascii="Adobe Garamond Pro" w:hAnsi="Adobe Garamond Pro"/>
          <w:sz w:val="24"/>
          <w:szCs w:val="24"/>
          <w:vertAlign w:val="superscript"/>
          <w:lang w:val="en-ID"/>
        </w:rPr>
        <w:footnoteReference w:id="4"/>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Moreover, in the current era of national health system reform, the importance of communication is reiterated through the adoption of patient-</w:t>
      </w:r>
      <w:proofErr w:type="spellStart"/>
      <w:r w:rsidR="00C57E69" w:rsidRPr="00C57E69">
        <w:rPr>
          <w:rFonts w:ascii="Adobe Garamond Pro" w:hAnsi="Adobe Garamond Pro"/>
          <w:sz w:val="24"/>
          <w:szCs w:val="24"/>
          <w:lang w:val="en-ID"/>
        </w:rPr>
        <w:t>centered</w:t>
      </w:r>
      <w:proofErr w:type="spellEnd"/>
      <w:r w:rsidR="00C57E69" w:rsidRPr="00C57E69">
        <w:rPr>
          <w:rFonts w:ascii="Adobe Garamond Pro" w:hAnsi="Adobe Garamond Pro"/>
          <w:sz w:val="24"/>
          <w:szCs w:val="24"/>
          <w:lang w:val="en-ID"/>
        </w:rPr>
        <w:t xml:space="preserve"> care and informed consent as foundational principles of modern healthcare delivery. These approaches position the patient as an active participant in the medical decision-making process.</w:t>
      </w:r>
      <w:r w:rsidR="00C57E69" w:rsidRPr="00C57E69">
        <w:rPr>
          <w:rFonts w:ascii="Adobe Garamond Pro" w:hAnsi="Adobe Garamond Pro"/>
          <w:sz w:val="24"/>
          <w:szCs w:val="24"/>
          <w:vertAlign w:val="superscript"/>
          <w:lang w:val="en-ID"/>
        </w:rPr>
        <w:footnoteReference w:id="5"/>
      </w:r>
      <w:r w:rsidR="00C57E69" w:rsidRPr="00C57E69">
        <w:rPr>
          <w:rFonts w:ascii="Adobe Garamond Pro" w:hAnsi="Adobe Garamond Pro"/>
          <w:sz w:val="24"/>
          <w:szCs w:val="24"/>
          <w:lang w:val="en-ID"/>
        </w:rPr>
        <w:t xml:space="preserve"> Hence, communication does not only concern </w:t>
      </w:r>
      <w:r w:rsidR="00C57E69" w:rsidRPr="00C57E69">
        <w:rPr>
          <w:rFonts w:ascii="Adobe Garamond Pro" w:hAnsi="Adobe Garamond Pro"/>
          <w:i/>
          <w:iCs/>
          <w:sz w:val="24"/>
          <w:szCs w:val="24"/>
          <w:lang w:val="en-ID"/>
        </w:rPr>
        <w:t>what</w:t>
      </w:r>
      <w:r w:rsidR="00C57E69" w:rsidRPr="00C57E69">
        <w:rPr>
          <w:rFonts w:ascii="Adobe Garamond Pro" w:hAnsi="Adobe Garamond Pro"/>
          <w:sz w:val="24"/>
          <w:szCs w:val="24"/>
          <w:lang w:val="en-ID"/>
        </w:rPr>
        <w:t> is conveyed but also </w:t>
      </w:r>
      <w:r w:rsidR="00C57E69" w:rsidRPr="00C57E69">
        <w:rPr>
          <w:rFonts w:ascii="Adobe Garamond Pro" w:hAnsi="Adobe Garamond Pro"/>
          <w:i/>
          <w:iCs/>
          <w:sz w:val="24"/>
          <w:szCs w:val="24"/>
          <w:lang w:val="en-ID"/>
        </w:rPr>
        <w:t>how</w:t>
      </w:r>
      <w:r w:rsidR="00C57E69" w:rsidRPr="00C57E69">
        <w:rPr>
          <w:rFonts w:ascii="Adobe Garamond Pro" w:hAnsi="Adobe Garamond Pro"/>
          <w:sz w:val="24"/>
          <w:szCs w:val="24"/>
          <w:lang w:val="en-ID"/>
        </w:rPr>
        <w:t> the information is delivered, understood, and documented.</w:t>
      </w:r>
    </w:p>
    <w:p w14:paraId="61CC62E3" w14:textId="36C95BB1"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 xml:space="preserve">Legal literature on health law in Indonesia remains relatively scarce in systematically addressing the legal dimensions of medical communication. This paper aims to fill that gap by presenting an interdisciplinary approach that integrates clinical, administrative, and legal perspectives, all of which are interconnected and mutually reinforcing. The primary objective is to construct a comprehensive legal framework to identify, </w:t>
      </w:r>
      <w:proofErr w:type="spellStart"/>
      <w:r w:rsidR="00C57E69" w:rsidRPr="00C57E69">
        <w:rPr>
          <w:rFonts w:ascii="Adobe Garamond Pro" w:hAnsi="Adobe Garamond Pro"/>
          <w:sz w:val="24"/>
          <w:szCs w:val="24"/>
          <w:lang w:val="en-ID"/>
        </w:rPr>
        <w:t>analyze</w:t>
      </w:r>
      <w:proofErr w:type="spellEnd"/>
      <w:r w:rsidR="00C57E69" w:rsidRPr="00C57E69">
        <w:rPr>
          <w:rFonts w:ascii="Adobe Garamond Pro" w:hAnsi="Adobe Garamond Pro"/>
          <w:sz w:val="24"/>
          <w:szCs w:val="24"/>
          <w:lang w:val="en-ID"/>
        </w:rPr>
        <w:t>, and assess legal responsibilities in both medical and administrative communication within hospital settings.</w:t>
      </w:r>
    </w:p>
    <w:p w14:paraId="78FA82CA" w14:textId="20F4EEF9"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 xml:space="preserve">However, despite its recognized urgency within various normative frameworks, regulation of communication in healthcare services in Indonesia remains fragmented and lacks systematic integration. For instance, Ministry of Health Regulation No. 290 of 2008 concerning Medical Consent only governs the technical aspects of information delivery and consent acquisition, without addressing communication methods, interaction quality, or the legal mechanisms </w:t>
      </w:r>
      <w:r w:rsidR="00C57E69" w:rsidRPr="00C57E69">
        <w:rPr>
          <w:rFonts w:ascii="Adobe Garamond Pro" w:hAnsi="Adobe Garamond Pro"/>
          <w:sz w:val="24"/>
          <w:szCs w:val="24"/>
          <w:lang w:val="en-ID"/>
        </w:rPr>
        <w:lastRenderedPageBreak/>
        <w:t>for communication documentation.</w:t>
      </w:r>
      <w:r w:rsidR="00C57E69" w:rsidRPr="00C57E69">
        <w:rPr>
          <w:rFonts w:ascii="Adobe Garamond Pro" w:hAnsi="Adobe Garamond Pro"/>
          <w:sz w:val="24"/>
          <w:szCs w:val="24"/>
          <w:vertAlign w:val="superscript"/>
          <w:lang w:val="en-ID"/>
        </w:rPr>
        <w:footnoteReference w:id="6"/>
      </w:r>
      <w:r w:rsidR="00C57E69" w:rsidRPr="00C57E69">
        <w:rPr>
          <w:rFonts w:ascii="Adobe Garamond Pro" w:hAnsi="Adobe Garamond Pro"/>
          <w:sz w:val="24"/>
          <w:szCs w:val="24"/>
          <w:lang w:val="en-ID"/>
        </w:rPr>
        <w:t xml:space="preserve"> This leaves gaps in actual practice, where communication is still perceived as an unmeasurable individual task, rather than as an institutional obligation that must be standardized and legally accountable. The absence of explicit legal requirements for hospitals to implement standardized communication methods—such as SBAR or closed-loop communication—indicates the legal system's weakness in supporting patient safety instruments that are based on effective communication.</w:t>
      </w:r>
    </w:p>
    <w:p w14:paraId="587680DE" w14:textId="77777777" w:rsidR="00552229" w:rsidRDefault="00552229" w:rsidP="00C57E69">
      <w:pPr>
        <w:tabs>
          <w:tab w:val="left" w:pos="0"/>
        </w:tabs>
        <w:spacing w:after="0" w:line="240" w:lineRule="auto"/>
        <w:jc w:val="both"/>
        <w:rPr>
          <w:rFonts w:ascii="Adobe Garamond Pro" w:hAnsi="Adobe Garamond Pro"/>
          <w:b/>
          <w:bCs/>
          <w:sz w:val="24"/>
          <w:szCs w:val="24"/>
          <w:lang w:val="en-ID"/>
        </w:rPr>
      </w:pPr>
    </w:p>
    <w:p w14:paraId="3D7887E7" w14:textId="4CBBB75E" w:rsidR="00C57E69" w:rsidRPr="00C57E69" w:rsidRDefault="00C57E69" w:rsidP="00C57E69">
      <w:pPr>
        <w:tabs>
          <w:tab w:val="left" w:pos="0"/>
        </w:tabs>
        <w:spacing w:after="0" w:line="240" w:lineRule="auto"/>
        <w:jc w:val="both"/>
        <w:rPr>
          <w:rFonts w:ascii="Adobe Garamond Pro" w:hAnsi="Adobe Garamond Pro"/>
          <w:b/>
          <w:bCs/>
          <w:sz w:val="24"/>
          <w:szCs w:val="24"/>
          <w:lang w:val="en-ID"/>
        </w:rPr>
      </w:pPr>
      <w:r w:rsidRPr="00C57E69">
        <w:rPr>
          <w:rFonts w:ascii="Adobe Garamond Pro" w:hAnsi="Adobe Garamond Pro"/>
          <w:b/>
          <w:bCs/>
          <w:sz w:val="24"/>
          <w:szCs w:val="24"/>
          <w:lang w:val="en-ID"/>
        </w:rPr>
        <w:t>Research Method</w:t>
      </w:r>
    </w:p>
    <w:p w14:paraId="23A319FF" w14:textId="1B6D380E" w:rsidR="0055222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 xml:space="preserve">This study employs a normative juridical research method with a conceptual and statutory approach. The normative juridical approach focuses on </w:t>
      </w:r>
      <w:proofErr w:type="spellStart"/>
      <w:r w:rsidR="00C57E69" w:rsidRPr="00C57E69">
        <w:rPr>
          <w:rFonts w:ascii="Adobe Garamond Pro" w:hAnsi="Adobe Garamond Pro"/>
          <w:sz w:val="24"/>
          <w:szCs w:val="24"/>
          <w:lang w:val="en-ID"/>
        </w:rPr>
        <w:t>analyzing</w:t>
      </w:r>
      <w:proofErr w:type="spellEnd"/>
      <w:r w:rsidR="00C57E69" w:rsidRPr="00C57E69">
        <w:rPr>
          <w:rFonts w:ascii="Adobe Garamond Pro" w:hAnsi="Adobe Garamond Pro"/>
          <w:sz w:val="24"/>
          <w:szCs w:val="24"/>
          <w:lang w:val="en-ID"/>
        </w:rPr>
        <w:t xml:space="preserve"> legal norms that regulate communication within hospital settings, particularly as outlined in Law Number 17 of 2023 on Health and related ministerial regulations. This method is appropriate for identifying the legal basis, obligations, and responsibilities of health professionals and healthcare institutions in delivering, documenting, and managing communication as part of their services.</w:t>
      </w:r>
      <w:r>
        <w:rPr>
          <w:rFonts w:ascii="Adobe Garamond Pro" w:hAnsi="Adobe Garamond Pro"/>
          <w:sz w:val="24"/>
          <w:szCs w:val="24"/>
          <w:lang w:val="en-ID"/>
        </w:rPr>
        <w:t xml:space="preserve"> </w:t>
      </w:r>
      <w:proofErr w:type="gramStart"/>
      <w:r w:rsidR="00C57E69" w:rsidRPr="00C57E69">
        <w:rPr>
          <w:rFonts w:ascii="Adobe Garamond Pro" w:hAnsi="Adobe Garamond Pro"/>
          <w:sz w:val="24"/>
          <w:szCs w:val="24"/>
          <w:lang w:val="en-ID"/>
        </w:rPr>
        <w:t>Additionally</w:t>
      </w:r>
      <w:proofErr w:type="gramEnd"/>
      <w:r w:rsidR="00C57E69" w:rsidRPr="00C57E69">
        <w:rPr>
          <w:rFonts w:ascii="Adobe Garamond Pro" w:hAnsi="Adobe Garamond Pro"/>
          <w:sz w:val="24"/>
          <w:szCs w:val="24"/>
          <w:lang w:val="en-ID"/>
        </w:rPr>
        <w:t>, the conceptual approach is used to explore doctrinal interpretations of informed consent, medical records, patient rights, and legal liability in clinical communication. Several legal doctrines from both Indonesian and international health law literature are examined to build a comprehensive understanding of how communication is treated as a legal subject, not merely a professional obligation.</w:t>
      </w:r>
    </w:p>
    <w:p w14:paraId="7F1A2140" w14:textId="43291DE8" w:rsid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Data sources include primary legal materials, such as legislation, court decisions, and professional regulations, as well as secondary materials in the form of books, journal articles, and institutional reports from relevant health and legal bodies. The analysis is conducted qualitatively and descriptively to present an in-depth understanding of the legal dimensions of communication in hospitals and its relevance to the protection of patient rights and professional accountability.</w:t>
      </w:r>
    </w:p>
    <w:p w14:paraId="19B4A282" w14:textId="77777777" w:rsidR="00552229" w:rsidRPr="00C57E69" w:rsidRDefault="00552229" w:rsidP="00C57E69">
      <w:pPr>
        <w:tabs>
          <w:tab w:val="left" w:pos="0"/>
        </w:tabs>
        <w:spacing w:after="0" w:line="240" w:lineRule="auto"/>
        <w:jc w:val="both"/>
        <w:rPr>
          <w:rFonts w:ascii="Adobe Garamond Pro" w:hAnsi="Adobe Garamond Pro"/>
          <w:sz w:val="24"/>
          <w:szCs w:val="24"/>
          <w:lang w:val="en-ID"/>
        </w:rPr>
      </w:pPr>
    </w:p>
    <w:p w14:paraId="287A83D2" w14:textId="77777777" w:rsidR="00C57E69" w:rsidRPr="00C57E69" w:rsidRDefault="00C57E69" w:rsidP="00552229">
      <w:p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b/>
          <w:bCs/>
          <w:sz w:val="24"/>
          <w:szCs w:val="24"/>
        </w:rPr>
        <w:t>Results and Discussion</w:t>
      </w:r>
    </w:p>
    <w:p w14:paraId="7F1FD498" w14:textId="248CD967" w:rsidR="00C57E69" w:rsidRPr="00C57E69" w:rsidRDefault="00C57E69" w:rsidP="00C57E69">
      <w:pPr>
        <w:numPr>
          <w:ilvl w:val="0"/>
          <w:numId w:val="49"/>
        </w:num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b/>
          <w:bCs/>
          <w:sz w:val="24"/>
          <w:szCs w:val="24"/>
        </w:rPr>
        <w:t>Classification of Communication in Hospitals and Its Legal Consequences</w:t>
      </w:r>
    </w:p>
    <w:p w14:paraId="567F1941" w14:textId="77777777" w:rsidR="00552229" w:rsidRDefault="00552229" w:rsidP="00C57E69">
      <w:pPr>
        <w:tabs>
          <w:tab w:val="left" w:pos="0"/>
        </w:tabs>
        <w:spacing w:after="0" w:line="240" w:lineRule="auto"/>
        <w:jc w:val="both"/>
        <w:rPr>
          <w:rFonts w:ascii="Adobe Garamond Pro" w:hAnsi="Adobe Garamond Pro"/>
          <w:sz w:val="24"/>
          <w:szCs w:val="24"/>
        </w:rPr>
      </w:pPr>
      <w:r>
        <w:rPr>
          <w:rFonts w:ascii="Adobe Garamond Pro" w:hAnsi="Adobe Garamond Pro"/>
          <w:sz w:val="24"/>
          <w:szCs w:val="24"/>
        </w:rPr>
        <w:tab/>
      </w:r>
      <w:r w:rsidR="00C57E69" w:rsidRPr="00C57E69">
        <w:rPr>
          <w:rFonts w:ascii="Adobe Garamond Pro" w:hAnsi="Adobe Garamond Pro"/>
          <w:sz w:val="24"/>
          <w:szCs w:val="24"/>
        </w:rPr>
        <w:t>Communication in hospitals can be classified into two major categories: clinical</w:t>
      </w:r>
      <w:r w:rsidRPr="00552229">
        <w:rPr>
          <w:rFonts w:ascii="Adobe Garamond Pro" w:hAnsi="Adobe Garamond Pro"/>
          <w:sz w:val="24"/>
          <w:szCs w:val="24"/>
        </w:rPr>
        <w:t xml:space="preserve"> </w:t>
      </w:r>
      <w:r w:rsidR="00C57E69" w:rsidRPr="00C57E69">
        <w:rPr>
          <w:rFonts w:ascii="Adobe Garamond Pro" w:hAnsi="Adobe Garamond Pro"/>
          <w:sz w:val="24"/>
          <w:szCs w:val="24"/>
        </w:rPr>
        <w:t>communication and administrative</w:t>
      </w:r>
      <w:r w:rsidRPr="00552229">
        <w:rPr>
          <w:rFonts w:ascii="Adobe Garamond Pro" w:hAnsi="Adobe Garamond Pro"/>
          <w:sz w:val="24"/>
          <w:szCs w:val="24"/>
        </w:rPr>
        <w:t xml:space="preserve"> </w:t>
      </w:r>
      <w:r w:rsidR="00C57E69" w:rsidRPr="00C57E69">
        <w:rPr>
          <w:rFonts w:ascii="Adobe Garamond Pro" w:hAnsi="Adobe Garamond Pro"/>
          <w:sz w:val="24"/>
          <w:szCs w:val="24"/>
        </w:rPr>
        <w:t xml:space="preserve">communication. These two types differ not only in terms of content and purpose but </w:t>
      </w:r>
      <w:r w:rsidR="00C57E69" w:rsidRPr="00C57E69">
        <w:rPr>
          <w:rFonts w:ascii="Adobe Garamond Pro" w:hAnsi="Adobe Garamond Pro"/>
          <w:sz w:val="24"/>
          <w:szCs w:val="24"/>
        </w:rPr>
        <w:lastRenderedPageBreak/>
        <w:t>also in their legal implications. In daily observations at healthcare facilities, the failure to distinguish between these types of communication often leads to misunderstandings between medical personnel and patients, and creates complications in determining legal responsibilities when disputes arise.</w:t>
      </w:r>
    </w:p>
    <w:p w14:paraId="75DAA66F" w14:textId="77777777" w:rsidR="00552229" w:rsidRDefault="00552229" w:rsidP="00C57E69">
      <w:pPr>
        <w:tabs>
          <w:tab w:val="left" w:pos="0"/>
        </w:tabs>
        <w:spacing w:after="0" w:line="240" w:lineRule="auto"/>
        <w:jc w:val="both"/>
        <w:rPr>
          <w:rFonts w:ascii="Adobe Garamond Pro" w:hAnsi="Adobe Garamond Pro"/>
          <w:sz w:val="24"/>
          <w:szCs w:val="24"/>
        </w:rPr>
      </w:pPr>
      <w:r>
        <w:rPr>
          <w:rFonts w:ascii="Adobe Garamond Pro" w:hAnsi="Adobe Garamond Pro"/>
          <w:sz w:val="24"/>
          <w:szCs w:val="24"/>
        </w:rPr>
        <w:tab/>
      </w:r>
      <w:r w:rsidR="00C57E69" w:rsidRPr="00C57E69">
        <w:rPr>
          <w:rFonts w:ascii="Adobe Garamond Pro" w:hAnsi="Adobe Garamond Pro"/>
          <w:sz w:val="24"/>
          <w:szCs w:val="24"/>
        </w:rPr>
        <w:t>Clinical communication encompasses all forms of interaction directly related to the diagnosis, therapy, and recovery process of patients. In academic classification, clinical communication is divided into two subtypes: therapeutic communication and interprofessional communication. Therapeutic communication occurs between medical personnel and patients, aiming to establish an empathetic relationship and enhance the patient’s understanding of their condition and treatment plan.</w:t>
      </w:r>
      <w:r w:rsidR="00C57E69" w:rsidRPr="00C57E69">
        <w:rPr>
          <w:rFonts w:ascii="Adobe Garamond Pro" w:hAnsi="Adobe Garamond Pro"/>
          <w:sz w:val="24"/>
          <w:szCs w:val="24"/>
          <w:vertAlign w:val="superscript"/>
        </w:rPr>
        <w:footnoteReference w:id="7"/>
      </w:r>
      <w:r w:rsidR="00C57E69" w:rsidRPr="00C57E69">
        <w:rPr>
          <w:rFonts w:ascii="Adobe Garamond Pro" w:hAnsi="Adobe Garamond Pro"/>
          <w:sz w:val="24"/>
          <w:szCs w:val="24"/>
        </w:rPr>
        <w:t xml:space="preserve"> In contrast, interprofessional communication takes place among fellow healthcare professionals—such as physicians, nurses, and pharmacists—as they develop and implement the patient’s therapeutic regimen.</w:t>
      </w:r>
    </w:p>
    <w:p w14:paraId="6A73B9B0" w14:textId="602FEE47" w:rsidR="00C57E69" w:rsidRPr="00C57E69" w:rsidRDefault="00552229" w:rsidP="00C57E69">
      <w:pPr>
        <w:tabs>
          <w:tab w:val="left" w:pos="0"/>
        </w:tabs>
        <w:spacing w:after="0" w:line="240" w:lineRule="auto"/>
        <w:jc w:val="both"/>
        <w:rPr>
          <w:rFonts w:ascii="Adobe Garamond Pro" w:hAnsi="Adobe Garamond Pro"/>
          <w:sz w:val="24"/>
          <w:szCs w:val="24"/>
        </w:rPr>
      </w:pPr>
      <w:r>
        <w:rPr>
          <w:rFonts w:ascii="Adobe Garamond Pro" w:hAnsi="Adobe Garamond Pro"/>
          <w:sz w:val="24"/>
          <w:szCs w:val="24"/>
        </w:rPr>
        <w:tab/>
      </w:r>
      <w:r w:rsidR="00C57E69" w:rsidRPr="00C57E69">
        <w:rPr>
          <w:rFonts w:ascii="Adobe Garamond Pro" w:hAnsi="Adobe Garamond Pro"/>
          <w:sz w:val="24"/>
          <w:szCs w:val="24"/>
        </w:rPr>
        <w:t>On the other hand, administrative communication is not directly related to medical treatment but supports the operational functions of the hospital. This includes communication related to patient registration, physician scheduling, insurance claims, and logistical management.</w:t>
      </w:r>
      <w:r w:rsidR="00C57E69" w:rsidRPr="00C57E69">
        <w:rPr>
          <w:rFonts w:ascii="Adobe Garamond Pro" w:hAnsi="Adobe Garamond Pro"/>
          <w:sz w:val="24"/>
          <w:szCs w:val="24"/>
          <w:vertAlign w:val="superscript"/>
        </w:rPr>
        <w:footnoteReference w:id="8"/>
      </w:r>
      <w:r w:rsidR="00C57E69" w:rsidRPr="00C57E69">
        <w:rPr>
          <w:rFonts w:ascii="Adobe Garamond Pro" w:hAnsi="Adobe Garamond Pro"/>
          <w:sz w:val="24"/>
          <w:szCs w:val="24"/>
        </w:rPr>
        <w:t xml:space="preserve"> Although non-clinical in nature, administrative communication still carries the potential for legal conflict, especially when it results in misinformation or delays in services that affect patient safety.</w:t>
      </w:r>
    </w:p>
    <w:p w14:paraId="74A77D89" w14:textId="6B878905" w:rsidR="00C57E69" w:rsidRPr="00C57E69" w:rsidRDefault="00552229" w:rsidP="00C57E69">
      <w:pPr>
        <w:tabs>
          <w:tab w:val="left" w:pos="0"/>
        </w:tabs>
        <w:spacing w:after="0" w:line="240" w:lineRule="auto"/>
        <w:jc w:val="both"/>
        <w:rPr>
          <w:rFonts w:ascii="Adobe Garamond Pro" w:hAnsi="Adobe Garamond Pro"/>
          <w:sz w:val="24"/>
          <w:szCs w:val="24"/>
        </w:rPr>
      </w:pPr>
      <w:r>
        <w:rPr>
          <w:rFonts w:ascii="Adobe Garamond Pro" w:hAnsi="Adobe Garamond Pro"/>
          <w:sz w:val="24"/>
          <w:szCs w:val="24"/>
        </w:rPr>
        <w:tab/>
      </w:r>
      <w:r w:rsidR="00C57E69" w:rsidRPr="00C57E69">
        <w:rPr>
          <w:rFonts w:ascii="Adobe Garamond Pro" w:hAnsi="Adobe Garamond Pro"/>
          <w:sz w:val="24"/>
          <w:szCs w:val="24"/>
        </w:rPr>
        <w:t>From a legal standpoint, clinical communication bears a heavier legal burden because it involves the patient’s fundamental rights to information, consent, and safety. Law Number 17 of 2023 on Health obligates healthcare professionals to provide complete and accurate information and to obtain consent prior to any medical intervention.</w:t>
      </w:r>
      <w:r w:rsidR="00C57E69" w:rsidRPr="00C57E69">
        <w:rPr>
          <w:rFonts w:ascii="Adobe Garamond Pro" w:hAnsi="Adobe Garamond Pro"/>
          <w:sz w:val="24"/>
          <w:szCs w:val="24"/>
          <w:vertAlign w:val="superscript"/>
        </w:rPr>
        <w:footnoteReference w:id="9"/>
      </w:r>
      <w:r w:rsidR="00C57E69" w:rsidRPr="00C57E69">
        <w:rPr>
          <w:rFonts w:ascii="Adobe Garamond Pro" w:hAnsi="Adobe Garamond Pro"/>
          <w:sz w:val="24"/>
          <w:szCs w:val="24"/>
        </w:rPr>
        <w:t xml:space="preserve"> Meanwhile, administrative communication may lead to contractual breaches, including non-performance of hospital obligations to patients or third parties such as the national health insurance agency (BPJS).</w:t>
      </w:r>
    </w:p>
    <w:p w14:paraId="5887E07D" w14:textId="49A06A0B" w:rsidR="00C57E69" w:rsidRPr="00C57E69" w:rsidRDefault="00552229" w:rsidP="00C57E69">
      <w:pPr>
        <w:tabs>
          <w:tab w:val="left" w:pos="0"/>
        </w:tabs>
        <w:spacing w:after="0" w:line="240" w:lineRule="auto"/>
        <w:jc w:val="both"/>
        <w:rPr>
          <w:rFonts w:ascii="Adobe Garamond Pro" w:hAnsi="Adobe Garamond Pro"/>
          <w:sz w:val="24"/>
          <w:szCs w:val="24"/>
        </w:rPr>
      </w:pPr>
      <w:r>
        <w:rPr>
          <w:rFonts w:ascii="Adobe Garamond Pro" w:hAnsi="Adobe Garamond Pro"/>
          <w:sz w:val="24"/>
          <w:szCs w:val="24"/>
        </w:rPr>
        <w:tab/>
      </w:r>
      <w:r w:rsidR="00C57E69" w:rsidRPr="00C57E69">
        <w:rPr>
          <w:rFonts w:ascii="Adobe Garamond Pro" w:hAnsi="Adobe Garamond Pro"/>
          <w:sz w:val="24"/>
          <w:szCs w:val="24"/>
        </w:rPr>
        <w:t xml:space="preserve">The practical implication of this classification is the need for standardized procedures tailored to each type of communication. Hospitals must establish stricter and well-documented protocols for clinical communication, while administrative communication must adhere to principles of organizational accountability. Failure to </w:t>
      </w:r>
      <w:r w:rsidR="00C57E69" w:rsidRPr="00C57E69">
        <w:rPr>
          <w:rFonts w:ascii="Adobe Garamond Pro" w:hAnsi="Adobe Garamond Pro"/>
          <w:sz w:val="24"/>
          <w:szCs w:val="24"/>
        </w:rPr>
        <w:lastRenderedPageBreak/>
        <w:t>differentiate between the two may result in weak evidentiary support in court and confusion during medical audits or professional ethics investigations.</w:t>
      </w:r>
    </w:p>
    <w:p w14:paraId="2CFD85DC" w14:textId="77777777" w:rsidR="00552229" w:rsidRDefault="00552229" w:rsidP="00C57E69">
      <w:pPr>
        <w:tabs>
          <w:tab w:val="left" w:pos="0"/>
        </w:tabs>
        <w:spacing w:after="0" w:line="240" w:lineRule="auto"/>
        <w:jc w:val="both"/>
        <w:rPr>
          <w:rFonts w:ascii="Adobe Garamond Pro" w:hAnsi="Adobe Garamond Pro"/>
          <w:b/>
          <w:bCs/>
          <w:sz w:val="24"/>
          <w:szCs w:val="24"/>
        </w:rPr>
      </w:pPr>
    </w:p>
    <w:p w14:paraId="6FBBEEA7" w14:textId="01AB8AEE" w:rsidR="00C57E69" w:rsidRPr="00C57E69" w:rsidRDefault="00C57E69" w:rsidP="00C57E69">
      <w:pPr>
        <w:tabs>
          <w:tab w:val="left" w:pos="0"/>
        </w:tabs>
        <w:spacing w:after="0" w:line="240" w:lineRule="auto"/>
        <w:jc w:val="both"/>
        <w:rPr>
          <w:rFonts w:ascii="Adobe Garamond Pro" w:hAnsi="Adobe Garamond Pro"/>
          <w:b/>
          <w:bCs/>
          <w:sz w:val="24"/>
          <w:szCs w:val="24"/>
        </w:rPr>
      </w:pPr>
      <w:r w:rsidRPr="00C57E69">
        <w:rPr>
          <w:rFonts w:ascii="Adobe Garamond Pro" w:hAnsi="Adobe Garamond Pro"/>
          <w:b/>
          <w:bCs/>
          <w:sz w:val="24"/>
          <w:szCs w:val="24"/>
        </w:rPr>
        <w:t>B. Standardization of Effective Communication: SBAR and Closed-Loop Communication</w:t>
      </w:r>
    </w:p>
    <w:p w14:paraId="2703F5E6" w14:textId="065D62E9"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The high workload, frequent rotation of healthcare personnel, and the complexity of medical information make communication in hospitals highly prone to errors. Therefore, the standardization of communication has become an urgent necessity. Two communication methods that are widely recognized and increasingly adopted in many Indonesian hospitals are SBAR (Situation, Background, Assessment, Recommendation) and Closed-Loop Communication.</w:t>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The SBAR method allows for concise yet comprehensive communication, making it highly effective in emergency situations or during inter-shift handovers. Originally developed by the U.S. Navy, this method was later adopted by healthcare institutions due to its ability to structure information systematically.</w:t>
      </w:r>
      <w:r w:rsidR="00C57E69" w:rsidRPr="00C57E69">
        <w:rPr>
          <w:rFonts w:ascii="Adobe Garamond Pro" w:hAnsi="Adobe Garamond Pro"/>
          <w:sz w:val="24"/>
          <w:szCs w:val="24"/>
          <w:vertAlign w:val="superscript"/>
          <w:lang w:val="en-ID"/>
        </w:rPr>
        <w:footnoteReference w:id="10"/>
      </w:r>
      <w:r w:rsidR="00C57E69" w:rsidRPr="00C57E69">
        <w:rPr>
          <w:rFonts w:ascii="Adobe Garamond Pro" w:hAnsi="Adobe Garamond Pro"/>
          <w:sz w:val="24"/>
          <w:szCs w:val="24"/>
          <w:lang w:val="en-ID"/>
        </w:rPr>
        <w:t xml:space="preserve"> For example, when a nurse reports a patient’s declining blood pressure, the report must include the current situation (S), the patient’s medical background (B), an analysis or suspected cause (A), and the recommended action (R). The use of SBAR has been shown to significantly reduce communication-related incidents in various hospital settings.</w:t>
      </w:r>
      <w:r w:rsidR="00C57E69" w:rsidRPr="00C57E69">
        <w:rPr>
          <w:rFonts w:ascii="Adobe Garamond Pro" w:hAnsi="Adobe Garamond Pro"/>
          <w:sz w:val="24"/>
          <w:szCs w:val="24"/>
          <w:vertAlign w:val="superscript"/>
          <w:lang w:val="en-ID"/>
        </w:rPr>
        <w:footnoteReference w:id="11"/>
      </w:r>
    </w:p>
    <w:p w14:paraId="55B71342" w14:textId="5CEBCF76"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Meanwhile, Closed-Loop</w:t>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Communication</w:t>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emphasizes</w:t>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the</w:t>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verbal</w:t>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confirmation of messages by the receiver as proof that the message has been accurately received and understood. This method is especially critical in high-risk medical situations, such as administering narcotics or performing resuscitation. In practice, a nurse must not simply respond, “Yes, Doctor,” but instead repeat the instruction verbatim. This approach not only ensures accuracy but also provides a clearer communication trail for legal verification in the event of disputes.</w:t>
      </w:r>
      <w:r w:rsidR="00C57E69" w:rsidRPr="00C57E69">
        <w:rPr>
          <w:rFonts w:ascii="Adobe Garamond Pro" w:hAnsi="Adobe Garamond Pro"/>
          <w:sz w:val="24"/>
          <w:szCs w:val="24"/>
          <w:vertAlign w:val="superscript"/>
          <w:lang w:val="en-ID"/>
        </w:rPr>
        <w:footnoteReference w:id="12"/>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 xml:space="preserve">From a legal perspective, the implementation of these methods should be regarded as part of the legal duty of care. In both common law and civil law systems, professional caution is often measured by adherence to generally accepted standard practices. Hence, </w:t>
      </w:r>
      <w:r w:rsidR="00C57E69" w:rsidRPr="00C57E69">
        <w:rPr>
          <w:rFonts w:ascii="Adobe Garamond Pro" w:hAnsi="Adobe Garamond Pro"/>
          <w:sz w:val="24"/>
          <w:szCs w:val="24"/>
          <w:lang w:val="en-ID"/>
        </w:rPr>
        <w:lastRenderedPageBreak/>
        <w:t>hospitals that fail to implement communication standards may be considered to have violated their legal obligation to protect patients.</w:t>
      </w:r>
      <w:r w:rsidR="00C57E69" w:rsidRPr="00C57E69">
        <w:rPr>
          <w:rFonts w:ascii="Adobe Garamond Pro" w:hAnsi="Adobe Garamond Pro"/>
          <w:sz w:val="24"/>
          <w:szCs w:val="24"/>
          <w:vertAlign w:val="superscript"/>
          <w:lang w:val="en-ID"/>
        </w:rPr>
        <w:footnoteReference w:id="13"/>
      </w:r>
    </w:p>
    <w:p w14:paraId="3E4D79ED" w14:textId="77777777" w:rsidR="00552229" w:rsidRDefault="00C57E69" w:rsidP="00552229">
      <w:p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t>Unfortunately, there is currently no positive regulation in Indonesia that explicitly</w:t>
      </w:r>
      <w:r w:rsidRPr="00C57E69">
        <w:rPr>
          <w:rFonts w:ascii="Adobe Garamond Pro" w:hAnsi="Adobe Garamond Pro"/>
          <w:b/>
          <w:bCs/>
          <w:sz w:val="24"/>
          <w:szCs w:val="24"/>
          <w:lang w:val="en-ID"/>
        </w:rPr>
        <w:t xml:space="preserve"> </w:t>
      </w:r>
      <w:r w:rsidRPr="00C57E69">
        <w:rPr>
          <w:rFonts w:ascii="Adobe Garamond Pro" w:hAnsi="Adobe Garamond Pro"/>
          <w:sz w:val="24"/>
          <w:szCs w:val="24"/>
          <w:lang w:val="en-ID"/>
        </w:rPr>
        <w:t>mandates the use of SBAR or other standardized communication methods in hospital practice. This legal vacuum creates a potential liability gap that may harm both patients and healthcare professionals. It is therefore essential for hospitals to establish internal written</w:t>
      </w:r>
      <w:r w:rsidRPr="00C57E69">
        <w:rPr>
          <w:rFonts w:ascii="Adobe Garamond Pro" w:hAnsi="Adobe Garamond Pro"/>
          <w:b/>
          <w:bCs/>
          <w:sz w:val="24"/>
          <w:szCs w:val="24"/>
          <w:lang w:val="en-ID"/>
        </w:rPr>
        <w:t xml:space="preserve"> </w:t>
      </w:r>
      <w:r w:rsidRPr="00C57E69">
        <w:rPr>
          <w:rFonts w:ascii="Adobe Garamond Pro" w:hAnsi="Adobe Garamond Pro"/>
          <w:sz w:val="24"/>
          <w:szCs w:val="24"/>
          <w:lang w:val="en-ID"/>
        </w:rPr>
        <w:t>policies regarding communication methods as part of their quality management and patient safety systems.</w:t>
      </w:r>
    </w:p>
    <w:p w14:paraId="0C6F01BC" w14:textId="77777777" w:rsidR="00552229" w:rsidRDefault="00552229" w:rsidP="00552229">
      <w:pPr>
        <w:tabs>
          <w:tab w:val="left" w:pos="0"/>
        </w:tabs>
        <w:spacing w:after="0" w:line="240" w:lineRule="auto"/>
        <w:jc w:val="both"/>
        <w:rPr>
          <w:rFonts w:ascii="Adobe Garamond Pro" w:hAnsi="Adobe Garamond Pro"/>
          <w:sz w:val="24"/>
          <w:szCs w:val="24"/>
          <w:lang w:val="en-ID"/>
        </w:rPr>
      </w:pPr>
    </w:p>
    <w:p w14:paraId="74D19CA3" w14:textId="3D4B4A52" w:rsidR="00C57E69" w:rsidRPr="00C57E69" w:rsidRDefault="00C57E69" w:rsidP="00552229">
      <w:p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b/>
          <w:bCs/>
          <w:sz w:val="24"/>
          <w:szCs w:val="24"/>
        </w:rPr>
        <w:t>C. Legal Aspects of Medical Interview and Explanation</w:t>
      </w:r>
    </w:p>
    <w:p w14:paraId="63AB63B8" w14:textId="54F0D533" w:rsidR="00C57E69" w:rsidRPr="00C57E69" w:rsidRDefault="00552229" w:rsidP="00C57E69">
      <w:pPr>
        <w:tabs>
          <w:tab w:val="left" w:pos="0"/>
        </w:tabs>
        <w:spacing w:after="0" w:line="240" w:lineRule="auto"/>
        <w:jc w:val="both"/>
        <w:rPr>
          <w:rFonts w:ascii="Adobe Garamond Pro" w:hAnsi="Adobe Garamond Pro"/>
          <w:sz w:val="24"/>
          <w:szCs w:val="24"/>
        </w:rPr>
      </w:pPr>
      <w:r>
        <w:rPr>
          <w:rFonts w:ascii="Adobe Garamond Pro" w:hAnsi="Adobe Garamond Pro"/>
          <w:sz w:val="24"/>
          <w:szCs w:val="24"/>
        </w:rPr>
        <w:tab/>
      </w:r>
      <w:r w:rsidR="00C57E69" w:rsidRPr="00C57E69">
        <w:rPr>
          <w:rFonts w:ascii="Adobe Garamond Pro" w:hAnsi="Adobe Garamond Pro"/>
          <w:sz w:val="24"/>
          <w:szCs w:val="24"/>
        </w:rPr>
        <w:t>One of the most crucial stages in the healthcare service process is the medical interview and the delivery of medical explanation to the patient. Although often perceived as routine steps at the beginning of clinical encounters, these elements are in fact part of the legal obligations of medical professionals</w:t>
      </w:r>
      <w:r w:rsidR="00C57E69" w:rsidRPr="00C57E69">
        <w:rPr>
          <w:rFonts w:ascii="Adobe Garamond Pro" w:hAnsi="Adobe Garamond Pro"/>
          <w:b/>
          <w:sz w:val="24"/>
          <w:szCs w:val="24"/>
        </w:rPr>
        <w:t> </w:t>
      </w:r>
      <w:r w:rsidR="00C57E69" w:rsidRPr="00C57E69">
        <w:rPr>
          <w:rFonts w:ascii="Adobe Garamond Pro" w:hAnsi="Adobe Garamond Pro"/>
          <w:sz w:val="24"/>
          <w:szCs w:val="24"/>
        </w:rPr>
        <w:t>that directly affect the validity of medical actions and the protection of patient rights. In the context of health law, this stage is closely related to the principles of patient autonomy, the right to information, and the mechanism of consent or refusal of medical procedures.</w:t>
      </w:r>
      <w:r>
        <w:rPr>
          <w:rFonts w:ascii="Adobe Garamond Pro" w:hAnsi="Adobe Garamond Pro"/>
          <w:sz w:val="24"/>
          <w:szCs w:val="24"/>
        </w:rPr>
        <w:t xml:space="preserve"> </w:t>
      </w:r>
      <w:r w:rsidR="00C57E69" w:rsidRPr="00C57E69">
        <w:rPr>
          <w:rFonts w:ascii="Adobe Garamond Pro" w:hAnsi="Adobe Garamond Pro"/>
          <w:sz w:val="24"/>
          <w:szCs w:val="24"/>
        </w:rPr>
        <w:t>Law Number 29 of 2004 on Medical Practice—which has been formally repealed by Article 456(a) of Law Number 17 of 2023 on Health—previously stated that physicians and dentists with a valid practice registration certificate (STR) are authorized to perform medical practices, including interviewing patients, conducting physical and mental examinations, and determining further diagnostic tests.</w:t>
      </w:r>
      <w:r w:rsidR="00C57E69" w:rsidRPr="00C57E69">
        <w:rPr>
          <w:rFonts w:ascii="Adobe Garamond Pro" w:hAnsi="Adobe Garamond Pro"/>
          <w:sz w:val="24"/>
          <w:szCs w:val="24"/>
          <w:vertAlign w:val="superscript"/>
        </w:rPr>
        <w:footnoteReference w:id="14"/>
      </w:r>
      <w:r w:rsidR="00C57E69" w:rsidRPr="00C57E69">
        <w:rPr>
          <w:rFonts w:ascii="Adobe Garamond Pro" w:hAnsi="Adobe Garamond Pro"/>
          <w:sz w:val="24"/>
          <w:szCs w:val="24"/>
        </w:rPr>
        <w:t xml:space="preserve"> The substance of this regulation has been preserved in the new Health Law, although restructured into a more comprehensive normative framework.</w:t>
      </w:r>
    </w:p>
    <w:p w14:paraId="212C8F3D" w14:textId="259369DA" w:rsidR="00C57E69" w:rsidRPr="00C57E69" w:rsidRDefault="00552229" w:rsidP="00C57E69">
      <w:pPr>
        <w:tabs>
          <w:tab w:val="left" w:pos="0"/>
        </w:tabs>
        <w:spacing w:after="0" w:line="240" w:lineRule="auto"/>
        <w:jc w:val="both"/>
        <w:rPr>
          <w:rFonts w:ascii="Adobe Garamond Pro" w:hAnsi="Adobe Garamond Pro"/>
          <w:sz w:val="24"/>
          <w:szCs w:val="24"/>
        </w:rPr>
      </w:pPr>
      <w:r>
        <w:rPr>
          <w:rFonts w:ascii="Adobe Garamond Pro" w:hAnsi="Adobe Garamond Pro"/>
          <w:sz w:val="24"/>
          <w:szCs w:val="24"/>
        </w:rPr>
        <w:tab/>
      </w:r>
      <w:r w:rsidR="00C57E69" w:rsidRPr="00C57E69">
        <w:rPr>
          <w:rFonts w:ascii="Adobe Garamond Pro" w:hAnsi="Adobe Garamond Pro"/>
          <w:sz w:val="24"/>
          <w:szCs w:val="24"/>
        </w:rPr>
        <w:t>Furthermore, delivering a medical explanation represents the patient’s right to be informed clearly about their condition, including associated risks and available alternatives. Articles 293 and 294 of Law Number 17 of 2023 on Health stipulate several essential elements that must be disclosed by healthcare providers prior to any medical intervention: the diagnosis, medical indication, type of action to be taken, risks, complications, alternatives, risks if no action is taken, prognosis, and estimated cost.</w:t>
      </w:r>
      <w:r w:rsidR="00C57E69" w:rsidRPr="00C57E69">
        <w:rPr>
          <w:rFonts w:ascii="Adobe Garamond Pro" w:hAnsi="Adobe Garamond Pro"/>
          <w:sz w:val="24"/>
          <w:szCs w:val="24"/>
          <w:vertAlign w:val="superscript"/>
        </w:rPr>
        <w:footnoteReference w:id="15"/>
      </w:r>
      <w:r>
        <w:rPr>
          <w:rFonts w:ascii="Adobe Garamond Pro" w:hAnsi="Adobe Garamond Pro"/>
          <w:sz w:val="24"/>
          <w:szCs w:val="24"/>
        </w:rPr>
        <w:t xml:space="preserve"> </w:t>
      </w:r>
      <w:r w:rsidR="00C57E69" w:rsidRPr="00C57E69">
        <w:rPr>
          <w:rFonts w:ascii="Adobe Garamond Pro" w:hAnsi="Adobe Garamond Pro"/>
          <w:sz w:val="24"/>
          <w:szCs w:val="24"/>
        </w:rPr>
        <w:t xml:space="preserve">In principle, this explanation must be conveyed in language that is easy to understand, and in a manner that </w:t>
      </w:r>
      <w:r w:rsidR="00C57E69" w:rsidRPr="00C57E69">
        <w:rPr>
          <w:rFonts w:ascii="Adobe Garamond Pro" w:hAnsi="Adobe Garamond Pro"/>
          <w:sz w:val="24"/>
          <w:szCs w:val="24"/>
        </w:rPr>
        <w:lastRenderedPageBreak/>
        <w:t>allows the patient or their family to make a well-informed decision. In fact, Ministry of Health Regulation No. 290 of 2008 on Medical Consent explicitly states that explanation must still be provided even if not requested by the patient, and must be documented in writing in the medical record.</w:t>
      </w:r>
      <w:r w:rsidR="00C57E69" w:rsidRPr="00C57E69">
        <w:rPr>
          <w:rFonts w:ascii="Adobe Garamond Pro" w:hAnsi="Adobe Garamond Pro"/>
          <w:sz w:val="24"/>
          <w:szCs w:val="24"/>
          <w:vertAlign w:val="superscript"/>
        </w:rPr>
        <w:footnoteReference w:id="16"/>
      </w:r>
    </w:p>
    <w:p w14:paraId="457FD234" w14:textId="78AC434C" w:rsidR="00C57E69" w:rsidRPr="00C57E69" w:rsidRDefault="00552229" w:rsidP="00C57E69">
      <w:pPr>
        <w:tabs>
          <w:tab w:val="left" w:pos="0"/>
        </w:tabs>
        <w:spacing w:after="0" w:line="240" w:lineRule="auto"/>
        <w:jc w:val="both"/>
        <w:rPr>
          <w:rFonts w:ascii="Adobe Garamond Pro" w:hAnsi="Adobe Garamond Pro"/>
          <w:sz w:val="24"/>
          <w:szCs w:val="24"/>
        </w:rPr>
      </w:pPr>
      <w:r>
        <w:rPr>
          <w:rFonts w:ascii="Adobe Garamond Pro" w:hAnsi="Adobe Garamond Pro"/>
          <w:sz w:val="24"/>
          <w:szCs w:val="24"/>
        </w:rPr>
        <w:tab/>
      </w:r>
      <w:r w:rsidR="00C57E69" w:rsidRPr="00C57E69">
        <w:rPr>
          <w:rFonts w:ascii="Adobe Garamond Pro" w:hAnsi="Adobe Garamond Pro"/>
          <w:sz w:val="24"/>
          <w:szCs w:val="24"/>
        </w:rPr>
        <w:t>The classical view of Hippocrates also emphasizes the importance of communication in healthcare. In his teaching, it is stated:</w:t>
      </w:r>
    </w:p>
    <w:p w14:paraId="7D702D42" w14:textId="6F5110DD" w:rsidR="00C57E69" w:rsidRPr="00C57E69" w:rsidRDefault="00C57E69" w:rsidP="00C57E69">
      <w:pPr>
        <w:tabs>
          <w:tab w:val="left" w:pos="0"/>
        </w:tabs>
        <w:spacing w:after="0" w:line="240" w:lineRule="auto"/>
        <w:jc w:val="both"/>
        <w:rPr>
          <w:rFonts w:ascii="Adobe Garamond Pro" w:hAnsi="Adobe Garamond Pro"/>
          <w:sz w:val="24"/>
          <w:szCs w:val="24"/>
        </w:rPr>
      </w:pPr>
      <w:r w:rsidRPr="00C57E69">
        <w:rPr>
          <w:rFonts w:ascii="Adobe Garamond Pro" w:hAnsi="Adobe Garamond Pro"/>
          <w:sz w:val="24"/>
          <w:szCs w:val="24"/>
        </w:rPr>
        <w:t>“The best physician is the one who has providence to tell to the patients according to his knowledge the present situation, what has happened before, and what is going to happen in the future.”</w:t>
      </w:r>
      <w:r w:rsidRPr="00C57E69">
        <w:rPr>
          <w:rFonts w:ascii="Adobe Garamond Pro" w:hAnsi="Adobe Garamond Pro"/>
          <w:sz w:val="24"/>
          <w:szCs w:val="24"/>
          <w:vertAlign w:val="superscript"/>
        </w:rPr>
        <w:footnoteReference w:id="17"/>
      </w:r>
      <w:r w:rsidR="00552229">
        <w:rPr>
          <w:rFonts w:ascii="Adobe Garamond Pro" w:hAnsi="Adobe Garamond Pro"/>
          <w:sz w:val="24"/>
          <w:szCs w:val="24"/>
        </w:rPr>
        <w:t xml:space="preserve"> </w:t>
      </w:r>
      <w:r w:rsidRPr="00C57E69">
        <w:rPr>
          <w:rFonts w:ascii="Adobe Garamond Pro" w:hAnsi="Adobe Garamond Pro"/>
          <w:sz w:val="24"/>
          <w:szCs w:val="24"/>
        </w:rPr>
        <w:t>This means a good doctor is not only skilled in diagnosis but also able to explain honestly and proportionately about the patient’s condition.</w:t>
      </w:r>
      <w:r w:rsidR="00552229">
        <w:rPr>
          <w:rFonts w:ascii="Adobe Garamond Pro" w:hAnsi="Adobe Garamond Pro"/>
          <w:sz w:val="24"/>
          <w:szCs w:val="24"/>
        </w:rPr>
        <w:t xml:space="preserve"> </w:t>
      </w:r>
      <w:r w:rsidRPr="00C57E69">
        <w:rPr>
          <w:rFonts w:ascii="Adobe Garamond Pro" w:hAnsi="Adobe Garamond Pro"/>
          <w:sz w:val="24"/>
          <w:szCs w:val="24"/>
        </w:rPr>
        <w:t>From a contemporary perspective, patient-centered</w:t>
      </w:r>
      <w:r w:rsidR="00552229">
        <w:rPr>
          <w:rFonts w:ascii="Adobe Garamond Pro" w:hAnsi="Adobe Garamond Pro"/>
          <w:sz w:val="24"/>
          <w:szCs w:val="24"/>
        </w:rPr>
        <w:t xml:space="preserve"> </w:t>
      </w:r>
      <w:r w:rsidRPr="00C57E69">
        <w:rPr>
          <w:rFonts w:ascii="Adobe Garamond Pro" w:hAnsi="Adobe Garamond Pro"/>
          <w:sz w:val="24"/>
          <w:szCs w:val="24"/>
        </w:rPr>
        <w:t>communication</w:t>
      </w:r>
      <w:r w:rsidR="00552229">
        <w:rPr>
          <w:rFonts w:ascii="Adobe Garamond Pro" w:hAnsi="Adobe Garamond Pro"/>
          <w:b/>
          <w:sz w:val="24"/>
          <w:szCs w:val="24"/>
        </w:rPr>
        <w:t xml:space="preserve"> </w:t>
      </w:r>
      <w:r w:rsidRPr="00C57E69">
        <w:rPr>
          <w:rFonts w:ascii="Adobe Garamond Pro" w:hAnsi="Adobe Garamond Pro"/>
          <w:sz w:val="24"/>
          <w:szCs w:val="24"/>
        </w:rPr>
        <w:t>is</w:t>
      </w:r>
      <w:r w:rsidR="00552229">
        <w:rPr>
          <w:rFonts w:ascii="Adobe Garamond Pro" w:hAnsi="Adobe Garamond Pro"/>
          <w:sz w:val="24"/>
          <w:szCs w:val="24"/>
        </w:rPr>
        <w:t xml:space="preserve"> </w:t>
      </w:r>
      <w:r w:rsidRPr="00C57E69">
        <w:rPr>
          <w:rFonts w:ascii="Adobe Garamond Pro" w:hAnsi="Adobe Garamond Pro"/>
          <w:sz w:val="24"/>
          <w:szCs w:val="24"/>
        </w:rPr>
        <w:t>considered more effective in building trust, improving compliance with therapy, and preventing conflict. According to Kurtz et al., communication that takes into account the patient’s expectations, fears, and needs does not require more time than physician-centered communication styles.</w:t>
      </w:r>
      <w:r w:rsidRPr="00C57E69">
        <w:rPr>
          <w:rFonts w:ascii="Adobe Garamond Pro" w:hAnsi="Adobe Garamond Pro"/>
          <w:sz w:val="24"/>
          <w:szCs w:val="24"/>
          <w:vertAlign w:val="superscript"/>
        </w:rPr>
        <w:footnoteReference w:id="18"/>
      </w:r>
      <w:r w:rsidRPr="00C57E69">
        <w:rPr>
          <w:rFonts w:ascii="Adobe Garamond Pro" w:hAnsi="Adobe Garamond Pro"/>
          <w:sz w:val="24"/>
          <w:szCs w:val="24"/>
        </w:rPr>
        <w:t xml:space="preserve"> This demonstrates that effective communication is not contradictory to service efficiency.</w:t>
      </w:r>
    </w:p>
    <w:p w14:paraId="3B9CA775" w14:textId="22297496" w:rsidR="00C57E69" w:rsidRPr="00C57E69" w:rsidRDefault="00552229" w:rsidP="00C57E69">
      <w:pPr>
        <w:tabs>
          <w:tab w:val="left" w:pos="0"/>
        </w:tabs>
        <w:spacing w:after="0" w:line="240" w:lineRule="auto"/>
        <w:jc w:val="both"/>
        <w:rPr>
          <w:rFonts w:ascii="Adobe Garamond Pro" w:hAnsi="Adobe Garamond Pro"/>
          <w:sz w:val="24"/>
          <w:szCs w:val="24"/>
        </w:rPr>
      </w:pPr>
      <w:r>
        <w:rPr>
          <w:rFonts w:ascii="Adobe Garamond Pro" w:hAnsi="Adobe Garamond Pro"/>
          <w:sz w:val="24"/>
          <w:szCs w:val="24"/>
        </w:rPr>
        <w:tab/>
      </w:r>
      <w:r w:rsidR="00C57E69" w:rsidRPr="00C57E69">
        <w:rPr>
          <w:rFonts w:ascii="Adobe Garamond Pro" w:hAnsi="Adobe Garamond Pro"/>
          <w:sz w:val="24"/>
          <w:szCs w:val="24"/>
        </w:rPr>
        <w:t>However, various studies indicate that communication failure during the interview and explanation stages is a major root of legal disputes in the healthcare sector. This may occur due to incomplete information, the use of medical terminology that is not understood by patients, or the lack of adequate documentation in the medical record. In such cases, the burden of proof often falls on the healthcare provider, particularly to demonstrate that the patient received sufficient information prior to giving consent.</w:t>
      </w:r>
      <w:r w:rsidR="00C57E69" w:rsidRPr="00C57E69">
        <w:rPr>
          <w:rFonts w:ascii="Adobe Garamond Pro" w:hAnsi="Adobe Garamond Pro"/>
          <w:sz w:val="24"/>
          <w:szCs w:val="24"/>
          <w:vertAlign w:val="superscript"/>
        </w:rPr>
        <w:footnoteReference w:id="19"/>
      </w:r>
      <w:r>
        <w:rPr>
          <w:rFonts w:ascii="Adobe Garamond Pro" w:hAnsi="Adobe Garamond Pro"/>
          <w:sz w:val="24"/>
          <w:szCs w:val="24"/>
        </w:rPr>
        <w:t xml:space="preserve"> </w:t>
      </w:r>
      <w:r w:rsidR="00C57E69" w:rsidRPr="00C57E69">
        <w:rPr>
          <w:rFonts w:ascii="Adobe Garamond Pro" w:hAnsi="Adobe Garamond Pro"/>
          <w:sz w:val="24"/>
          <w:szCs w:val="24"/>
        </w:rPr>
        <w:t>Therefore, medical interviews and explanations should be understood as part of a legal consensus-building process</w:t>
      </w:r>
      <w:r w:rsidR="00C57E69" w:rsidRPr="00C57E69">
        <w:rPr>
          <w:rFonts w:ascii="Adobe Garamond Pro" w:hAnsi="Adobe Garamond Pro"/>
          <w:b/>
          <w:bCs/>
          <w:sz w:val="24"/>
          <w:szCs w:val="24"/>
        </w:rPr>
        <w:t xml:space="preserve"> </w:t>
      </w:r>
      <w:r w:rsidR="00C57E69" w:rsidRPr="00C57E69">
        <w:rPr>
          <w:rFonts w:ascii="Adobe Garamond Pro" w:hAnsi="Adobe Garamond Pro"/>
          <w:sz w:val="24"/>
          <w:szCs w:val="24"/>
        </w:rPr>
        <w:t>between patient and doctor. It is not merely a matter of professional ethics, but a legal obligation with concrete juridical consequences across disciplinary, ethical, and civil dimensions.</w:t>
      </w:r>
    </w:p>
    <w:p w14:paraId="2C4FA0CE" w14:textId="77777777" w:rsidR="00552229" w:rsidRDefault="00552229" w:rsidP="00C57E69">
      <w:pPr>
        <w:tabs>
          <w:tab w:val="left" w:pos="0"/>
        </w:tabs>
        <w:spacing w:after="0" w:line="240" w:lineRule="auto"/>
        <w:jc w:val="both"/>
        <w:rPr>
          <w:rFonts w:ascii="Adobe Garamond Pro" w:hAnsi="Adobe Garamond Pro"/>
          <w:b/>
          <w:bCs/>
          <w:sz w:val="24"/>
          <w:szCs w:val="24"/>
          <w:lang w:val="en-ID"/>
        </w:rPr>
      </w:pPr>
    </w:p>
    <w:p w14:paraId="69CF6419" w14:textId="77777777" w:rsidR="00552229" w:rsidRDefault="00552229" w:rsidP="00C57E69">
      <w:pPr>
        <w:tabs>
          <w:tab w:val="left" w:pos="0"/>
        </w:tabs>
        <w:spacing w:after="0" w:line="240" w:lineRule="auto"/>
        <w:jc w:val="both"/>
        <w:rPr>
          <w:rFonts w:ascii="Adobe Garamond Pro" w:hAnsi="Adobe Garamond Pro"/>
          <w:b/>
          <w:bCs/>
          <w:sz w:val="24"/>
          <w:szCs w:val="24"/>
          <w:lang w:val="en-ID"/>
        </w:rPr>
      </w:pPr>
    </w:p>
    <w:p w14:paraId="34FAB9B1" w14:textId="77777777" w:rsidR="00552229" w:rsidRDefault="00552229" w:rsidP="00C57E69">
      <w:pPr>
        <w:tabs>
          <w:tab w:val="left" w:pos="0"/>
        </w:tabs>
        <w:spacing w:after="0" w:line="240" w:lineRule="auto"/>
        <w:jc w:val="both"/>
        <w:rPr>
          <w:rFonts w:ascii="Adobe Garamond Pro" w:hAnsi="Adobe Garamond Pro"/>
          <w:b/>
          <w:bCs/>
          <w:sz w:val="24"/>
          <w:szCs w:val="24"/>
          <w:lang w:val="en-ID"/>
        </w:rPr>
      </w:pPr>
    </w:p>
    <w:p w14:paraId="06E027FE" w14:textId="77777777" w:rsidR="00552229" w:rsidRDefault="00552229" w:rsidP="00C57E69">
      <w:pPr>
        <w:tabs>
          <w:tab w:val="left" w:pos="0"/>
        </w:tabs>
        <w:spacing w:after="0" w:line="240" w:lineRule="auto"/>
        <w:jc w:val="both"/>
        <w:rPr>
          <w:rFonts w:ascii="Adobe Garamond Pro" w:hAnsi="Adobe Garamond Pro"/>
          <w:b/>
          <w:bCs/>
          <w:sz w:val="24"/>
          <w:szCs w:val="24"/>
          <w:lang w:val="en-ID"/>
        </w:rPr>
      </w:pPr>
    </w:p>
    <w:p w14:paraId="03D111C5" w14:textId="11B27932" w:rsidR="00C57E69" w:rsidRPr="00C57E69" w:rsidRDefault="00C57E69" w:rsidP="00C57E69">
      <w:pPr>
        <w:tabs>
          <w:tab w:val="left" w:pos="0"/>
        </w:tabs>
        <w:spacing w:after="0" w:line="240" w:lineRule="auto"/>
        <w:jc w:val="both"/>
        <w:rPr>
          <w:rFonts w:ascii="Adobe Garamond Pro" w:hAnsi="Adobe Garamond Pro"/>
          <w:b/>
          <w:sz w:val="24"/>
          <w:szCs w:val="24"/>
          <w:lang w:val="en-ID"/>
        </w:rPr>
      </w:pPr>
      <w:r w:rsidRPr="00C57E69">
        <w:rPr>
          <w:rFonts w:ascii="Adobe Garamond Pro" w:hAnsi="Adobe Garamond Pro"/>
          <w:b/>
          <w:bCs/>
          <w:sz w:val="24"/>
          <w:szCs w:val="24"/>
          <w:lang w:val="en-ID"/>
        </w:rPr>
        <w:t>D</w:t>
      </w:r>
      <w:r w:rsidRPr="00C57E69">
        <w:rPr>
          <w:rFonts w:ascii="Adobe Garamond Pro" w:hAnsi="Adobe Garamond Pro"/>
          <w:b/>
          <w:sz w:val="24"/>
          <w:szCs w:val="24"/>
          <w:lang w:val="en-ID"/>
        </w:rPr>
        <w:t>. Patients’ Right to Consent and Refusal of Medical Treatment</w:t>
      </w:r>
    </w:p>
    <w:p w14:paraId="664E9A51" w14:textId="77777777" w:rsidR="0055222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The right to give consent (informed consent) is one of the principal pillars in the legal protection of patients. In the doctrine of health law, consent is not merely understood as a verbal or written expression by the patient, but rather as a manifestation of free will based on adequate information. Therefore, the validity of consent greatly depends on the quality of the information provided, as well as the patient’s capacity to understand and make an autonomous decision.</w:t>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Normatively, the right to consent is regulated in various laws and regulations, including Article 56 paragraph (1) of Law Number 36 of 2009 on Health, which stipulates:</w:t>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“Everyone has the right to independently and responsibly determine the healthcare services necessary for themselves.”</w:t>
      </w:r>
      <w:r w:rsidR="00C57E69" w:rsidRPr="00C57E69">
        <w:rPr>
          <w:rFonts w:ascii="Adobe Garamond Pro" w:hAnsi="Adobe Garamond Pro"/>
          <w:sz w:val="24"/>
          <w:szCs w:val="24"/>
          <w:vertAlign w:val="superscript"/>
          <w:lang w:val="en-ID"/>
        </w:rPr>
        <w:footnoteReference w:id="20"/>
      </w:r>
    </w:p>
    <w:p w14:paraId="52951F07" w14:textId="0EE1C4C0"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This provision is expanded in Articles 293 and 294 of Law Number 17 of 2023 on Health, which state that every medical action may only be carried out after the patient or their family has given consent based on adequate information.</w:t>
      </w:r>
      <w:r w:rsidR="00C57E69" w:rsidRPr="00C57E69">
        <w:rPr>
          <w:rFonts w:ascii="Adobe Garamond Pro" w:hAnsi="Adobe Garamond Pro"/>
          <w:sz w:val="24"/>
          <w:szCs w:val="24"/>
          <w:vertAlign w:val="superscript"/>
          <w:lang w:val="en-ID"/>
        </w:rPr>
        <w:footnoteReference w:id="21"/>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Consent may be given either orally or in writing, depending on the level of risk involved in the medical procedure. Ministry of Health Regulation No. 290 of 2008 stipulates that for high-risk medical procedures, written consent is required, whereas for low-risk procedures, verbal consent is sufficient.</w:t>
      </w:r>
      <w:r w:rsidR="00C57E69" w:rsidRPr="00C57E69">
        <w:rPr>
          <w:rFonts w:ascii="Adobe Garamond Pro" w:hAnsi="Adobe Garamond Pro"/>
          <w:sz w:val="24"/>
          <w:szCs w:val="24"/>
          <w:vertAlign w:val="superscript"/>
          <w:lang w:val="en-ID"/>
        </w:rPr>
        <w:footnoteReference w:id="22"/>
      </w:r>
      <w:r w:rsidR="00C57E69" w:rsidRPr="00C57E69">
        <w:rPr>
          <w:rFonts w:ascii="Adobe Garamond Pro" w:hAnsi="Adobe Garamond Pro"/>
          <w:sz w:val="24"/>
          <w:szCs w:val="24"/>
          <w:lang w:val="en-ID"/>
        </w:rPr>
        <w:t xml:space="preserve"> However, in practice, medical personnel often focus merely on filling out written forms, without ensuring that the information has truly been understood by the patient. This creates legal vulnerability, particularly in civil proceedings that require evidence of a mutual understanding (meeting of minds) between both parties.</w:t>
      </w:r>
    </w:p>
    <w:p w14:paraId="3DD427F5" w14:textId="0645ABBB"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Furthermore, Law Number 17 of 2023 also explicitly recognizes the patient’s right to refuse part or all of the proposed medical treatment, as regulated in Article 294 paragraph (4), which states:</w:t>
      </w:r>
    </w:p>
    <w:p w14:paraId="0F0DC8BC" w14:textId="77777777" w:rsidR="00C57E69" w:rsidRPr="00C57E69" w:rsidRDefault="00C57E69" w:rsidP="00C57E69">
      <w:p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t>“Patients may refuse part or all of the healthcare services to be provided to them after receiving and understanding complete information regarding such services.”</w:t>
      </w:r>
      <w:r w:rsidRPr="00C57E69">
        <w:rPr>
          <w:rFonts w:ascii="Adobe Garamond Pro" w:hAnsi="Adobe Garamond Pro"/>
          <w:sz w:val="24"/>
          <w:szCs w:val="24"/>
          <w:vertAlign w:val="superscript"/>
          <w:lang w:val="en-ID"/>
        </w:rPr>
        <w:footnoteReference w:id="23"/>
      </w:r>
    </w:p>
    <w:p w14:paraId="1EDA88E6" w14:textId="77777777" w:rsidR="00C57E69" w:rsidRPr="00C57E69" w:rsidRDefault="00C57E69" w:rsidP="00C57E69">
      <w:p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lastRenderedPageBreak/>
        <w:t>This demonstrates that patient autonomy applies not only in giving consent but also in refusing or withdrawing consent previously granted. In this regard, refusal must also be documented in writing, both by the patient and the healthcare provider, as a form of legal protection for both parties.</w:t>
      </w:r>
    </w:p>
    <w:p w14:paraId="068089B3" w14:textId="5E7A85E0"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Nevertheless, there are exceptions to the right of refusal, particularly in emergency situations or for the sake of public health. For instance, in cases of contagious disease outbreaks, mass vaccination may be carried out without individual consent, as stipulated in Article 295 of Law Number 17 of 2023, which replaces a similar provision in the 2009 Health Law.</w:t>
      </w:r>
      <w:r w:rsidR="00C57E69" w:rsidRPr="00C57E69">
        <w:rPr>
          <w:rFonts w:ascii="Adobe Garamond Pro" w:hAnsi="Adobe Garamond Pro"/>
          <w:sz w:val="24"/>
          <w:szCs w:val="24"/>
          <w:vertAlign w:val="superscript"/>
          <w:lang w:val="en-ID"/>
        </w:rPr>
        <w:footnoteReference w:id="24"/>
      </w:r>
      <w:r w:rsidR="00C57E69" w:rsidRPr="00C57E69">
        <w:rPr>
          <w:rFonts w:ascii="Adobe Garamond Pro" w:hAnsi="Adobe Garamond Pro"/>
          <w:sz w:val="24"/>
          <w:szCs w:val="24"/>
          <w:lang w:val="en-ID"/>
        </w:rPr>
        <w:t xml:space="preserve"> In such cases, the principle of patient autonomy is overridden by the utilitarian principle of public health.</w:t>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From a civil law perspective, consent that is not preceded by adequate explanation may be deemed a defect of will (</w:t>
      </w:r>
      <w:proofErr w:type="spellStart"/>
      <w:r w:rsidR="00C57E69" w:rsidRPr="00C57E69">
        <w:rPr>
          <w:rFonts w:ascii="Adobe Garamond Pro" w:hAnsi="Adobe Garamond Pro"/>
          <w:sz w:val="24"/>
          <w:szCs w:val="24"/>
          <w:lang w:val="en-ID"/>
        </w:rPr>
        <w:t>wilsgebreken</w:t>
      </w:r>
      <w:proofErr w:type="spellEnd"/>
      <w:r w:rsidR="00C57E69" w:rsidRPr="00C57E69">
        <w:rPr>
          <w:rFonts w:ascii="Adobe Garamond Pro" w:hAnsi="Adobe Garamond Pro"/>
          <w:sz w:val="24"/>
          <w:szCs w:val="24"/>
          <w:lang w:val="en-ID"/>
        </w:rPr>
        <w:t>). Several Supreme Court decisions in medical malpractice cases have affirmed that lack of relevant information prior to obtaining consent may render a medical procedure unlawful—even if the procedure was technically carried out correctly.</w:t>
      </w:r>
      <w:r w:rsidR="00C57E69" w:rsidRPr="00C57E69">
        <w:rPr>
          <w:rFonts w:ascii="Adobe Garamond Pro" w:hAnsi="Adobe Garamond Pro"/>
          <w:sz w:val="24"/>
          <w:szCs w:val="24"/>
          <w:vertAlign w:val="superscript"/>
          <w:lang w:val="en-ID"/>
        </w:rPr>
        <w:footnoteReference w:id="25"/>
      </w:r>
      <w:r w:rsidR="00C57E69" w:rsidRPr="00C57E69">
        <w:rPr>
          <w:rFonts w:ascii="Adobe Garamond Pro" w:hAnsi="Adobe Garamond Pro"/>
          <w:sz w:val="24"/>
          <w:szCs w:val="24"/>
          <w:lang w:val="en-ID"/>
        </w:rPr>
        <w:t xml:space="preserve"> Therefore, both consent and refusal should not be treated as mere administrative formalities, but rather as legal expressions of will with substantive legal value.</w:t>
      </w:r>
    </w:p>
    <w:p w14:paraId="0C2F4583" w14:textId="3CE0F406"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Finally, it must be emphasized that the legal validity of consent and refusal is highly dependent on administrative documentation through the medical record. A medical record that fails to document the explanation chronology, signatures, or timestamps will pose a major weakness in legal proceedings. Thus, clear, complete, and honest documentation is a vital instrument in strengthening the legal position of hospitals and medical professionals in the face of potential disputes.</w:t>
      </w:r>
    </w:p>
    <w:p w14:paraId="644D5CA3" w14:textId="77777777" w:rsidR="00552229" w:rsidRDefault="00552229" w:rsidP="00C57E69">
      <w:pPr>
        <w:tabs>
          <w:tab w:val="left" w:pos="0"/>
        </w:tabs>
        <w:spacing w:after="0" w:line="240" w:lineRule="auto"/>
        <w:jc w:val="both"/>
        <w:rPr>
          <w:rFonts w:ascii="Adobe Garamond Pro" w:hAnsi="Adobe Garamond Pro"/>
          <w:b/>
          <w:bCs/>
          <w:sz w:val="24"/>
          <w:szCs w:val="24"/>
          <w:lang w:val="en-ID"/>
        </w:rPr>
      </w:pPr>
    </w:p>
    <w:p w14:paraId="0C8A6FE2" w14:textId="1CFE569C" w:rsidR="00C57E69" w:rsidRPr="00C57E69" w:rsidRDefault="00C57E69" w:rsidP="00C57E69">
      <w:pPr>
        <w:tabs>
          <w:tab w:val="left" w:pos="0"/>
        </w:tabs>
        <w:spacing w:after="0" w:line="240" w:lineRule="auto"/>
        <w:jc w:val="both"/>
        <w:rPr>
          <w:rFonts w:ascii="Adobe Garamond Pro" w:hAnsi="Adobe Garamond Pro"/>
          <w:b/>
          <w:bCs/>
          <w:sz w:val="24"/>
          <w:szCs w:val="24"/>
          <w:lang w:val="en-ID"/>
        </w:rPr>
      </w:pPr>
      <w:r w:rsidRPr="00C57E69">
        <w:rPr>
          <w:rFonts w:ascii="Adobe Garamond Pro" w:hAnsi="Adobe Garamond Pro"/>
          <w:b/>
          <w:bCs/>
          <w:sz w:val="24"/>
          <w:szCs w:val="24"/>
          <w:lang w:val="en-ID"/>
        </w:rPr>
        <w:t>E. Medical Records as Legal Evidence</w:t>
      </w:r>
    </w:p>
    <w:p w14:paraId="35F2FAE8" w14:textId="06E7BB60"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Medical records constitute a central form of evidence in nearly all legal disputes involving healthcare services. Among all types of communication in medical practice, documentation within medical records carries the highest evidentiary value, as it reflects the decision-making process, the patient’s consent, and the professional responsibilities of healthcare providers. In civil law, medical records function as documentary evidence; in criminal or disciplinary proceedings, they serve as supporting evidence to assess the presence or absence of negligence or violations.</w:t>
      </w:r>
    </w:p>
    <w:p w14:paraId="45906CE6" w14:textId="77777777" w:rsidR="00C57E69" w:rsidRPr="00C57E69" w:rsidRDefault="00C57E69" w:rsidP="00C57E69">
      <w:p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lastRenderedPageBreak/>
        <w:t>Law Number 17 of 2023 on Health, as the most recent regulatory framework, explicitly regulates the obligation of documentation under Pasal 738. This article states that all medical and health personnel are required to perform documentation and reporting of services provided, including in the form of medical records.</w:t>
      </w:r>
      <w:r w:rsidRPr="00C57E69">
        <w:rPr>
          <w:rFonts w:ascii="Adobe Garamond Pro" w:hAnsi="Adobe Garamond Pro"/>
          <w:sz w:val="24"/>
          <w:szCs w:val="24"/>
          <w:vertAlign w:val="superscript"/>
          <w:lang w:val="en-ID"/>
        </w:rPr>
        <w:footnoteReference w:id="26"/>
      </w:r>
      <w:r w:rsidRPr="00C57E69">
        <w:rPr>
          <w:rFonts w:ascii="Adobe Garamond Pro" w:hAnsi="Adobe Garamond Pro"/>
          <w:sz w:val="24"/>
          <w:szCs w:val="24"/>
          <w:lang w:val="en-ID"/>
        </w:rPr>
        <w:t xml:space="preserve"> Furthermore, Ministry of Health Regulation Number 24 of 2022 on Medical Records affirms that medical records must include patient identity, anamnesis results, diagnosis, treatment, medical explanations provided, and patient consent or refusal.</w:t>
      </w:r>
      <w:r w:rsidRPr="00C57E69">
        <w:rPr>
          <w:rFonts w:ascii="Adobe Garamond Pro" w:hAnsi="Adobe Garamond Pro"/>
          <w:sz w:val="24"/>
          <w:szCs w:val="24"/>
          <w:vertAlign w:val="superscript"/>
          <w:lang w:val="en-ID"/>
        </w:rPr>
        <w:footnoteReference w:id="27"/>
      </w:r>
    </w:p>
    <w:p w14:paraId="50AE8C7E" w14:textId="27377163"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Incomplete or inaccurate documentation becomes a major source of legal vulnerability. For example, if a patient files a lawsuit on the grounds of insufficient information prior to a medical intervention, the court will first examine whether there is a record of explanation in the medical file. If such a record is absent, the burden of proof becomes significantly heavier for the healthcare provider.</w:t>
      </w:r>
      <w:r w:rsidR="00C57E69" w:rsidRPr="00C57E69">
        <w:rPr>
          <w:rFonts w:ascii="Adobe Garamond Pro" w:hAnsi="Adobe Garamond Pro"/>
          <w:sz w:val="24"/>
          <w:szCs w:val="24"/>
          <w:vertAlign w:val="superscript"/>
          <w:lang w:val="en-ID"/>
        </w:rPr>
        <w:footnoteReference w:id="28"/>
      </w:r>
      <w:r w:rsidR="00C57E69" w:rsidRPr="00C57E69">
        <w:rPr>
          <w:rFonts w:ascii="Adobe Garamond Pro" w:hAnsi="Adobe Garamond Pro"/>
          <w:sz w:val="24"/>
          <w:szCs w:val="24"/>
          <w:lang w:val="en-ID"/>
        </w:rPr>
        <w:t xml:space="preserve"> In this regard, the principle “</w:t>
      </w:r>
      <w:r w:rsidR="00C57E69" w:rsidRPr="00C57E69">
        <w:rPr>
          <w:rFonts w:ascii="Adobe Garamond Pro" w:hAnsi="Adobe Garamond Pro"/>
          <w:i/>
          <w:iCs/>
          <w:sz w:val="24"/>
          <w:szCs w:val="24"/>
          <w:lang w:val="en-ID"/>
        </w:rPr>
        <w:t>if it is not documented, it is considered not done</w:t>
      </w:r>
      <w:r w:rsidR="00C57E69" w:rsidRPr="00C57E69">
        <w:rPr>
          <w:rFonts w:ascii="Adobe Garamond Pro" w:hAnsi="Adobe Garamond Pro"/>
          <w:sz w:val="24"/>
          <w:szCs w:val="24"/>
          <w:lang w:val="en-ID"/>
        </w:rPr>
        <w:t>” applies strongly, as commonly upheld in medical auditing systems and legal standards in various countries.</w:t>
      </w:r>
      <w:r w:rsidR="00C57E69" w:rsidRPr="00C57E69">
        <w:rPr>
          <w:rFonts w:ascii="Adobe Garamond Pro" w:hAnsi="Adobe Garamond Pro"/>
          <w:sz w:val="24"/>
          <w:szCs w:val="24"/>
          <w:vertAlign w:val="superscript"/>
          <w:lang w:val="en-ID"/>
        </w:rPr>
        <w:footnoteReference w:id="29"/>
      </w:r>
    </w:p>
    <w:p w14:paraId="59532B7C" w14:textId="39DE1A12"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On the other hand, the quality of documentation also reflects the accountability of the healthcare institution. A proper medical record not only details what was done, but also when it was done, by whom, and under what clinical circumstances. Therefore, professional practice requires that documentation be made immediately after each interaction or procedure, not retrospectively. Retroactive or backdated documentation created after a dispute arises may worsen the hospital’s legal position.</w:t>
      </w:r>
      <w:r>
        <w:rPr>
          <w:rFonts w:ascii="Adobe Garamond Pro" w:hAnsi="Adobe Garamond Pro"/>
          <w:sz w:val="24"/>
          <w:szCs w:val="24"/>
          <w:lang w:val="en-ID"/>
        </w:rPr>
        <w:t xml:space="preserve"> </w:t>
      </w:r>
      <w:r w:rsidR="00C57E69" w:rsidRPr="00C57E69">
        <w:rPr>
          <w:rFonts w:ascii="Adobe Garamond Pro" w:hAnsi="Adobe Garamond Pro"/>
          <w:sz w:val="24"/>
          <w:szCs w:val="24"/>
          <w:lang w:val="en-ID"/>
        </w:rPr>
        <w:t>Specifically, documentation must include the following elements:</w:t>
      </w:r>
    </w:p>
    <w:p w14:paraId="66B82423" w14:textId="77777777" w:rsidR="00C57E69" w:rsidRPr="00C57E69" w:rsidRDefault="00C57E69" w:rsidP="00C57E69">
      <w:pPr>
        <w:numPr>
          <w:ilvl w:val="0"/>
          <w:numId w:val="50"/>
        </w:num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t>Date, time, name, and signature of both the person giving and receiving the explanation.</w:t>
      </w:r>
    </w:p>
    <w:p w14:paraId="414F48BA" w14:textId="77777777" w:rsidR="00C57E69" w:rsidRPr="00C57E69" w:rsidRDefault="00C57E69" w:rsidP="00C57E69">
      <w:pPr>
        <w:numPr>
          <w:ilvl w:val="0"/>
          <w:numId w:val="50"/>
        </w:num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t>Notes regarding expanded procedures (e.g., surgeries that were extended intraoperatively beyond the initial plan).</w:t>
      </w:r>
    </w:p>
    <w:p w14:paraId="19A5E4A2" w14:textId="77777777" w:rsidR="00C57E69" w:rsidRPr="00C57E69" w:rsidRDefault="00C57E69" w:rsidP="00C57E69">
      <w:pPr>
        <w:numPr>
          <w:ilvl w:val="0"/>
          <w:numId w:val="50"/>
        </w:num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t>Written forms of refusal or withdrawal of consent.</w:t>
      </w:r>
      <w:r w:rsidRPr="00C57E69">
        <w:rPr>
          <w:rFonts w:ascii="Adobe Garamond Pro" w:hAnsi="Adobe Garamond Pro"/>
          <w:sz w:val="24"/>
          <w:szCs w:val="24"/>
          <w:vertAlign w:val="superscript"/>
          <w:lang w:val="en-ID"/>
        </w:rPr>
        <w:footnoteReference w:id="30"/>
      </w:r>
    </w:p>
    <w:p w14:paraId="0C40E542" w14:textId="77777777" w:rsidR="00C57E69" w:rsidRPr="00C57E69" w:rsidRDefault="00C57E69" w:rsidP="00C57E69">
      <w:p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lastRenderedPageBreak/>
        <w:t>In several Indonesian court cases, judges have ruled that the absence of documentation of medical explanations constituted a violation of the patient’s rights, even when the medical procedure itself was conducted correctly. For instance, in a case before the Central Jakarta District Court, a damages claim was granted on the basis that there was no evidence the patient had been properly informed of the risks.</w:t>
      </w:r>
      <w:r w:rsidRPr="00C57E69">
        <w:rPr>
          <w:rFonts w:ascii="Adobe Garamond Pro" w:hAnsi="Adobe Garamond Pro"/>
          <w:sz w:val="24"/>
          <w:szCs w:val="24"/>
          <w:vertAlign w:val="superscript"/>
          <w:lang w:val="en-ID"/>
        </w:rPr>
        <w:footnoteReference w:id="31"/>
      </w:r>
    </w:p>
    <w:p w14:paraId="30A7D69D" w14:textId="423CE852"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Thus, medical record documentation is not merely an administrative formality, but a preventive legal strategy and a manifestation of professional legal and ethical accountability. The hospital, as an institution, also bears corporate liability when its documentation system is weak, unstandardized, or left unchecked without strict supervision.</w:t>
      </w:r>
    </w:p>
    <w:p w14:paraId="3E14825C" w14:textId="77777777" w:rsidR="00552229" w:rsidRDefault="00552229" w:rsidP="00C57E69">
      <w:pPr>
        <w:tabs>
          <w:tab w:val="left" w:pos="0"/>
        </w:tabs>
        <w:spacing w:after="0" w:line="240" w:lineRule="auto"/>
        <w:jc w:val="both"/>
        <w:rPr>
          <w:rFonts w:ascii="Adobe Garamond Pro" w:hAnsi="Adobe Garamond Pro"/>
          <w:b/>
          <w:bCs/>
          <w:sz w:val="24"/>
          <w:szCs w:val="24"/>
          <w:lang w:val="en-ID"/>
        </w:rPr>
      </w:pPr>
    </w:p>
    <w:p w14:paraId="31E1235F" w14:textId="35A961AA" w:rsidR="00C57E69" w:rsidRPr="00C57E69" w:rsidRDefault="00C57E69" w:rsidP="00C57E69">
      <w:pPr>
        <w:tabs>
          <w:tab w:val="left" w:pos="0"/>
        </w:tabs>
        <w:spacing w:after="0" w:line="240" w:lineRule="auto"/>
        <w:jc w:val="both"/>
        <w:rPr>
          <w:rFonts w:ascii="Adobe Garamond Pro" w:hAnsi="Adobe Garamond Pro"/>
          <w:b/>
          <w:bCs/>
          <w:sz w:val="24"/>
          <w:szCs w:val="24"/>
          <w:lang w:val="en-ID"/>
        </w:rPr>
      </w:pPr>
      <w:r w:rsidRPr="00C57E69">
        <w:rPr>
          <w:rFonts w:ascii="Adobe Garamond Pro" w:hAnsi="Adobe Garamond Pro"/>
          <w:b/>
          <w:bCs/>
          <w:sz w:val="24"/>
          <w:szCs w:val="24"/>
          <w:lang w:val="en-ID"/>
        </w:rPr>
        <w:t>F. Common Documentation Errors in Medical Communication</w:t>
      </w:r>
    </w:p>
    <w:p w14:paraId="2516C14A" w14:textId="33D9E7D4"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Based on cumulative medico-legal experience across litigation support, disciplinary review, and hospital risk management, the following six patterns of documentation error have emerged as the most frequent and consequential in healthcare legal disputes. These patterns are not merely theoretical but are consistently encountered in hospital practice, where communication and documentation failures often lead to misunderstandings, legal complaints, or disciplinary proceedings:</w:t>
      </w:r>
    </w:p>
    <w:p w14:paraId="7501FC30" w14:textId="77777777" w:rsidR="00C57E69" w:rsidRPr="00C57E69" w:rsidRDefault="00C57E69" w:rsidP="00C57E69">
      <w:pPr>
        <w:numPr>
          <w:ilvl w:val="0"/>
          <w:numId w:val="51"/>
        </w:num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t>Information is provided completely and accurately, but not recorded in the medical record.</w:t>
      </w:r>
    </w:p>
    <w:p w14:paraId="6834A224" w14:textId="77777777" w:rsidR="00C57E69" w:rsidRPr="00C57E69" w:rsidRDefault="00C57E69" w:rsidP="00C57E69">
      <w:pPr>
        <w:numPr>
          <w:ilvl w:val="0"/>
          <w:numId w:val="51"/>
        </w:num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t>Information is provided, but it is incomplete and/or inaccurate.</w:t>
      </w:r>
    </w:p>
    <w:p w14:paraId="463D1DB6" w14:textId="77777777" w:rsidR="00C57E69" w:rsidRPr="00C57E69" w:rsidRDefault="00C57E69" w:rsidP="00C57E69">
      <w:pPr>
        <w:numPr>
          <w:ilvl w:val="0"/>
          <w:numId w:val="51"/>
        </w:num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t>Information is not actually provided, but it is falsely documented as if it had been explained to the patient.</w:t>
      </w:r>
    </w:p>
    <w:p w14:paraId="31A9B8C4" w14:textId="77777777" w:rsidR="00C57E69" w:rsidRPr="00C57E69" w:rsidRDefault="00C57E69" w:rsidP="00C57E69">
      <w:pPr>
        <w:numPr>
          <w:ilvl w:val="0"/>
          <w:numId w:val="51"/>
        </w:num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t>Information is provided properly, but is recorded in vague or minimal terms, insufficient for legal or clinical verification.</w:t>
      </w:r>
    </w:p>
    <w:p w14:paraId="57221563" w14:textId="77777777" w:rsidR="00C57E69" w:rsidRPr="00C57E69" w:rsidRDefault="00C57E69" w:rsidP="00C57E69">
      <w:pPr>
        <w:numPr>
          <w:ilvl w:val="0"/>
          <w:numId w:val="51"/>
        </w:num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t>Information is given by unauthorized personnel, i.e., not by the attending physician or responsible medical team, but by administrative staff or junior trainees.</w:t>
      </w:r>
    </w:p>
    <w:p w14:paraId="519B5D2B" w14:textId="77777777" w:rsidR="00C57E69" w:rsidRPr="00C57E69" w:rsidRDefault="00C57E69" w:rsidP="00C57E69">
      <w:pPr>
        <w:numPr>
          <w:ilvl w:val="0"/>
          <w:numId w:val="51"/>
        </w:numPr>
        <w:tabs>
          <w:tab w:val="left" w:pos="0"/>
        </w:tabs>
        <w:spacing w:after="0" w:line="240" w:lineRule="auto"/>
        <w:jc w:val="both"/>
        <w:rPr>
          <w:rFonts w:ascii="Adobe Garamond Pro" w:hAnsi="Adobe Garamond Pro"/>
          <w:sz w:val="24"/>
          <w:szCs w:val="24"/>
          <w:lang w:val="en-ID"/>
        </w:rPr>
      </w:pPr>
      <w:r w:rsidRPr="00C57E69">
        <w:rPr>
          <w:rFonts w:ascii="Adobe Garamond Pro" w:hAnsi="Adobe Garamond Pro"/>
          <w:sz w:val="24"/>
          <w:szCs w:val="24"/>
          <w:lang w:val="en-ID"/>
        </w:rPr>
        <w:t>Information is delivered, but the patient or family does not understand it due to medical jargon, language barriers, or communication style.</w:t>
      </w:r>
    </w:p>
    <w:p w14:paraId="50520B2B" w14:textId="499F72C7"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 xml:space="preserve">Each of these scenarios poses serious legal risks. For example, when a procedure is performed without a properly documented explanation, courts often view the absence of documentation as evidence that no valid consent was given. Similarly, delegating explanations to personnel who are not legally or professionally </w:t>
      </w:r>
      <w:r w:rsidR="00C57E69" w:rsidRPr="00C57E69">
        <w:rPr>
          <w:rFonts w:ascii="Adobe Garamond Pro" w:hAnsi="Adobe Garamond Pro"/>
          <w:sz w:val="24"/>
          <w:szCs w:val="24"/>
          <w:lang w:val="en-ID"/>
        </w:rPr>
        <w:lastRenderedPageBreak/>
        <w:t>authorized undermines the credibility of the medical institution and may be seen as negligence or even fraud.</w:t>
      </w:r>
    </w:p>
    <w:p w14:paraId="76835493" w14:textId="05031011" w:rsidR="00C57E69" w:rsidRP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From a legal standpoint, communication errors are not always due to the absence of good faith, but often stem from systemic failures in standard operating procedures, training, and documentation discipline. Therefore, hospitals must not only train healthcare personnel in clinical communication techniques but also standardize how and when communication must be recorded. The introduction of documentation templates, audit trails, and supervisory validation is essential in building a legally defensible communication system.</w:t>
      </w:r>
    </w:p>
    <w:p w14:paraId="55AE866D" w14:textId="77777777" w:rsidR="00552229" w:rsidRDefault="00552229" w:rsidP="00C57E69">
      <w:pPr>
        <w:tabs>
          <w:tab w:val="left" w:pos="0"/>
        </w:tabs>
        <w:spacing w:after="0" w:line="240" w:lineRule="auto"/>
        <w:jc w:val="both"/>
        <w:rPr>
          <w:rFonts w:ascii="Adobe Garamond Pro" w:hAnsi="Adobe Garamond Pro"/>
          <w:b/>
          <w:bCs/>
          <w:sz w:val="24"/>
          <w:szCs w:val="24"/>
          <w:lang w:val="en-ID"/>
        </w:rPr>
      </w:pPr>
    </w:p>
    <w:p w14:paraId="27507115" w14:textId="618C127F" w:rsidR="00C57E69" w:rsidRPr="00C57E69" w:rsidRDefault="00C57E69" w:rsidP="00C57E69">
      <w:pPr>
        <w:tabs>
          <w:tab w:val="left" w:pos="0"/>
        </w:tabs>
        <w:spacing w:after="0" w:line="240" w:lineRule="auto"/>
        <w:jc w:val="both"/>
        <w:rPr>
          <w:rFonts w:ascii="Adobe Garamond Pro" w:hAnsi="Adobe Garamond Pro"/>
          <w:b/>
          <w:bCs/>
          <w:sz w:val="24"/>
          <w:szCs w:val="24"/>
          <w:lang w:val="en-ID"/>
        </w:rPr>
      </w:pPr>
      <w:r w:rsidRPr="00C57E69">
        <w:rPr>
          <w:rFonts w:ascii="Adobe Garamond Pro" w:hAnsi="Adobe Garamond Pro"/>
          <w:b/>
          <w:bCs/>
          <w:sz w:val="24"/>
          <w:szCs w:val="24"/>
          <w:lang w:val="en-ID"/>
        </w:rPr>
        <w:t>Conclusion</w:t>
      </w:r>
    </w:p>
    <w:p w14:paraId="540EF8D6" w14:textId="2367D9D8" w:rsidR="00C57E69" w:rsidRDefault="00552229" w:rsidP="00C57E69">
      <w:pPr>
        <w:tabs>
          <w:tab w:val="left" w:pos="0"/>
        </w:tabs>
        <w:spacing w:after="0" w:line="240" w:lineRule="auto"/>
        <w:jc w:val="both"/>
        <w:rPr>
          <w:rFonts w:ascii="Adobe Garamond Pro" w:hAnsi="Adobe Garamond Pro"/>
          <w:sz w:val="24"/>
          <w:szCs w:val="24"/>
          <w:lang w:val="en-ID"/>
        </w:rPr>
      </w:pPr>
      <w:r>
        <w:rPr>
          <w:rFonts w:ascii="Adobe Garamond Pro" w:hAnsi="Adobe Garamond Pro"/>
          <w:sz w:val="24"/>
          <w:szCs w:val="24"/>
          <w:lang w:val="en-ID"/>
        </w:rPr>
        <w:tab/>
      </w:r>
      <w:r w:rsidR="00C57E69" w:rsidRPr="00C57E69">
        <w:rPr>
          <w:rFonts w:ascii="Adobe Garamond Pro" w:hAnsi="Adobe Garamond Pro"/>
          <w:sz w:val="24"/>
          <w:szCs w:val="24"/>
          <w:lang w:val="en-ID"/>
        </w:rPr>
        <w:t>Communication in hospital settings is not merely a matter of technical efficiency or interpersonal skill, but a legal construct that shapes the foundation of patient rights, professional responsibilities, and institutional accountability. The classification of communication into clinical and administrative domains, the adoption of standardized methods such as SBAR and closed-loop communication, and the emphasis on thorough documentation reflect an evolving legal expectation of precision, transparency, and ethical conduct in healthcare services. While Indonesian health regulations have begun to incorporate legal obligations for communication and documentation, critical gaps remain in enforcement and institutional implementation. Thus, strengthening internal hospital policies and aligning them with accepted legal standards is not only a matter of best practice, but a safeguard against ethical violations, professional liability, and institutional negligence.</w:t>
      </w:r>
    </w:p>
    <w:p w14:paraId="0A393F10" w14:textId="77777777" w:rsidR="00552229" w:rsidRPr="00C57E69" w:rsidRDefault="00552229" w:rsidP="00C57E69">
      <w:pPr>
        <w:tabs>
          <w:tab w:val="left" w:pos="0"/>
        </w:tabs>
        <w:spacing w:after="0" w:line="240" w:lineRule="auto"/>
        <w:jc w:val="both"/>
        <w:rPr>
          <w:rFonts w:ascii="Adobe Garamond Pro" w:hAnsi="Adobe Garamond Pro"/>
          <w:sz w:val="24"/>
          <w:szCs w:val="24"/>
          <w:lang w:val="en-ID"/>
        </w:rPr>
      </w:pPr>
    </w:p>
    <w:p w14:paraId="5D6D0B26" w14:textId="77777777" w:rsidR="00C57E69" w:rsidRPr="00C57E69" w:rsidRDefault="00C57E69" w:rsidP="00C57E69">
      <w:pPr>
        <w:tabs>
          <w:tab w:val="left" w:pos="0"/>
        </w:tabs>
        <w:spacing w:after="0" w:line="240" w:lineRule="auto"/>
        <w:jc w:val="both"/>
        <w:rPr>
          <w:rFonts w:ascii="Adobe Garamond Pro" w:hAnsi="Adobe Garamond Pro"/>
          <w:b/>
          <w:bCs/>
          <w:sz w:val="24"/>
          <w:szCs w:val="24"/>
          <w:lang w:val="en-ID"/>
        </w:rPr>
      </w:pPr>
      <w:r w:rsidRPr="00C57E69">
        <w:rPr>
          <w:rFonts w:ascii="Adobe Garamond Pro" w:hAnsi="Adobe Garamond Pro"/>
          <w:b/>
          <w:bCs/>
          <w:sz w:val="24"/>
          <w:szCs w:val="24"/>
          <w:lang w:val="en-ID"/>
        </w:rPr>
        <w:t>References</w:t>
      </w:r>
    </w:p>
    <w:p w14:paraId="3B518FBD" w14:textId="77777777" w:rsidR="00C57E69" w:rsidRPr="00C57E69" w:rsidRDefault="00C57E69" w:rsidP="00C57E69">
      <w:pPr>
        <w:tabs>
          <w:tab w:val="left" w:pos="0"/>
        </w:tabs>
        <w:spacing w:after="0" w:line="240" w:lineRule="auto"/>
        <w:jc w:val="both"/>
        <w:rPr>
          <w:rFonts w:ascii="Adobe Garamond Pro" w:hAnsi="Adobe Garamond Pro"/>
          <w:b/>
          <w:bCs/>
          <w:sz w:val="24"/>
          <w:szCs w:val="24"/>
          <w:lang w:val="en-ID"/>
        </w:rPr>
      </w:pPr>
      <w:r w:rsidRPr="00C57E69">
        <w:rPr>
          <w:rFonts w:ascii="Adobe Garamond Pro" w:hAnsi="Adobe Garamond Pro"/>
          <w:b/>
          <w:bCs/>
          <w:sz w:val="24"/>
          <w:szCs w:val="24"/>
          <w:lang w:val="en-ID"/>
        </w:rPr>
        <w:t>Legislation and Official Regulations</w:t>
      </w:r>
    </w:p>
    <w:p w14:paraId="430424D2"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proofErr w:type="spellStart"/>
      <w:r w:rsidRPr="00C57E69">
        <w:rPr>
          <w:rFonts w:ascii="Adobe Garamond Pro" w:hAnsi="Adobe Garamond Pro"/>
          <w:sz w:val="24"/>
          <w:szCs w:val="24"/>
          <w:lang w:val="en-ID"/>
        </w:rPr>
        <w:t>Undang-Undang</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Nomor</w:t>
      </w:r>
      <w:proofErr w:type="spellEnd"/>
      <w:r w:rsidRPr="00C57E69">
        <w:rPr>
          <w:rFonts w:ascii="Adobe Garamond Pro" w:hAnsi="Adobe Garamond Pro"/>
          <w:sz w:val="24"/>
          <w:szCs w:val="24"/>
          <w:lang w:val="en-ID"/>
        </w:rPr>
        <w:t xml:space="preserve"> 29 </w:t>
      </w:r>
      <w:proofErr w:type="spellStart"/>
      <w:r w:rsidRPr="00C57E69">
        <w:rPr>
          <w:rFonts w:ascii="Adobe Garamond Pro" w:hAnsi="Adobe Garamond Pro"/>
          <w:sz w:val="24"/>
          <w:szCs w:val="24"/>
          <w:lang w:val="en-ID"/>
        </w:rPr>
        <w:t>Tahun</w:t>
      </w:r>
      <w:proofErr w:type="spellEnd"/>
      <w:r w:rsidRPr="00C57E69">
        <w:rPr>
          <w:rFonts w:ascii="Adobe Garamond Pro" w:hAnsi="Adobe Garamond Pro"/>
          <w:sz w:val="24"/>
          <w:szCs w:val="24"/>
          <w:lang w:val="en-ID"/>
        </w:rPr>
        <w:t xml:space="preserve"> 2004 </w:t>
      </w:r>
      <w:proofErr w:type="spellStart"/>
      <w:r w:rsidRPr="00C57E69">
        <w:rPr>
          <w:rFonts w:ascii="Adobe Garamond Pro" w:hAnsi="Adobe Garamond Pro"/>
          <w:sz w:val="24"/>
          <w:szCs w:val="24"/>
          <w:lang w:val="en-ID"/>
        </w:rPr>
        <w:t>tentang</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Praktik</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Kedokteran</w:t>
      </w:r>
      <w:proofErr w:type="spellEnd"/>
      <w:r w:rsidRPr="00C57E69">
        <w:rPr>
          <w:rFonts w:ascii="Adobe Garamond Pro" w:hAnsi="Adobe Garamond Pro"/>
          <w:sz w:val="24"/>
          <w:szCs w:val="24"/>
          <w:lang w:val="en-ID"/>
        </w:rPr>
        <w:t>.</w:t>
      </w:r>
    </w:p>
    <w:p w14:paraId="110559FE"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proofErr w:type="spellStart"/>
      <w:r w:rsidRPr="00C57E69">
        <w:rPr>
          <w:rFonts w:ascii="Adobe Garamond Pro" w:hAnsi="Adobe Garamond Pro"/>
          <w:sz w:val="24"/>
          <w:szCs w:val="24"/>
          <w:lang w:val="en-ID"/>
        </w:rPr>
        <w:t>Undang-Undang</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Nomor</w:t>
      </w:r>
      <w:proofErr w:type="spellEnd"/>
      <w:r w:rsidRPr="00C57E69">
        <w:rPr>
          <w:rFonts w:ascii="Adobe Garamond Pro" w:hAnsi="Adobe Garamond Pro"/>
          <w:sz w:val="24"/>
          <w:szCs w:val="24"/>
          <w:lang w:val="en-ID"/>
        </w:rPr>
        <w:t xml:space="preserve"> 17 </w:t>
      </w:r>
      <w:proofErr w:type="spellStart"/>
      <w:r w:rsidRPr="00C57E69">
        <w:rPr>
          <w:rFonts w:ascii="Adobe Garamond Pro" w:hAnsi="Adobe Garamond Pro"/>
          <w:sz w:val="24"/>
          <w:szCs w:val="24"/>
          <w:lang w:val="en-ID"/>
        </w:rPr>
        <w:t>Tahun</w:t>
      </w:r>
      <w:proofErr w:type="spellEnd"/>
      <w:r w:rsidRPr="00C57E69">
        <w:rPr>
          <w:rFonts w:ascii="Adobe Garamond Pro" w:hAnsi="Adobe Garamond Pro"/>
          <w:sz w:val="24"/>
          <w:szCs w:val="24"/>
          <w:lang w:val="en-ID"/>
        </w:rPr>
        <w:t xml:space="preserve"> 2023 </w:t>
      </w:r>
      <w:proofErr w:type="spellStart"/>
      <w:r w:rsidRPr="00C57E69">
        <w:rPr>
          <w:rFonts w:ascii="Adobe Garamond Pro" w:hAnsi="Adobe Garamond Pro"/>
          <w:sz w:val="24"/>
          <w:szCs w:val="24"/>
          <w:lang w:val="en-ID"/>
        </w:rPr>
        <w:t>tentang</w:t>
      </w:r>
      <w:proofErr w:type="spellEnd"/>
      <w:r w:rsidRPr="00C57E69">
        <w:rPr>
          <w:rFonts w:ascii="Adobe Garamond Pro" w:hAnsi="Adobe Garamond Pro"/>
          <w:sz w:val="24"/>
          <w:szCs w:val="24"/>
          <w:lang w:val="en-ID"/>
        </w:rPr>
        <w:t xml:space="preserve"> Kesehatan.</w:t>
      </w:r>
    </w:p>
    <w:p w14:paraId="155A269D"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proofErr w:type="spellStart"/>
      <w:r w:rsidRPr="00C57E69">
        <w:rPr>
          <w:rFonts w:ascii="Adobe Garamond Pro" w:hAnsi="Adobe Garamond Pro"/>
          <w:sz w:val="24"/>
          <w:szCs w:val="24"/>
          <w:lang w:val="en-ID"/>
        </w:rPr>
        <w:t>Peraturan</w:t>
      </w:r>
      <w:proofErr w:type="spellEnd"/>
      <w:r w:rsidRPr="00C57E69">
        <w:rPr>
          <w:rFonts w:ascii="Adobe Garamond Pro" w:hAnsi="Adobe Garamond Pro"/>
          <w:sz w:val="24"/>
          <w:szCs w:val="24"/>
          <w:lang w:val="en-ID"/>
        </w:rPr>
        <w:t xml:space="preserve"> Menteri Kesehatan </w:t>
      </w:r>
      <w:proofErr w:type="spellStart"/>
      <w:r w:rsidRPr="00C57E69">
        <w:rPr>
          <w:rFonts w:ascii="Adobe Garamond Pro" w:hAnsi="Adobe Garamond Pro"/>
          <w:sz w:val="24"/>
          <w:szCs w:val="24"/>
          <w:lang w:val="en-ID"/>
        </w:rPr>
        <w:t>Nomor</w:t>
      </w:r>
      <w:proofErr w:type="spellEnd"/>
      <w:r w:rsidRPr="00C57E69">
        <w:rPr>
          <w:rFonts w:ascii="Adobe Garamond Pro" w:hAnsi="Adobe Garamond Pro"/>
          <w:sz w:val="24"/>
          <w:szCs w:val="24"/>
          <w:lang w:val="en-ID"/>
        </w:rPr>
        <w:t xml:space="preserve"> 290 </w:t>
      </w:r>
      <w:proofErr w:type="spellStart"/>
      <w:r w:rsidRPr="00C57E69">
        <w:rPr>
          <w:rFonts w:ascii="Adobe Garamond Pro" w:hAnsi="Adobe Garamond Pro"/>
          <w:sz w:val="24"/>
          <w:szCs w:val="24"/>
          <w:lang w:val="en-ID"/>
        </w:rPr>
        <w:t>Tahun</w:t>
      </w:r>
      <w:proofErr w:type="spellEnd"/>
      <w:r w:rsidRPr="00C57E69">
        <w:rPr>
          <w:rFonts w:ascii="Adobe Garamond Pro" w:hAnsi="Adobe Garamond Pro"/>
          <w:sz w:val="24"/>
          <w:szCs w:val="24"/>
          <w:lang w:val="en-ID"/>
        </w:rPr>
        <w:t xml:space="preserve"> 2008 </w:t>
      </w:r>
      <w:proofErr w:type="spellStart"/>
      <w:r w:rsidRPr="00C57E69">
        <w:rPr>
          <w:rFonts w:ascii="Adobe Garamond Pro" w:hAnsi="Adobe Garamond Pro"/>
          <w:sz w:val="24"/>
          <w:szCs w:val="24"/>
          <w:lang w:val="en-ID"/>
        </w:rPr>
        <w:t>tentang</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Persetujuan</w:t>
      </w:r>
      <w:proofErr w:type="spellEnd"/>
      <w:r w:rsidRPr="00C57E69">
        <w:rPr>
          <w:rFonts w:ascii="Adobe Garamond Pro" w:hAnsi="Adobe Garamond Pro"/>
          <w:sz w:val="24"/>
          <w:szCs w:val="24"/>
          <w:lang w:val="en-ID"/>
        </w:rPr>
        <w:t xml:space="preserve"> Tindakan </w:t>
      </w:r>
      <w:proofErr w:type="spellStart"/>
      <w:r w:rsidRPr="00C57E69">
        <w:rPr>
          <w:rFonts w:ascii="Adobe Garamond Pro" w:hAnsi="Adobe Garamond Pro"/>
          <w:sz w:val="24"/>
          <w:szCs w:val="24"/>
          <w:lang w:val="en-ID"/>
        </w:rPr>
        <w:t>Kedokteran</w:t>
      </w:r>
      <w:proofErr w:type="spellEnd"/>
      <w:r w:rsidRPr="00C57E69">
        <w:rPr>
          <w:rFonts w:ascii="Adobe Garamond Pro" w:hAnsi="Adobe Garamond Pro"/>
          <w:sz w:val="24"/>
          <w:szCs w:val="24"/>
          <w:lang w:val="en-ID"/>
        </w:rPr>
        <w:t>.</w:t>
      </w:r>
    </w:p>
    <w:p w14:paraId="3E88177F"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proofErr w:type="spellStart"/>
      <w:r w:rsidRPr="00C57E69">
        <w:rPr>
          <w:rFonts w:ascii="Adobe Garamond Pro" w:hAnsi="Adobe Garamond Pro"/>
          <w:sz w:val="24"/>
          <w:szCs w:val="24"/>
          <w:lang w:val="en-ID"/>
        </w:rPr>
        <w:t>Peraturan</w:t>
      </w:r>
      <w:proofErr w:type="spellEnd"/>
      <w:r w:rsidRPr="00C57E69">
        <w:rPr>
          <w:rFonts w:ascii="Adobe Garamond Pro" w:hAnsi="Adobe Garamond Pro"/>
          <w:sz w:val="24"/>
          <w:szCs w:val="24"/>
          <w:lang w:val="en-ID"/>
        </w:rPr>
        <w:t xml:space="preserve"> Menteri Kesehatan </w:t>
      </w:r>
      <w:proofErr w:type="spellStart"/>
      <w:r w:rsidRPr="00C57E69">
        <w:rPr>
          <w:rFonts w:ascii="Adobe Garamond Pro" w:hAnsi="Adobe Garamond Pro"/>
          <w:sz w:val="24"/>
          <w:szCs w:val="24"/>
          <w:lang w:val="en-ID"/>
        </w:rPr>
        <w:t>Nomor</w:t>
      </w:r>
      <w:proofErr w:type="spellEnd"/>
      <w:r w:rsidRPr="00C57E69">
        <w:rPr>
          <w:rFonts w:ascii="Adobe Garamond Pro" w:hAnsi="Adobe Garamond Pro"/>
          <w:sz w:val="24"/>
          <w:szCs w:val="24"/>
          <w:lang w:val="en-ID"/>
        </w:rPr>
        <w:t xml:space="preserve"> 24 </w:t>
      </w:r>
      <w:proofErr w:type="spellStart"/>
      <w:r w:rsidRPr="00C57E69">
        <w:rPr>
          <w:rFonts w:ascii="Adobe Garamond Pro" w:hAnsi="Adobe Garamond Pro"/>
          <w:sz w:val="24"/>
          <w:szCs w:val="24"/>
          <w:lang w:val="en-ID"/>
        </w:rPr>
        <w:t>Tahun</w:t>
      </w:r>
      <w:proofErr w:type="spellEnd"/>
      <w:r w:rsidRPr="00C57E69">
        <w:rPr>
          <w:rFonts w:ascii="Adobe Garamond Pro" w:hAnsi="Adobe Garamond Pro"/>
          <w:sz w:val="24"/>
          <w:szCs w:val="24"/>
          <w:lang w:val="en-ID"/>
        </w:rPr>
        <w:t xml:space="preserve"> 2022 </w:t>
      </w:r>
      <w:proofErr w:type="spellStart"/>
      <w:r w:rsidRPr="00C57E69">
        <w:rPr>
          <w:rFonts w:ascii="Adobe Garamond Pro" w:hAnsi="Adobe Garamond Pro"/>
          <w:sz w:val="24"/>
          <w:szCs w:val="24"/>
          <w:lang w:val="en-ID"/>
        </w:rPr>
        <w:t>tentang</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Rekam</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Medis</w:t>
      </w:r>
      <w:proofErr w:type="spellEnd"/>
      <w:r w:rsidRPr="00C57E69">
        <w:rPr>
          <w:rFonts w:ascii="Adobe Garamond Pro" w:hAnsi="Adobe Garamond Pro"/>
          <w:sz w:val="24"/>
          <w:szCs w:val="24"/>
          <w:lang w:val="en-ID"/>
        </w:rPr>
        <w:t>.</w:t>
      </w:r>
    </w:p>
    <w:p w14:paraId="7A0FC56C" w14:textId="77777777" w:rsidR="00552229" w:rsidRDefault="00552229" w:rsidP="00C57E69">
      <w:pPr>
        <w:tabs>
          <w:tab w:val="left" w:pos="0"/>
        </w:tabs>
        <w:spacing w:after="0" w:line="240" w:lineRule="auto"/>
        <w:jc w:val="both"/>
        <w:rPr>
          <w:rFonts w:ascii="Adobe Garamond Pro" w:hAnsi="Adobe Garamond Pro"/>
          <w:b/>
          <w:bCs/>
          <w:sz w:val="24"/>
          <w:szCs w:val="24"/>
          <w:lang w:val="en-ID"/>
        </w:rPr>
      </w:pPr>
    </w:p>
    <w:p w14:paraId="05FA4166" w14:textId="5135050E" w:rsidR="00C57E69" w:rsidRPr="00C57E69" w:rsidRDefault="00C57E69" w:rsidP="00C57E69">
      <w:pPr>
        <w:tabs>
          <w:tab w:val="left" w:pos="0"/>
        </w:tabs>
        <w:spacing w:after="0" w:line="240" w:lineRule="auto"/>
        <w:jc w:val="both"/>
        <w:rPr>
          <w:rFonts w:ascii="Adobe Garamond Pro" w:hAnsi="Adobe Garamond Pro"/>
          <w:b/>
          <w:bCs/>
          <w:sz w:val="24"/>
          <w:szCs w:val="24"/>
          <w:lang w:val="en-ID"/>
        </w:rPr>
      </w:pPr>
      <w:r w:rsidRPr="00C57E69">
        <w:rPr>
          <w:rFonts w:ascii="Adobe Garamond Pro" w:hAnsi="Adobe Garamond Pro"/>
          <w:b/>
          <w:bCs/>
          <w:sz w:val="24"/>
          <w:szCs w:val="24"/>
          <w:lang w:val="en-ID"/>
        </w:rPr>
        <w:t>Court Decisions</w:t>
      </w:r>
    </w:p>
    <w:p w14:paraId="6CABACDC" w14:textId="7B8F0697" w:rsidR="00C57E69" w:rsidRPr="00C57E69" w:rsidRDefault="00C57E69" w:rsidP="00552229">
      <w:pPr>
        <w:spacing w:after="0" w:line="240" w:lineRule="auto"/>
        <w:ind w:left="567" w:hanging="567"/>
        <w:jc w:val="both"/>
        <w:rPr>
          <w:rFonts w:ascii="Adobe Garamond Pro" w:hAnsi="Adobe Garamond Pro"/>
          <w:b/>
          <w:bCs/>
          <w:sz w:val="24"/>
          <w:szCs w:val="24"/>
          <w:lang w:val="en-ID"/>
        </w:rPr>
      </w:pPr>
      <w:proofErr w:type="spellStart"/>
      <w:r w:rsidRPr="00C57E69">
        <w:rPr>
          <w:rFonts w:ascii="Adobe Garamond Pro" w:hAnsi="Adobe Garamond Pro"/>
          <w:sz w:val="24"/>
          <w:szCs w:val="24"/>
          <w:lang w:val="en-ID"/>
        </w:rPr>
        <w:t>Putusan</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Pengadilan</w:t>
      </w:r>
      <w:proofErr w:type="spellEnd"/>
      <w:r w:rsidRPr="00C57E69">
        <w:rPr>
          <w:rFonts w:ascii="Adobe Garamond Pro" w:hAnsi="Adobe Garamond Pro"/>
          <w:sz w:val="24"/>
          <w:szCs w:val="24"/>
          <w:lang w:val="en-ID"/>
        </w:rPr>
        <w:t xml:space="preserve"> Negeri Jakarta Pusat </w:t>
      </w:r>
      <w:proofErr w:type="spellStart"/>
      <w:r w:rsidRPr="00C57E69">
        <w:rPr>
          <w:rFonts w:ascii="Adobe Garamond Pro" w:hAnsi="Adobe Garamond Pro"/>
          <w:sz w:val="24"/>
          <w:szCs w:val="24"/>
          <w:lang w:val="en-ID"/>
        </w:rPr>
        <w:t>Nomor</w:t>
      </w:r>
      <w:proofErr w:type="spellEnd"/>
      <w:r w:rsidRPr="00C57E69">
        <w:rPr>
          <w:rFonts w:ascii="Adobe Garamond Pro" w:hAnsi="Adobe Garamond Pro"/>
          <w:sz w:val="24"/>
          <w:szCs w:val="24"/>
          <w:lang w:val="en-ID"/>
        </w:rPr>
        <w:t xml:space="preserve"> 615/</w:t>
      </w:r>
      <w:proofErr w:type="spellStart"/>
      <w:r w:rsidRPr="00C57E69">
        <w:rPr>
          <w:rFonts w:ascii="Adobe Garamond Pro" w:hAnsi="Adobe Garamond Pro"/>
          <w:sz w:val="24"/>
          <w:szCs w:val="24"/>
          <w:lang w:val="en-ID"/>
        </w:rPr>
        <w:t>Pdt.G</w:t>
      </w:r>
      <w:proofErr w:type="spellEnd"/>
      <w:r w:rsidRPr="00C57E69">
        <w:rPr>
          <w:rFonts w:ascii="Adobe Garamond Pro" w:hAnsi="Adobe Garamond Pro"/>
          <w:sz w:val="24"/>
          <w:szCs w:val="24"/>
          <w:lang w:val="en-ID"/>
        </w:rPr>
        <w:t>/2019/</w:t>
      </w:r>
      <w:proofErr w:type="spellStart"/>
      <w:proofErr w:type="gramStart"/>
      <w:r w:rsidRPr="00C57E69">
        <w:rPr>
          <w:rFonts w:ascii="Adobe Garamond Pro" w:hAnsi="Adobe Garamond Pro"/>
          <w:sz w:val="24"/>
          <w:szCs w:val="24"/>
          <w:lang w:val="en-ID"/>
        </w:rPr>
        <w:t>PN.Jkt.Pst</w:t>
      </w:r>
      <w:proofErr w:type="spellEnd"/>
      <w:proofErr w:type="gramEnd"/>
      <w:r w:rsidRPr="00C57E69">
        <w:rPr>
          <w:rFonts w:ascii="Adobe Garamond Pro" w:hAnsi="Adobe Garamond Pro"/>
          <w:sz w:val="24"/>
          <w:szCs w:val="24"/>
          <w:lang w:val="en-ID"/>
        </w:rPr>
        <w:t xml:space="preserve">, cited in: MKDKI, </w:t>
      </w:r>
      <w:proofErr w:type="spellStart"/>
      <w:r w:rsidRPr="00C57E69">
        <w:rPr>
          <w:rFonts w:ascii="Adobe Garamond Pro" w:hAnsi="Adobe Garamond Pro"/>
          <w:sz w:val="24"/>
          <w:szCs w:val="24"/>
          <w:lang w:val="en-ID"/>
        </w:rPr>
        <w:t>Laporan</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Tahunan</w:t>
      </w:r>
      <w:proofErr w:type="spellEnd"/>
      <w:r w:rsidRPr="00C57E69">
        <w:rPr>
          <w:rFonts w:ascii="Adobe Garamond Pro" w:hAnsi="Adobe Garamond Pro"/>
          <w:sz w:val="24"/>
          <w:szCs w:val="24"/>
          <w:lang w:val="en-ID"/>
        </w:rPr>
        <w:t xml:space="preserve"> 2020</w:t>
      </w:r>
      <w:r w:rsidR="00552229">
        <w:rPr>
          <w:rFonts w:ascii="Adobe Garamond Pro" w:hAnsi="Adobe Garamond Pro"/>
          <w:sz w:val="24"/>
          <w:szCs w:val="24"/>
          <w:lang w:val="en-ID"/>
        </w:rPr>
        <w:t>.</w:t>
      </w:r>
    </w:p>
    <w:p w14:paraId="111366B7" w14:textId="77777777" w:rsidR="00C57E69" w:rsidRDefault="00C57E69" w:rsidP="00C57E69">
      <w:pPr>
        <w:tabs>
          <w:tab w:val="left" w:pos="0"/>
        </w:tabs>
        <w:spacing w:after="0" w:line="240" w:lineRule="auto"/>
        <w:jc w:val="both"/>
        <w:rPr>
          <w:rFonts w:ascii="Adobe Garamond Pro" w:hAnsi="Adobe Garamond Pro"/>
          <w:b/>
          <w:bCs/>
          <w:sz w:val="24"/>
          <w:szCs w:val="24"/>
          <w:lang w:val="en-ID"/>
        </w:rPr>
      </w:pPr>
    </w:p>
    <w:p w14:paraId="37F14022" w14:textId="77777777" w:rsidR="00552229" w:rsidRPr="00C57E69" w:rsidRDefault="00552229" w:rsidP="00C57E69">
      <w:pPr>
        <w:tabs>
          <w:tab w:val="left" w:pos="0"/>
        </w:tabs>
        <w:spacing w:after="0" w:line="240" w:lineRule="auto"/>
        <w:jc w:val="both"/>
        <w:rPr>
          <w:rFonts w:ascii="Adobe Garamond Pro" w:hAnsi="Adobe Garamond Pro"/>
          <w:b/>
          <w:bCs/>
          <w:sz w:val="24"/>
          <w:szCs w:val="24"/>
          <w:lang w:val="en-ID"/>
        </w:rPr>
      </w:pPr>
    </w:p>
    <w:p w14:paraId="30583873" w14:textId="77777777" w:rsidR="00C57E69" w:rsidRPr="00C57E69" w:rsidRDefault="00C57E69" w:rsidP="00C57E69">
      <w:pPr>
        <w:tabs>
          <w:tab w:val="left" w:pos="0"/>
        </w:tabs>
        <w:spacing w:after="0" w:line="240" w:lineRule="auto"/>
        <w:jc w:val="both"/>
        <w:rPr>
          <w:rFonts w:ascii="Adobe Garamond Pro" w:hAnsi="Adobe Garamond Pro"/>
          <w:b/>
          <w:bCs/>
          <w:sz w:val="24"/>
          <w:szCs w:val="24"/>
          <w:lang w:val="en-ID"/>
        </w:rPr>
      </w:pPr>
      <w:r w:rsidRPr="00C57E69">
        <w:rPr>
          <w:rFonts w:ascii="Adobe Garamond Pro" w:hAnsi="Adobe Garamond Pro"/>
          <w:b/>
          <w:bCs/>
          <w:sz w:val="24"/>
          <w:szCs w:val="24"/>
          <w:lang w:val="en-ID"/>
        </w:rPr>
        <w:lastRenderedPageBreak/>
        <w:t>Books and Monographs</w:t>
      </w:r>
    </w:p>
    <w:p w14:paraId="437A4F92"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proofErr w:type="spellStart"/>
      <w:r w:rsidRPr="00C57E69">
        <w:rPr>
          <w:rFonts w:ascii="Adobe Garamond Pro" w:hAnsi="Adobe Garamond Pro"/>
          <w:sz w:val="24"/>
          <w:szCs w:val="24"/>
          <w:lang w:val="en-ID"/>
        </w:rPr>
        <w:t>Sudikno</w:t>
      </w:r>
      <w:proofErr w:type="spellEnd"/>
      <w:r w:rsidRPr="00C57E69">
        <w:rPr>
          <w:rFonts w:ascii="Adobe Garamond Pro" w:hAnsi="Adobe Garamond Pro"/>
          <w:sz w:val="24"/>
          <w:szCs w:val="24"/>
          <w:lang w:val="en-ID"/>
        </w:rPr>
        <w:t xml:space="preserve"> Mertokusumo, </w:t>
      </w:r>
      <w:proofErr w:type="spellStart"/>
      <w:r w:rsidRPr="00C57E69">
        <w:rPr>
          <w:rFonts w:ascii="Adobe Garamond Pro" w:hAnsi="Adobe Garamond Pro"/>
          <w:sz w:val="24"/>
          <w:szCs w:val="24"/>
          <w:lang w:val="en-ID"/>
        </w:rPr>
        <w:t>Penemuan</w:t>
      </w:r>
      <w:proofErr w:type="spellEnd"/>
      <w:r w:rsidRPr="00C57E69">
        <w:rPr>
          <w:rFonts w:ascii="Adobe Garamond Pro" w:hAnsi="Adobe Garamond Pro"/>
          <w:sz w:val="24"/>
          <w:szCs w:val="24"/>
          <w:lang w:val="en-ID"/>
        </w:rPr>
        <w:t xml:space="preserve"> Hukum: </w:t>
      </w:r>
      <w:proofErr w:type="spellStart"/>
      <w:r w:rsidRPr="00C57E69">
        <w:rPr>
          <w:rFonts w:ascii="Adobe Garamond Pro" w:hAnsi="Adobe Garamond Pro"/>
          <w:sz w:val="24"/>
          <w:szCs w:val="24"/>
          <w:lang w:val="en-ID"/>
        </w:rPr>
        <w:t>Sebuah</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Pengantar</w:t>
      </w:r>
      <w:proofErr w:type="spellEnd"/>
      <w:r w:rsidRPr="00C57E69">
        <w:rPr>
          <w:rFonts w:ascii="Adobe Garamond Pro" w:hAnsi="Adobe Garamond Pro"/>
          <w:sz w:val="24"/>
          <w:szCs w:val="24"/>
          <w:lang w:val="en-ID"/>
        </w:rPr>
        <w:t>, Yogyakarta: Liberty, 2007.</w:t>
      </w:r>
    </w:p>
    <w:p w14:paraId="464B6BEE"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r w:rsidRPr="00C57E69">
        <w:rPr>
          <w:rFonts w:ascii="Adobe Garamond Pro" w:hAnsi="Adobe Garamond Pro"/>
          <w:sz w:val="24"/>
          <w:szCs w:val="24"/>
          <w:lang w:val="en-ID"/>
        </w:rPr>
        <w:t>Kurtz, S., Silverman, J., &amp; Draper, J., Teaching and Learning Communication Skills in Medicine, Oxford: Radcliffe Medical Press, 2005.</w:t>
      </w:r>
    </w:p>
    <w:p w14:paraId="567865C6"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r w:rsidRPr="00C57E69">
        <w:rPr>
          <w:rFonts w:ascii="Adobe Garamond Pro" w:hAnsi="Adobe Garamond Pro"/>
          <w:sz w:val="24"/>
          <w:szCs w:val="24"/>
          <w:lang w:val="en-ID"/>
        </w:rPr>
        <w:t>J.C. Braithwaite et al., Health Administration and Communication: Legal Perspectives, Sydney: McGraw-Hill, 2018.</w:t>
      </w:r>
    </w:p>
    <w:p w14:paraId="63E52E60"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r w:rsidRPr="00C57E69">
        <w:rPr>
          <w:rFonts w:ascii="Adobe Garamond Pro" w:hAnsi="Adobe Garamond Pro"/>
          <w:sz w:val="24"/>
          <w:szCs w:val="24"/>
          <w:lang w:val="en-ID"/>
        </w:rPr>
        <w:t>Institute for Healthcare Improvement (IHI), SBAR Toolkit for Effective Clinical Communication, Boston: IHI, 2006.</w:t>
      </w:r>
    </w:p>
    <w:p w14:paraId="6A3103B8"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r w:rsidRPr="00C57E69">
        <w:rPr>
          <w:rFonts w:ascii="Adobe Garamond Pro" w:hAnsi="Adobe Garamond Pro"/>
          <w:sz w:val="24"/>
          <w:szCs w:val="24"/>
          <w:lang w:val="en-ID"/>
        </w:rPr>
        <w:t>Hippocrates, Precepts, quoted in B. Lyons (ed.), Medical Ethics: A Comparative Study, London: Routledge, 2012.</w:t>
      </w:r>
    </w:p>
    <w:p w14:paraId="41C4ABCC" w14:textId="77777777" w:rsidR="00552229" w:rsidRDefault="00552229" w:rsidP="00552229">
      <w:pPr>
        <w:tabs>
          <w:tab w:val="left" w:pos="567"/>
        </w:tabs>
        <w:spacing w:after="0" w:line="240" w:lineRule="auto"/>
        <w:ind w:left="567" w:hanging="567"/>
        <w:jc w:val="both"/>
        <w:rPr>
          <w:rFonts w:ascii="Adobe Garamond Pro" w:hAnsi="Adobe Garamond Pro"/>
          <w:b/>
          <w:bCs/>
          <w:sz w:val="24"/>
          <w:szCs w:val="24"/>
          <w:lang w:val="en-ID"/>
        </w:rPr>
      </w:pPr>
    </w:p>
    <w:p w14:paraId="7568AACB" w14:textId="2E45AB2D" w:rsidR="00C57E69" w:rsidRPr="00C57E69" w:rsidRDefault="00C57E69" w:rsidP="00552229">
      <w:pPr>
        <w:tabs>
          <w:tab w:val="left" w:pos="567"/>
        </w:tabs>
        <w:spacing w:after="0" w:line="240" w:lineRule="auto"/>
        <w:ind w:left="567" w:hanging="567"/>
        <w:jc w:val="both"/>
        <w:rPr>
          <w:rFonts w:ascii="Adobe Garamond Pro" w:hAnsi="Adobe Garamond Pro"/>
          <w:b/>
          <w:bCs/>
          <w:sz w:val="24"/>
          <w:szCs w:val="24"/>
          <w:lang w:val="en-ID"/>
        </w:rPr>
      </w:pPr>
      <w:r w:rsidRPr="00C57E69">
        <w:rPr>
          <w:rFonts w:ascii="Adobe Garamond Pro" w:hAnsi="Adobe Garamond Pro"/>
          <w:b/>
          <w:bCs/>
          <w:sz w:val="24"/>
          <w:szCs w:val="24"/>
          <w:lang w:val="en-ID"/>
        </w:rPr>
        <w:t>Journal Articles</w:t>
      </w:r>
    </w:p>
    <w:p w14:paraId="4B6D1EBD"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r w:rsidRPr="00C57E69">
        <w:rPr>
          <w:rFonts w:ascii="Adobe Garamond Pro" w:hAnsi="Adobe Garamond Pro"/>
          <w:sz w:val="24"/>
          <w:szCs w:val="24"/>
          <w:lang w:val="en-ID"/>
        </w:rPr>
        <w:t>J. Haig, S. Sutton, and J. Whittington, “SBAR: A Shared Mental Model for Improving Communication Between Clinicians,” The Joint Commission Journal on Quality and Patient Safety, Vol. 32 No. 3, 2006, pp. 168–175.</w:t>
      </w:r>
    </w:p>
    <w:p w14:paraId="34410F34"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r w:rsidRPr="00C57E69">
        <w:rPr>
          <w:rFonts w:ascii="Adobe Garamond Pro" w:hAnsi="Adobe Garamond Pro"/>
          <w:sz w:val="24"/>
          <w:szCs w:val="24"/>
          <w:lang w:val="en-ID"/>
        </w:rPr>
        <w:t>AORN Journal, “Best Practices in Closed-Loop Communication,” AORN Journal, Vol. 108 No. 5, 2018, pp. 412–414.</w:t>
      </w:r>
    </w:p>
    <w:p w14:paraId="3EF10FDD"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r w:rsidRPr="00C57E69">
        <w:rPr>
          <w:rFonts w:ascii="Adobe Garamond Pro" w:hAnsi="Adobe Garamond Pro"/>
          <w:sz w:val="24"/>
          <w:szCs w:val="24"/>
          <w:lang w:val="en-ID"/>
        </w:rPr>
        <w:t>Sylvia Sumarlin, “</w:t>
      </w:r>
      <w:proofErr w:type="spellStart"/>
      <w:r w:rsidRPr="00C57E69">
        <w:rPr>
          <w:rFonts w:ascii="Adobe Garamond Pro" w:hAnsi="Adobe Garamond Pro"/>
          <w:sz w:val="24"/>
          <w:szCs w:val="24"/>
          <w:lang w:val="en-ID"/>
        </w:rPr>
        <w:t>Tanggung</w:t>
      </w:r>
      <w:proofErr w:type="spellEnd"/>
      <w:r w:rsidRPr="00C57E69">
        <w:rPr>
          <w:rFonts w:ascii="Adobe Garamond Pro" w:hAnsi="Adobe Garamond Pro"/>
          <w:sz w:val="24"/>
          <w:szCs w:val="24"/>
          <w:lang w:val="en-ID"/>
        </w:rPr>
        <w:t xml:space="preserve"> Jawab Hukum Dokter </w:t>
      </w:r>
      <w:proofErr w:type="spellStart"/>
      <w:r w:rsidRPr="00C57E69">
        <w:rPr>
          <w:rFonts w:ascii="Adobe Garamond Pro" w:hAnsi="Adobe Garamond Pro"/>
          <w:sz w:val="24"/>
          <w:szCs w:val="24"/>
          <w:lang w:val="en-ID"/>
        </w:rPr>
        <w:t>Akibat</w:t>
      </w:r>
      <w:proofErr w:type="spellEnd"/>
      <w:r w:rsidRPr="00C57E69">
        <w:rPr>
          <w:rFonts w:ascii="Adobe Garamond Pro" w:hAnsi="Adobe Garamond Pro"/>
          <w:sz w:val="24"/>
          <w:szCs w:val="24"/>
          <w:lang w:val="en-ID"/>
        </w:rPr>
        <w:t xml:space="preserve"> Tidak </w:t>
      </w:r>
      <w:proofErr w:type="spellStart"/>
      <w:r w:rsidRPr="00C57E69">
        <w:rPr>
          <w:rFonts w:ascii="Adobe Garamond Pro" w:hAnsi="Adobe Garamond Pro"/>
          <w:sz w:val="24"/>
          <w:szCs w:val="24"/>
          <w:lang w:val="en-ID"/>
        </w:rPr>
        <w:t>Memberikan</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Informasi</w:t>
      </w:r>
      <w:proofErr w:type="spellEnd"/>
      <w:r w:rsidRPr="00C57E69">
        <w:rPr>
          <w:rFonts w:ascii="Adobe Garamond Pro" w:hAnsi="Adobe Garamond Pro"/>
          <w:sz w:val="24"/>
          <w:szCs w:val="24"/>
          <w:lang w:val="en-ID"/>
        </w:rPr>
        <w:t xml:space="preserve"> yang </w:t>
      </w:r>
      <w:proofErr w:type="spellStart"/>
      <w:r w:rsidRPr="00C57E69">
        <w:rPr>
          <w:rFonts w:ascii="Adobe Garamond Pro" w:hAnsi="Adobe Garamond Pro"/>
          <w:sz w:val="24"/>
          <w:szCs w:val="24"/>
          <w:lang w:val="en-ID"/>
        </w:rPr>
        <w:t>Lengkap</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Jurnal</w:t>
      </w:r>
      <w:proofErr w:type="spellEnd"/>
      <w:r w:rsidRPr="00C57E69">
        <w:rPr>
          <w:rFonts w:ascii="Adobe Garamond Pro" w:hAnsi="Adobe Garamond Pro"/>
          <w:sz w:val="24"/>
          <w:szCs w:val="24"/>
          <w:lang w:val="en-ID"/>
        </w:rPr>
        <w:t xml:space="preserve"> Etika </w:t>
      </w:r>
      <w:proofErr w:type="spellStart"/>
      <w:r w:rsidRPr="00C57E69">
        <w:rPr>
          <w:rFonts w:ascii="Adobe Garamond Pro" w:hAnsi="Adobe Garamond Pro"/>
          <w:sz w:val="24"/>
          <w:szCs w:val="24"/>
          <w:lang w:val="en-ID"/>
        </w:rPr>
        <w:t>Kedokteran</w:t>
      </w:r>
      <w:proofErr w:type="spellEnd"/>
      <w:r w:rsidRPr="00C57E69">
        <w:rPr>
          <w:rFonts w:ascii="Adobe Garamond Pro" w:hAnsi="Adobe Garamond Pro"/>
          <w:sz w:val="24"/>
          <w:szCs w:val="24"/>
          <w:lang w:val="en-ID"/>
        </w:rPr>
        <w:t xml:space="preserve"> Indonesia, Vol. 5 No. 2, 2016, p. 134.</w:t>
      </w:r>
    </w:p>
    <w:p w14:paraId="5787F22E" w14:textId="77777777" w:rsidR="00552229" w:rsidRDefault="00552229" w:rsidP="00552229">
      <w:pPr>
        <w:tabs>
          <w:tab w:val="left" w:pos="567"/>
        </w:tabs>
        <w:spacing w:after="0" w:line="240" w:lineRule="auto"/>
        <w:ind w:left="567" w:hanging="567"/>
        <w:jc w:val="both"/>
        <w:rPr>
          <w:rFonts w:ascii="Adobe Garamond Pro" w:hAnsi="Adobe Garamond Pro"/>
          <w:b/>
          <w:bCs/>
          <w:sz w:val="24"/>
          <w:szCs w:val="24"/>
          <w:lang w:val="en-ID"/>
        </w:rPr>
      </w:pPr>
    </w:p>
    <w:p w14:paraId="40FA602F" w14:textId="30FF91C5" w:rsidR="00C57E69" w:rsidRPr="00C57E69" w:rsidRDefault="00C57E69" w:rsidP="00552229">
      <w:pPr>
        <w:tabs>
          <w:tab w:val="left" w:pos="567"/>
        </w:tabs>
        <w:spacing w:after="0" w:line="240" w:lineRule="auto"/>
        <w:ind w:left="567" w:hanging="567"/>
        <w:jc w:val="both"/>
        <w:rPr>
          <w:rFonts w:ascii="Adobe Garamond Pro" w:hAnsi="Adobe Garamond Pro"/>
          <w:b/>
          <w:bCs/>
          <w:sz w:val="24"/>
          <w:szCs w:val="24"/>
          <w:lang w:val="en-ID"/>
        </w:rPr>
      </w:pPr>
      <w:r w:rsidRPr="00C57E69">
        <w:rPr>
          <w:rFonts w:ascii="Adobe Garamond Pro" w:hAnsi="Adobe Garamond Pro"/>
          <w:b/>
          <w:bCs/>
          <w:sz w:val="24"/>
          <w:szCs w:val="24"/>
          <w:lang w:val="en-ID"/>
        </w:rPr>
        <w:t>Institutional Reports</w:t>
      </w:r>
    </w:p>
    <w:p w14:paraId="6048CF2D"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r w:rsidRPr="00C57E69">
        <w:rPr>
          <w:rFonts w:ascii="Adobe Garamond Pro" w:hAnsi="Adobe Garamond Pro"/>
          <w:sz w:val="24"/>
          <w:szCs w:val="24"/>
          <w:lang w:val="en-ID"/>
        </w:rPr>
        <w:t>The Joint Commission, Improving America’s Hospitals: The Joint Commission’s Annual Report on Quality and Safety 2008, Illinois: JCAHO, 2008.</w:t>
      </w:r>
    </w:p>
    <w:p w14:paraId="6440E4F6" w14:textId="77777777" w:rsidR="00C57E69" w:rsidRPr="00C57E69" w:rsidRDefault="00C57E69" w:rsidP="00552229">
      <w:pPr>
        <w:tabs>
          <w:tab w:val="left" w:pos="567"/>
        </w:tabs>
        <w:spacing w:after="0" w:line="240" w:lineRule="auto"/>
        <w:ind w:left="567" w:hanging="567"/>
        <w:jc w:val="both"/>
        <w:rPr>
          <w:rFonts w:ascii="Adobe Garamond Pro" w:hAnsi="Adobe Garamond Pro"/>
          <w:sz w:val="24"/>
          <w:szCs w:val="24"/>
          <w:lang w:val="en-ID"/>
        </w:rPr>
      </w:pPr>
      <w:proofErr w:type="spellStart"/>
      <w:r w:rsidRPr="00C57E69">
        <w:rPr>
          <w:rFonts w:ascii="Adobe Garamond Pro" w:hAnsi="Adobe Garamond Pro"/>
          <w:sz w:val="24"/>
          <w:szCs w:val="24"/>
          <w:lang w:val="en-ID"/>
        </w:rPr>
        <w:t>Majelis</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Kehormatan</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Disiplin</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Kedokteran</w:t>
      </w:r>
      <w:proofErr w:type="spellEnd"/>
      <w:r w:rsidRPr="00C57E69">
        <w:rPr>
          <w:rFonts w:ascii="Adobe Garamond Pro" w:hAnsi="Adobe Garamond Pro"/>
          <w:sz w:val="24"/>
          <w:szCs w:val="24"/>
          <w:lang w:val="en-ID"/>
        </w:rPr>
        <w:t xml:space="preserve"> Indonesia (MKDKI), </w:t>
      </w:r>
      <w:proofErr w:type="spellStart"/>
      <w:r w:rsidRPr="00C57E69">
        <w:rPr>
          <w:rFonts w:ascii="Adobe Garamond Pro" w:hAnsi="Adobe Garamond Pro"/>
          <w:sz w:val="24"/>
          <w:szCs w:val="24"/>
          <w:lang w:val="en-ID"/>
        </w:rPr>
        <w:t>Laporan</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Tahunan</w:t>
      </w:r>
      <w:proofErr w:type="spellEnd"/>
      <w:r w:rsidRPr="00C57E69">
        <w:rPr>
          <w:rFonts w:ascii="Adobe Garamond Pro" w:hAnsi="Adobe Garamond Pro"/>
          <w:sz w:val="24"/>
          <w:szCs w:val="24"/>
          <w:lang w:val="en-ID"/>
        </w:rPr>
        <w:t xml:space="preserve"> 2021: </w:t>
      </w:r>
      <w:proofErr w:type="spellStart"/>
      <w:r w:rsidRPr="00C57E69">
        <w:rPr>
          <w:rFonts w:ascii="Adobe Garamond Pro" w:hAnsi="Adobe Garamond Pro"/>
          <w:sz w:val="24"/>
          <w:szCs w:val="24"/>
          <w:lang w:val="en-ID"/>
        </w:rPr>
        <w:t>Statistik</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Pelanggaran</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Disiplin</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Profesi</w:t>
      </w:r>
      <w:proofErr w:type="spellEnd"/>
      <w:r w:rsidRPr="00C57E69">
        <w:rPr>
          <w:rFonts w:ascii="Adobe Garamond Pro" w:hAnsi="Adobe Garamond Pro"/>
          <w:sz w:val="24"/>
          <w:szCs w:val="24"/>
          <w:lang w:val="en-ID"/>
        </w:rPr>
        <w:t xml:space="preserve"> Dokter, Jakarta: </w:t>
      </w:r>
      <w:proofErr w:type="spellStart"/>
      <w:r w:rsidRPr="00C57E69">
        <w:rPr>
          <w:rFonts w:ascii="Adobe Garamond Pro" w:hAnsi="Adobe Garamond Pro"/>
          <w:sz w:val="24"/>
          <w:szCs w:val="24"/>
          <w:lang w:val="en-ID"/>
        </w:rPr>
        <w:t>Konsil</w:t>
      </w:r>
      <w:proofErr w:type="spellEnd"/>
      <w:r w:rsidRPr="00C57E69">
        <w:rPr>
          <w:rFonts w:ascii="Adobe Garamond Pro" w:hAnsi="Adobe Garamond Pro"/>
          <w:sz w:val="24"/>
          <w:szCs w:val="24"/>
          <w:lang w:val="en-ID"/>
        </w:rPr>
        <w:t xml:space="preserve"> </w:t>
      </w:r>
      <w:proofErr w:type="spellStart"/>
      <w:r w:rsidRPr="00C57E69">
        <w:rPr>
          <w:rFonts w:ascii="Adobe Garamond Pro" w:hAnsi="Adobe Garamond Pro"/>
          <w:sz w:val="24"/>
          <w:szCs w:val="24"/>
          <w:lang w:val="en-ID"/>
        </w:rPr>
        <w:t>Kedokteran</w:t>
      </w:r>
      <w:proofErr w:type="spellEnd"/>
      <w:r w:rsidRPr="00C57E69">
        <w:rPr>
          <w:rFonts w:ascii="Adobe Garamond Pro" w:hAnsi="Adobe Garamond Pro"/>
          <w:sz w:val="24"/>
          <w:szCs w:val="24"/>
          <w:lang w:val="en-ID"/>
        </w:rPr>
        <w:t xml:space="preserve"> Indonesia, 2022. </w:t>
      </w:r>
    </w:p>
    <w:p w14:paraId="29132FD7" w14:textId="77777777" w:rsidR="00A65BFC" w:rsidRPr="00E21003" w:rsidRDefault="00A65BFC" w:rsidP="003435FC">
      <w:pPr>
        <w:tabs>
          <w:tab w:val="left" w:pos="0"/>
        </w:tabs>
        <w:spacing w:after="0" w:line="240" w:lineRule="auto"/>
        <w:jc w:val="both"/>
        <w:rPr>
          <w:rFonts w:ascii="Adobe Garamond Pro" w:hAnsi="Adobe Garamond Pro" w:cs="Times New Roman"/>
        </w:rPr>
      </w:pPr>
    </w:p>
    <w:sectPr w:rsidR="00A65BFC" w:rsidRPr="00E21003" w:rsidSect="00C324D9">
      <w:headerReference w:type="even" r:id="rId16"/>
      <w:headerReference w:type="default" r:id="rId17"/>
      <w:pgSz w:w="9978" w:h="14179" w:code="132"/>
      <w:pgMar w:top="1701" w:right="1701" w:bottom="851" w:left="1701" w:header="720" w:footer="5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2030" w14:textId="77777777" w:rsidR="0040057E" w:rsidRDefault="0040057E" w:rsidP="00474FB7">
      <w:pPr>
        <w:spacing w:after="0" w:line="240" w:lineRule="auto"/>
      </w:pPr>
      <w:r>
        <w:separator/>
      </w:r>
    </w:p>
  </w:endnote>
  <w:endnote w:type="continuationSeparator" w:id="0">
    <w:p w14:paraId="2D5EC967" w14:textId="77777777" w:rsidR="0040057E" w:rsidRDefault="0040057E" w:rsidP="0047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 Garamond">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dobe Garamond Pro Bold">
    <w:altName w:val="Garamond"/>
    <w:panose1 w:val="00000000000000000000"/>
    <w:charset w:val="00"/>
    <w:family w:val="roman"/>
    <w:notTrueType/>
    <w:pitch w:val="variable"/>
    <w:sig w:usb0="800000AF" w:usb1="5000205B"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0111" w14:textId="77777777" w:rsidR="0040057E" w:rsidRDefault="0040057E" w:rsidP="00474FB7">
      <w:pPr>
        <w:spacing w:after="0" w:line="240" w:lineRule="auto"/>
      </w:pPr>
      <w:r>
        <w:separator/>
      </w:r>
    </w:p>
  </w:footnote>
  <w:footnote w:type="continuationSeparator" w:id="0">
    <w:p w14:paraId="67830A33" w14:textId="77777777" w:rsidR="0040057E" w:rsidRDefault="0040057E" w:rsidP="00474FB7">
      <w:pPr>
        <w:spacing w:after="0" w:line="240" w:lineRule="auto"/>
      </w:pPr>
      <w:r>
        <w:continuationSeparator/>
      </w:r>
    </w:p>
  </w:footnote>
  <w:footnote w:id="1">
    <w:p w14:paraId="289C959F" w14:textId="71AB07C1" w:rsidR="00C57E69" w:rsidRPr="00552229" w:rsidRDefault="00C57E69" w:rsidP="00552229">
      <w:pPr>
        <w:pStyle w:val="FootnoteText"/>
        <w:ind w:left="284" w:hanging="284"/>
        <w:rPr>
          <w:rFonts w:ascii="Book Antiqua" w:eastAsiaTheme="minorEastAsia" w:hAnsi="Book Antiqua"/>
          <w:sz w:val="18"/>
          <w:szCs w:val="18"/>
          <w:lang w:eastAsia="en-US"/>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color w:val="000000"/>
          <w:sz w:val="18"/>
          <w:szCs w:val="18"/>
        </w:rPr>
        <w:t>The Joint Commission, </w:t>
      </w:r>
      <w:r w:rsidRPr="00552229">
        <w:rPr>
          <w:rStyle w:val="Emphasis"/>
          <w:rFonts w:ascii="Book Antiqua" w:hAnsi="Book Antiqua"/>
          <w:color w:val="000000"/>
          <w:sz w:val="18"/>
          <w:szCs w:val="18"/>
        </w:rPr>
        <w:t>Improving America’s Hospitals: The Joint Commission’s Annual Report on Quality and Safety 2008</w:t>
      </w:r>
      <w:r w:rsidRPr="00552229">
        <w:rPr>
          <w:rFonts w:ascii="Book Antiqua" w:hAnsi="Book Antiqua"/>
          <w:color w:val="000000"/>
          <w:sz w:val="18"/>
          <w:szCs w:val="18"/>
        </w:rPr>
        <w:t>, Illinois: JCAHO, 2008, 13.</w:t>
      </w:r>
    </w:p>
  </w:footnote>
  <w:footnote w:id="2">
    <w:p w14:paraId="1A24CFF4" w14:textId="2DCA6DAF"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proofErr w:type="spellStart"/>
      <w:r w:rsidRPr="00552229">
        <w:rPr>
          <w:rFonts w:ascii="Book Antiqua" w:hAnsi="Book Antiqua"/>
          <w:color w:val="000000"/>
          <w:sz w:val="18"/>
          <w:szCs w:val="18"/>
        </w:rPr>
        <w:t>Majelis</w:t>
      </w:r>
      <w:proofErr w:type="spellEnd"/>
      <w:r w:rsidRPr="00552229">
        <w:rPr>
          <w:rFonts w:ascii="Book Antiqua" w:hAnsi="Book Antiqua"/>
          <w:color w:val="000000"/>
          <w:sz w:val="18"/>
          <w:szCs w:val="18"/>
        </w:rPr>
        <w:t xml:space="preserve"> </w:t>
      </w:r>
      <w:proofErr w:type="spellStart"/>
      <w:r w:rsidRPr="00552229">
        <w:rPr>
          <w:rFonts w:ascii="Book Antiqua" w:hAnsi="Book Antiqua"/>
          <w:color w:val="000000"/>
          <w:sz w:val="18"/>
          <w:szCs w:val="18"/>
        </w:rPr>
        <w:t>Kehormatan</w:t>
      </w:r>
      <w:proofErr w:type="spellEnd"/>
      <w:r w:rsidRPr="00552229">
        <w:rPr>
          <w:rFonts w:ascii="Book Antiqua" w:hAnsi="Book Antiqua"/>
          <w:color w:val="000000"/>
          <w:sz w:val="18"/>
          <w:szCs w:val="18"/>
        </w:rPr>
        <w:t xml:space="preserve"> </w:t>
      </w:r>
      <w:proofErr w:type="spellStart"/>
      <w:r w:rsidRPr="00552229">
        <w:rPr>
          <w:rFonts w:ascii="Book Antiqua" w:hAnsi="Book Antiqua"/>
          <w:color w:val="000000"/>
          <w:sz w:val="18"/>
          <w:szCs w:val="18"/>
        </w:rPr>
        <w:t>Disiplin</w:t>
      </w:r>
      <w:proofErr w:type="spellEnd"/>
      <w:r w:rsidRPr="00552229">
        <w:rPr>
          <w:rFonts w:ascii="Book Antiqua" w:hAnsi="Book Antiqua"/>
          <w:color w:val="000000"/>
          <w:sz w:val="18"/>
          <w:szCs w:val="18"/>
        </w:rPr>
        <w:t xml:space="preserve"> </w:t>
      </w:r>
      <w:proofErr w:type="spellStart"/>
      <w:r w:rsidRPr="00552229">
        <w:rPr>
          <w:rFonts w:ascii="Book Antiqua" w:hAnsi="Book Antiqua"/>
          <w:color w:val="000000"/>
          <w:sz w:val="18"/>
          <w:szCs w:val="18"/>
        </w:rPr>
        <w:t>Kedokteran</w:t>
      </w:r>
      <w:proofErr w:type="spellEnd"/>
      <w:r w:rsidRPr="00552229">
        <w:rPr>
          <w:rFonts w:ascii="Book Antiqua" w:hAnsi="Book Antiqua"/>
          <w:color w:val="000000"/>
          <w:sz w:val="18"/>
          <w:szCs w:val="18"/>
        </w:rPr>
        <w:t xml:space="preserve"> Indonesia (MKDKI), </w:t>
      </w:r>
      <w:proofErr w:type="spellStart"/>
      <w:r w:rsidRPr="00552229">
        <w:rPr>
          <w:rStyle w:val="Emphasis"/>
          <w:rFonts w:ascii="Book Antiqua" w:hAnsi="Book Antiqua"/>
          <w:color w:val="000000"/>
          <w:sz w:val="18"/>
          <w:szCs w:val="18"/>
        </w:rPr>
        <w:t>Laporan</w:t>
      </w:r>
      <w:proofErr w:type="spellEnd"/>
      <w:r w:rsidRPr="00552229">
        <w:rPr>
          <w:rStyle w:val="Emphasis"/>
          <w:rFonts w:ascii="Book Antiqua" w:hAnsi="Book Antiqua"/>
          <w:color w:val="000000"/>
          <w:sz w:val="18"/>
          <w:szCs w:val="18"/>
        </w:rPr>
        <w:t xml:space="preserve"> </w:t>
      </w:r>
      <w:proofErr w:type="spellStart"/>
      <w:r w:rsidRPr="00552229">
        <w:rPr>
          <w:rStyle w:val="Emphasis"/>
          <w:rFonts w:ascii="Book Antiqua" w:hAnsi="Book Antiqua"/>
          <w:color w:val="000000"/>
          <w:sz w:val="18"/>
          <w:szCs w:val="18"/>
        </w:rPr>
        <w:t>Tahunan</w:t>
      </w:r>
      <w:proofErr w:type="spellEnd"/>
      <w:r w:rsidRPr="00552229">
        <w:rPr>
          <w:rStyle w:val="Emphasis"/>
          <w:rFonts w:ascii="Book Antiqua" w:hAnsi="Book Antiqua"/>
          <w:color w:val="000000"/>
          <w:sz w:val="18"/>
          <w:szCs w:val="18"/>
        </w:rPr>
        <w:t xml:space="preserve"> 2021: </w:t>
      </w:r>
      <w:proofErr w:type="spellStart"/>
      <w:r w:rsidRPr="00552229">
        <w:rPr>
          <w:rStyle w:val="Emphasis"/>
          <w:rFonts w:ascii="Book Antiqua" w:hAnsi="Book Antiqua"/>
          <w:color w:val="000000"/>
          <w:sz w:val="18"/>
          <w:szCs w:val="18"/>
        </w:rPr>
        <w:t>Statistik</w:t>
      </w:r>
      <w:proofErr w:type="spellEnd"/>
      <w:r w:rsidRPr="00552229">
        <w:rPr>
          <w:rStyle w:val="Emphasis"/>
          <w:rFonts w:ascii="Book Antiqua" w:hAnsi="Book Antiqua"/>
          <w:color w:val="000000"/>
          <w:sz w:val="18"/>
          <w:szCs w:val="18"/>
        </w:rPr>
        <w:t xml:space="preserve"> </w:t>
      </w:r>
      <w:proofErr w:type="spellStart"/>
      <w:r w:rsidRPr="00552229">
        <w:rPr>
          <w:rStyle w:val="Emphasis"/>
          <w:rFonts w:ascii="Book Antiqua" w:hAnsi="Book Antiqua"/>
          <w:color w:val="000000"/>
          <w:sz w:val="18"/>
          <w:szCs w:val="18"/>
        </w:rPr>
        <w:t>Pelanggaran</w:t>
      </w:r>
      <w:proofErr w:type="spellEnd"/>
      <w:r w:rsidRPr="00552229">
        <w:rPr>
          <w:rStyle w:val="Emphasis"/>
          <w:rFonts w:ascii="Book Antiqua" w:hAnsi="Book Antiqua"/>
          <w:color w:val="000000"/>
          <w:sz w:val="18"/>
          <w:szCs w:val="18"/>
        </w:rPr>
        <w:t xml:space="preserve"> </w:t>
      </w:r>
      <w:proofErr w:type="spellStart"/>
      <w:r w:rsidRPr="00552229">
        <w:rPr>
          <w:rStyle w:val="Emphasis"/>
          <w:rFonts w:ascii="Book Antiqua" w:hAnsi="Book Antiqua"/>
          <w:color w:val="000000"/>
          <w:sz w:val="18"/>
          <w:szCs w:val="18"/>
        </w:rPr>
        <w:t>Disiplin</w:t>
      </w:r>
      <w:proofErr w:type="spellEnd"/>
      <w:r w:rsidRPr="00552229">
        <w:rPr>
          <w:rStyle w:val="Emphasis"/>
          <w:rFonts w:ascii="Book Antiqua" w:hAnsi="Book Antiqua"/>
          <w:color w:val="000000"/>
          <w:sz w:val="18"/>
          <w:szCs w:val="18"/>
        </w:rPr>
        <w:t xml:space="preserve"> </w:t>
      </w:r>
      <w:proofErr w:type="spellStart"/>
      <w:r w:rsidRPr="00552229">
        <w:rPr>
          <w:rStyle w:val="Emphasis"/>
          <w:rFonts w:ascii="Book Antiqua" w:hAnsi="Book Antiqua"/>
          <w:color w:val="000000"/>
          <w:sz w:val="18"/>
          <w:szCs w:val="18"/>
        </w:rPr>
        <w:t>Profesi</w:t>
      </w:r>
      <w:proofErr w:type="spellEnd"/>
      <w:r w:rsidRPr="00552229">
        <w:rPr>
          <w:rStyle w:val="Emphasis"/>
          <w:rFonts w:ascii="Book Antiqua" w:hAnsi="Book Antiqua"/>
          <w:color w:val="000000"/>
          <w:sz w:val="18"/>
          <w:szCs w:val="18"/>
        </w:rPr>
        <w:t xml:space="preserve"> Dokter</w:t>
      </w:r>
      <w:r w:rsidRPr="00552229">
        <w:rPr>
          <w:rFonts w:ascii="Book Antiqua" w:hAnsi="Book Antiqua"/>
          <w:color w:val="000000"/>
          <w:sz w:val="18"/>
          <w:szCs w:val="18"/>
        </w:rPr>
        <w:t xml:space="preserve">, Jakarta: </w:t>
      </w:r>
      <w:proofErr w:type="spellStart"/>
      <w:r w:rsidRPr="00552229">
        <w:rPr>
          <w:rFonts w:ascii="Book Antiqua" w:hAnsi="Book Antiqua"/>
          <w:color w:val="000000"/>
          <w:sz w:val="18"/>
          <w:szCs w:val="18"/>
        </w:rPr>
        <w:t>Konsil</w:t>
      </w:r>
      <w:proofErr w:type="spellEnd"/>
      <w:r w:rsidRPr="00552229">
        <w:rPr>
          <w:rFonts w:ascii="Book Antiqua" w:hAnsi="Book Antiqua"/>
          <w:color w:val="000000"/>
          <w:sz w:val="18"/>
          <w:szCs w:val="18"/>
        </w:rPr>
        <w:t xml:space="preserve"> </w:t>
      </w:r>
      <w:proofErr w:type="spellStart"/>
      <w:r w:rsidRPr="00552229">
        <w:rPr>
          <w:rFonts w:ascii="Book Antiqua" w:hAnsi="Book Antiqua"/>
          <w:color w:val="000000"/>
          <w:sz w:val="18"/>
          <w:szCs w:val="18"/>
        </w:rPr>
        <w:t>Kedokteran</w:t>
      </w:r>
      <w:proofErr w:type="spellEnd"/>
      <w:r w:rsidRPr="00552229">
        <w:rPr>
          <w:rFonts w:ascii="Book Antiqua" w:hAnsi="Book Antiqua"/>
          <w:color w:val="000000"/>
          <w:sz w:val="18"/>
          <w:szCs w:val="18"/>
        </w:rPr>
        <w:t xml:space="preserve"> Indonesia (KKI), 2022, 27.</w:t>
      </w:r>
      <w:r w:rsidRPr="00552229">
        <w:rPr>
          <w:rFonts w:ascii="Book Antiqua" w:hAnsi="Book Antiqua"/>
          <w:sz w:val="18"/>
          <w:szCs w:val="18"/>
        </w:rPr>
        <w:t xml:space="preserve"> </w:t>
      </w:r>
    </w:p>
  </w:footnote>
  <w:footnote w:id="3">
    <w:p w14:paraId="114A794B" w14:textId="6F8092CE"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color w:val="000000"/>
          <w:sz w:val="18"/>
          <w:szCs w:val="18"/>
        </w:rPr>
        <w:t xml:space="preserve">See Pasal 45 </w:t>
      </w:r>
      <w:proofErr w:type="spellStart"/>
      <w:r w:rsidRPr="00552229">
        <w:rPr>
          <w:rFonts w:ascii="Book Antiqua" w:hAnsi="Book Antiqua"/>
          <w:color w:val="000000"/>
          <w:sz w:val="18"/>
          <w:szCs w:val="18"/>
        </w:rPr>
        <w:t>ayat</w:t>
      </w:r>
      <w:proofErr w:type="spellEnd"/>
      <w:r w:rsidRPr="00552229">
        <w:rPr>
          <w:rFonts w:ascii="Book Antiqua" w:hAnsi="Book Antiqua"/>
          <w:color w:val="000000"/>
          <w:sz w:val="18"/>
          <w:szCs w:val="18"/>
        </w:rPr>
        <w:t xml:space="preserve"> (3) </w:t>
      </w:r>
      <w:proofErr w:type="spellStart"/>
      <w:r w:rsidRPr="00552229">
        <w:rPr>
          <w:rFonts w:ascii="Book Antiqua" w:hAnsi="Book Antiqua"/>
          <w:color w:val="000000"/>
          <w:sz w:val="18"/>
          <w:szCs w:val="18"/>
        </w:rPr>
        <w:t>Undang-Undang</w:t>
      </w:r>
      <w:proofErr w:type="spellEnd"/>
      <w:r w:rsidRPr="00552229">
        <w:rPr>
          <w:rFonts w:ascii="Book Antiqua" w:hAnsi="Book Antiqua"/>
          <w:color w:val="000000"/>
          <w:sz w:val="18"/>
          <w:szCs w:val="18"/>
        </w:rPr>
        <w:t xml:space="preserve"> </w:t>
      </w:r>
      <w:proofErr w:type="spellStart"/>
      <w:r w:rsidRPr="00552229">
        <w:rPr>
          <w:rFonts w:ascii="Book Antiqua" w:hAnsi="Book Antiqua"/>
          <w:color w:val="000000"/>
          <w:sz w:val="18"/>
          <w:szCs w:val="18"/>
        </w:rPr>
        <w:t>Nomor</w:t>
      </w:r>
      <w:proofErr w:type="spellEnd"/>
      <w:r w:rsidRPr="00552229">
        <w:rPr>
          <w:rFonts w:ascii="Book Antiqua" w:hAnsi="Book Antiqua"/>
          <w:color w:val="000000"/>
          <w:sz w:val="18"/>
          <w:szCs w:val="18"/>
        </w:rPr>
        <w:t xml:space="preserve"> 29 Tahun 2004 </w:t>
      </w:r>
      <w:proofErr w:type="spellStart"/>
      <w:r w:rsidRPr="00552229">
        <w:rPr>
          <w:rFonts w:ascii="Book Antiqua" w:hAnsi="Book Antiqua"/>
          <w:color w:val="000000"/>
          <w:sz w:val="18"/>
          <w:szCs w:val="18"/>
        </w:rPr>
        <w:t>tentang</w:t>
      </w:r>
      <w:proofErr w:type="spellEnd"/>
      <w:r w:rsidRPr="00552229">
        <w:rPr>
          <w:rFonts w:ascii="Book Antiqua" w:hAnsi="Book Antiqua"/>
          <w:color w:val="000000"/>
          <w:sz w:val="18"/>
          <w:szCs w:val="18"/>
        </w:rPr>
        <w:t xml:space="preserve"> </w:t>
      </w:r>
      <w:proofErr w:type="spellStart"/>
      <w:r w:rsidRPr="00552229">
        <w:rPr>
          <w:rFonts w:ascii="Book Antiqua" w:hAnsi="Book Antiqua"/>
          <w:color w:val="000000"/>
          <w:sz w:val="18"/>
          <w:szCs w:val="18"/>
        </w:rPr>
        <w:t>Praktik</w:t>
      </w:r>
      <w:proofErr w:type="spellEnd"/>
      <w:r w:rsidRPr="00552229">
        <w:rPr>
          <w:rFonts w:ascii="Book Antiqua" w:hAnsi="Book Antiqua"/>
          <w:color w:val="000000"/>
          <w:sz w:val="18"/>
          <w:szCs w:val="18"/>
        </w:rPr>
        <w:t xml:space="preserve"> </w:t>
      </w:r>
      <w:proofErr w:type="spellStart"/>
      <w:r w:rsidRPr="00552229">
        <w:rPr>
          <w:rFonts w:ascii="Book Antiqua" w:hAnsi="Book Antiqua"/>
          <w:color w:val="000000"/>
          <w:sz w:val="18"/>
          <w:szCs w:val="18"/>
        </w:rPr>
        <w:t>Kedokteran</w:t>
      </w:r>
      <w:proofErr w:type="spellEnd"/>
      <w:r w:rsidRPr="00552229">
        <w:rPr>
          <w:rFonts w:ascii="Book Antiqua" w:hAnsi="Book Antiqua"/>
          <w:color w:val="000000"/>
          <w:sz w:val="18"/>
          <w:szCs w:val="18"/>
        </w:rPr>
        <w:t xml:space="preserve">, and Pasal 293–294 </w:t>
      </w:r>
      <w:proofErr w:type="spellStart"/>
      <w:r w:rsidRPr="00552229">
        <w:rPr>
          <w:rFonts w:ascii="Book Antiqua" w:hAnsi="Book Antiqua"/>
          <w:color w:val="000000"/>
          <w:sz w:val="18"/>
          <w:szCs w:val="18"/>
        </w:rPr>
        <w:t>Undang-Undang</w:t>
      </w:r>
      <w:proofErr w:type="spellEnd"/>
      <w:r w:rsidRPr="00552229">
        <w:rPr>
          <w:rFonts w:ascii="Book Antiqua" w:hAnsi="Book Antiqua"/>
          <w:color w:val="000000"/>
          <w:sz w:val="18"/>
          <w:szCs w:val="18"/>
        </w:rPr>
        <w:t xml:space="preserve"> </w:t>
      </w:r>
      <w:proofErr w:type="spellStart"/>
      <w:r w:rsidRPr="00552229">
        <w:rPr>
          <w:rFonts w:ascii="Book Antiqua" w:hAnsi="Book Antiqua"/>
          <w:color w:val="000000"/>
          <w:sz w:val="18"/>
          <w:szCs w:val="18"/>
        </w:rPr>
        <w:t>Nomor</w:t>
      </w:r>
      <w:proofErr w:type="spellEnd"/>
      <w:r w:rsidRPr="00552229">
        <w:rPr>
          <w:rFonts w:ascii="Book Antiqua" w:hAnsi="Book Antiqua"/>
          <w:color w:val="000000"/>
          <w:sz w:val="18"/>
          <w:szCs w:val="18"/>
        </w:rPr>
        <w:t xml:space="preserve"> 17 Tahun 2023 </w:t>
      </w:r>
      <w:proofErr w:type="spellStart"/>
      <w:r w:rsidRPr="00552229">
        <w:rPr>
          <w:rFonts w:ascii="Book Antiqua" w:hAnsi="Book Antiqua"/>
          <w:color w:val="000000"/>
          <w:sz w:val="18"/>
          <w:szCs w:val="18"/>
        </w:rPr>
        <w:t>tentang</w:t>
      </w:r>
      <w:proofErr w:type="spellEnd"/>
      <w:r w:rsidRPr="00552229">
        <w:rPr>
          <w:rFonts w:ascii="Book Antiqua" w:hAnsi="Book Antiqua"/>
          <w:color w:val="000000"/>
          <w:sz w:val="18"/>
          <w:szCs w:val="18"/>
        </w:rPr>
        <w:t xml:space="preserve"> Kesehatan.</w:t>
      </w:r>
    </w:p>
  </w:footnote>
  <w:footnote w:id="4">
    <w:p w14:paraId="711BE7D1" w14:textId="6BCB261B"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proofErr w:type="spellStart"/>
      <w:r w:rsidRPr="00552229">
        <w:rPr>
          <w:rFonts w:ascii="Book Antiqua" w:hAnsi="Book Antiqua"/>
          <w:color w:val="000000"/>
          <w:sz w:val="18"/>
          <w:szCs w:val="18"/>
        </w:rPr>
        <w:t>Sudikno</w:t>
      </w:r>
      <w:proofErr w:type="spellEnd"/>
      <w:r w:rsidRPr="00552229">
        <w:rPr>
          <w:rFonts w:ascii="Book Antiqua" w:hAnsi="Book Antiqua"/>
          <w:color w:val="000000"/>
          <w:sz w:val="18"/>
          <w:szCs w:val="18"/>
        </w:rPr>
        <w:t xml:space="preserve"> Mertokusumo, </w:t>
      </w:r>
      <w:proofErr w:type="spellStart"/>
      <w:r w:rsidRPr="00552229">
        <w:rPr>
          <w:rStyle w:val="Emphasis"/>
          <w:rFonts w:ascii="Book Antiqua" w:hAnsi="Book Antiqua"/>
          <w:color w:val="000000"/>
          <w:sz w:val="18"/>
          <w:szCs w:val="18"/>
        </w:rPr>
        <w:t>Penemuan</w:t>
      </w:r>
      <w:proofErr w:type="spellEnd"/>
      <w:r w:rsidRPr="00552229">
        <w:rPr>
          <w:rStyle w:val="Emphasis"/>
          <w:rFonts w:ascii="Book Antiqua" w:hAnsi="Book Antiqua"/>
          <w:color w:val="000000"/>
          <w:sz w:val="18"/>
          <w:szCs w:val="18"/>
        </w:rPr>
        <w:t xml:space="preserve"> Hukum: </w:t>
      </w:r>
      <w:proofErr w:type="spellStart"/>
      <w:r w:rsidRPr="00552229">
        <w:rPr>
          <w:rStyle w:val="Emphasis"/>
          <w:rFonts w:ascii="Book Antiqua" w:hAnsi="Book Antiqua"/>
          <w:color w:val="000000"/>
          <w:sz w:val="18"/>
          <w:szCs w:val="18"/>
        </w:rPr>
        <w:t>Sebuah</w:t>
      </w:r>
      <w:proofErr w:type="spellEnd"/>
      <w:r w:rsidRPr="00552229">
        <w:rPr>
          <w:rStyle w:val="Emphasis"/>
          <w:rFonts w:ascii="Book Antiqua" w:hAnsi="Book Antiqua"/>
          <w:color w:val="000000"/>
          <w:sz w:val="18"/>
          <w:szCs w:val="18"/>
        </w:rPr>
        <w:t xml:space="preserve"> </w:t>
      </w:r>
      <w:proofErr w:type="spellStart"/>
      <w:r w:rsidRPr="00552229">
        <w:rPr>
          <w:rStyle w:val="Emphasis"/>
          <w:rFonts w:ascii="Book Antiqua" w:hAnsi="Book Antiqua"/>
          <w:color w:val="000000"/>
          <w:sz w:val="18"/>
          <w:szCs w:val="18"/>
        </w:rPr>
        <w:t>Pengantar</w:t>
      </w:r>
      <w:proofErr w:type="spellEnd"/>
      <w:r w:rsidRPr="00552229">
        <w:rPr>
          <w:rFonts w:ascii="Book Antiqua" w:hAnsi="Book Antiqua"/>
          <w:color w:val="000000"/>
          <w:sz w:val="18"/>
          <w:szCs w:val="18"/>
        </w:rPr>
        <w:t>, Yogyakarta: Liberty, 2007, 85. In the context of health law, “communication” is regarded as a form of expression or omission of will that may give rise to legal consequences.</w:t>
      </w:r>
    </w:p>
  </w:footnote>
  <w:footnote w:id="5">
    <w:p w14:paraId="56993842" w14:textId="2183D507"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color w:val="000000"/>
          <w:sz w:val="18"/>
          <w:szCs w:val="18"/>
        </w:rPr>
        <w:t>Kurtz, Silverman, &amp; Draper, </w:t>
      </w:r>
      <w:r w:rsidRPr="00552229">
        <w:rPr>
          <w:rStyle w:val="Emphasis"/>
          <w:rFonts w:ascii="Book Antiqua" w:hAnsi="Book Antiqua"/>
          <w:color w:val="000000"/>
          <w:sz w:val="18"/>
          <w:szCs w:val="18"/>
        </w:rPr>
        <w:t>Teaching and Learning Communication Skills in Medicine</w:t>
      </w:r>
      <w:r w:rsidRPr="00552229">
        <w:rPr>
          <w:rFonts w:ascii="Book Antiqua" w:hAnsi="Book Antiqua"/>
          <w:color w:val="000000"/>
          <w:sz w:val="18"/>
          <w:szCs w:val="18"/>
        </w:rPr>
        <w:t>, Oxford: Radcliffe Medical Press, 2005, 11–12.</w:t>
      </w:r>
    </w:p>
  </w:footnote>
  <w:footnote w:id="6">
    <w:p w14:paraId="4F101537" w14:textId="374756F1"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color w:val="000000"/>
          <w:sz w:val="18"/>
          <w:szCs w:val="18"/>
        </w:rPr>
        <w:t xml:space="preserve">See Pasal 3 and 4 of </w:t>
      </w:r>
      <w:proofErr w:type="spellStart"/>
      <w:r w:rsidRPr="00552229">
        <w:rPr>
          <w:rFonts w:ascii="Book Antiqua" w:hAnsi="Book Antiqua"/>
          <w:color w:val="000000"/>
          <w:sz w:val="18"/>
          <w:szCs w:val="18"/>
        </w:rPr>
        <w:t>Peraturan</w:t>
      </w:r>
      <w:proofErr w:type="spellEnd"/>
      <w:r w:rsidRPr="00552229">
        <w:rPr>
          <w:rFonts w:ascii="Book Antiqua" w:hAnsi="Book Antiqua"/>
          <w:color w:val="000000"/>
          <w:sz w:val="18"/>
          <w:szCs w:val="18"/>
        </w:rPr>
        <w:t xml:space="preserve"> Menteri Kesehatan </w:t>
      </w:r>
      <w:proofErr w:type="spellStart"/>
      <w:r w:rsidRPr="00552229">
        <w:rPr>
          <w:rFonts w:ascii="Book Antiqua" w:hAnsi="Book Antiqua"/>
          <w:color w:val="000000"/>
          <w:sz w:val="18"/>
          <w:szCs w:val="18"/>
        </w:rPr>
        <w:t>Nomor</w:t>
      </w:r>
      <w:proofErr w:type="spellEnd"/>
      <w:r w:rsidRPr="00552229">
        <w:rPr>
          <w:rFonts w:ascii="Book Antiqua" w:hAnsi="Book Antiqua"/>
          <w:color w:val="000000"/>
          <w:sz w:val="18"/>
          <w:szCs w:val="18"/>
        </w:rPr>
        <w:t xml:space="preserve"> 290 Tahun 2008 </w:t>
      </w:r>
      <w:proofErr w:type="spellStart"/>
      <w:r w:rsidRPr="00552229">
        <w:rPr>
          <w:rFonts w:ascii="Book Antiqua" w:hAnsi="Book Antiqua"/>
          <w:color w:val="000000"/>
          <w:sz w:val="18"/>
          <w:szCs w:val="18"/>
        </w:rPr>
        <w:t>tentang</w:t>
      </w:r>
      <w:proofErr w:type="spellEnd"/>
      <w:r w:rsidRPr="00552229">
        <w:rPr>
          <w:rFonts w:ascii="Book Antiqua" w:hAnsi="Book Antiqua"/>
          <w:color w:val="000000"/>
          <w:sz w:val="18"/>
          <w:szCs w:val="18"/>
        </w:rPr>
        <w:t xml:space="preserve"> </w:t>
      </w:r>
      <w:proofErr w:type="spellStart"/>
      <w:r w:rsidRPr="00552229">
        <w:rPr>
          <w:rFonts w:ascii="Book Antiqua" w:hAnsi="Book Antiqua"/>
          <w:color w:val="000000"/>
          <w:sz w:val="18"/>
          <w:szCs w:val="18"/>
        </w:rPr>
        <w:t>Persetujuan</w:t>
      </w:r>
      <w:proofErr w:type="spellEnd"/>
      <w:r w:rsidRPr="00552229">
        <w:rPr>
          <w:rFonts w:ascii="Book Antiqua" w:hAnsi="Book Antiqua"/>
          <w:color w:val="000000"/>
          <w:sz w:val="18"/>
          <w:szCs w:val="18"/>
        </w:rPr>
        <w:t xml:space="preserve"> Tindakan </w:t>
      </w:r>
      <w:proofErr w:type="spellStart"/>
      <w:r w:rsidRPr="00552229">
        <w:rPr>
          <w:rFonts w:ascii="Book Antiqua" w:hAnsi="Book Antiqua"/>
          <w:color w:val="000000"/>
          <w:sz w:val="18"/>
          <w:szCs w:val="18"/>
        </w:rPr>
        <w:t>Kedokteran</w:t>
      </w:r>
      <w:proofErr w:type="spellEnd"/>
      <w:r w:rsidRPr="00552229">
        <w:rPr>
          <w:rFonts w:ascii="Book Antiqua" w:hAnsi="Book Antiqua"/>
          <w:color w:val="000000"/>
          <w:sz w:val="18"/>
          <w:szCs w:val="18"/>
        </w:rPr>
        <w:t>. The regulation does not explain delivery methods, standard forms of communication, or mechanisms for verifying patient understanding.</w:t>
      </w:r>
      <w:r w:rsidRPr="00552229">
        <w:rPr>
          <w:rFonts w:ascii="Book Antiqua" w:hAnsi="Book Antiqua"/>
          <w:sz w:val="18"/>
          <w:szCs w:val="18"/>
        </w:rPr>
        <w:t xml:space="preserve"> </w:t>
      </w:r>
    </w:p>
  </w:footnote>
  <w:footnote w:id="7">
    <w:p w14:paraId="370AC5A2" w14:textId="02388F75"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color w:val="000000"/>
          <w:sz w:val="18"/>
          <w:szCs w:val="18"/>
        </w:rPr>
        <w:t xml:space="preserve">Kurtz, Silverman &amp; Draper, Teaching and Learning Communication Skills in Medicine, </w:t>
      </w:r>
      <w:proofErr w:type="spellStart"/>
      <w:r w:rsidRPr="00552229">
        <w:rPr>
          <w:rFonts w:ascii="Book Antiqua" w:hAnsi="Book Antiqua"/>
          <w:color w:val="000000"/>
          <w:sz w:val="18"/>
          <w:szCs w:val="18"/>
        </w:rPr>
        <w:t>Oxfor</w:t>
      </w:r>
      <w:proofErr w:type="spellEnd"/>
      <w:r w:rsidR="00552229" w:rsidRPr="00552229">
        <w:rPr>
          <w:rFonts w:ascii="Book Antiqua" w:hAnsi="Book Antiqua"/>
          <w:color w:val="000000"/>
          <w:sz w:val="18"/>
          <w:szCs w:val="18"/>
        </w:rPr>
        <w:tab/>
      </w:r>
      <w:r w:rsidRPr="00552229">
        <w:rPr>
          <w:rFonts w:ascii="Book Antiqua" w:hAnsi="Book Antiqua"/>
          <w:color w:val="000000"/>
          <w:sz w:val="18"/>
          <w:szCs w:val="18"/>
        </w:rPr>
        <w:t>d: Radcliffe, 2005, 14–16.</w:t>
      </w:r>
    </w:p>
  </w:footnote>
  <w:footnote w:id="8">
    <w:p w14:paraId="334CABD9" w14:textId="4EE4259D"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color w:val="000000"/>
          <w:sz w:val="18"/>
          <w:szCs w:val="18"/>
        </w:rPr>
        <w:t>J.C. Braithwaite et al., Health Administration and Communication: Legal Perspectives, Sydney: McGraw-Hill, 2018, 88–89.</w:t>
      </w:r>
    </w:p>
  </w:footnote>
  <w:footnote w:id="9">
    <w:p w14:paraId="1F696F10" w14:textId="4DE2678E"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sz w:val="18"/>
          <w:szCs w:val="18"/>
        </w:rPr>
        <w:t xml:space="preserve">See </w:t>
      </w:r>
      <w:r w:rsidRPr="00552229">
        <w:rPr>
          <w:rFonts w:ascii="Book Antiqua" w:hAnsi="Book Antiqua"/>
          <w:color w:val="000000"/>
          <w:sz w:val="18"/>
          <w:szCs w:val="18"/>
        </w:rPr>
        <w:t xml:space="preserve">Pasal 293–294 </w:t>
      </w:r>
      <w:proofErr w:type="spellStart"/>
      <w:r w:rsidRPr="00552229">
        <w:rPr>
          <w:rFonts w:ascii="Book Antiqua" w:hAnsi="Book Antiqua"/>
          <w:color w:val="000000"/>
          <w:sz w:val="18"/>
          <w:szCs w:val="18"/>
        </w:rPr>
        <w:t>Undang-Undang</w:t>
      </w:r>
      <w:proofErr w:type="spellEnd"/>
      <w:r w:rsidRPr="00552229">
        <w:rPr>
          <w:rFonts w:ascii="Book Antiqua" w:hAnsi="Book Antiqua"/>
          <w:color w:val="000000"/>
          <w:sz w:val="18"/>
          <w:szCs w:val="18"/>
        </w:rPr>
        <w:t xml:space="preserve"> </w:t>
      </w:r>
      <w:proofErr w:type="spellStart"/>
      <w:r w:rsidRPr="00552229">
        <w:rPr>
          <w:rFonts w:ascii="Book Antiqua" w:hAnsi="Book Antiqua"/>
          <w:color w:val="000000"/>
          <w:sz w:val="18"/>
          <w:szCs w:val="18"/>
        </w:rPr>
        <w:t>Nomor</w:t>
      </w:r>
      <w:proofErr w:type="spellEnd"/>
      <w:r w:rsidRPr="00552229">
        <w:rPr>
          <w:rFonts w:ascii="Book Antiqua" w:hAnsi="Book Antiqua"/>
          <w:color w:val="000000"/>
          <w:sz w:val="18"/>
          <w:szCs w:val="18"/>
        </w:rPr>
        <w:t xml:space="preserve"> 17 Tahun 2023 </w:t>
      </w:r>
      <w:proofErr w:type="spellStart"/>
      <w:r w:rsidRPr="00552229">
        <w:rPr>
          <w:rFonts w:ascii="Book Antiqua" w:hAnsi="Book Antiqua"/>
          <w:color w:val="000000"/>
          <w:sz w:val="18"/>
          <w:szCs w:val="18"/>
        </w:rPr>
        <w:t>tentang</w:t>
      </w:r>
      <w:proofErr w:type="spellEnd"/>
      <w:r w:rsidRPr="00552229">
        <w:rPr>
          <w:rFonts w:ascii="Book Antiqua" w:hAnsi="Book Antiqua"/>
          <w:color w:val="000000"/>
          <w:sz w:val="18"/>
          <w:szCs w:val="18"/>
        </w:rPr>
        <w:t xml:space="preserve"> Kesehatan.</w:t>
      </w:r>
    </w:p>
  </w:footnote>
  <w:footnote w:id="10">
    <w:p w14:paraId="2AD67A60" w14:textId="1BBC3C06"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color w:val="000000"/>
          <w:sz w:val="18"/>
          <w:szCs w:val="18"/>
        </w:rPr>
        <w:t>Institute for Healthcare Improvement (IHI), SBAR Toolkit for Effective Clinical Communication, Boston: IHI, 2006, 2.</w:t>
      </w:r>
    </w:p>
  </w:footnote>
  <w:footnote w:id="11">
    <w:p w14:paraId="01218C3F" w14:textId="6C2E17C5"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color w:val="000000"/>
          <w:sz w:val="18"/>
          <w:szCs w:val="18"/>
        </w:rPr>
        <w:t>J. Haig, S. Sutton, J. Whittington, “SBAR: A Shared Mental Model for Improving Communication Between Clinicians,” The Joint Commission Journal on Quality and Patient Safety, Vol. 32 No. 3, 2006, 168–175.</w:t>
      </w:r>
    </w:p>
  </w:footnote>
  <w:footnote w:id="12">
    <w:p w14:paraId="7F0DF86B" w14:textId="1139254A"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color w:val="000000"/>
          <w:sz w:val="18"/>
          <w:szCs w:val="18"/>
        </w:rPr>
        <w:tab/>
      </w:r>
      <w:r w:rsidRPr="00552229">
        <w:rPr>
          <w:rFonts w:ascii="Book Antiqua" w:hAnsi="Book Antiqua"/>
          <w:color w:val="000000"/>
          <w:sz w:val="18"/>
          <w:szCs w:val="18"/>
        </w:rPr>
        <w:t>AORN Journal, “Best Practices in Closed-Loop Communication,” Vol. 108 No. 5, 2018, 412–414.</w:t>
      </w:r>
    </w:p>
  </w:footnote>
  <w:footnote w:id="13">
    <w:p w14:paraId="56000F2A" w14:textId="77777777"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proofErr w:type="spellStart"/>
      <w:r w:rsidRPr="00552229">
        <w:rPr>
          <w:rFonts w:ascii="Book Antiqua" w:hAnsi="Book Antiqua"/>
          <w:color w:val="000000"/>
          <w:sz w:val="18"/>
          <w:szCs w:val="18"/>
        </w:rPr>
        <w:t>Sudikno</w:t>
      </w:r>
      <w:proofErr w:type="spellEnd"/>
      <w:r w:rsidRPr="00552229">
        <w:rPr>
          <w:rFonts w:ascii="Book Antiqua" w:hAnsi="Book Antiqua"/>
          <w:color w:val="000000"/>
          <w:sz w:val="18"/>
          <w:szCs w:val="18"/>
        </w:rPr>
        <w:t xml:space="preserve"> Mertokusumo, </w:t>
      </w:r>
      <w:proofErr w:type="spellStart"/>
      <w:r w:rsidRPr="00552229">
        <w:rPr>
          <w:rFonts w:ascii="Book Antiqua" w:hAnsi="Book Antiqua"/>
          <w:color w:val="000000"/>
          <w:sz w:val="18"/>
          <w:szCs w:val="18"/>
        </w:rPr>
        <w:t>Penemuan</w:t>
      </w:r>
      <w:proofErr w:type="spellEnd"/>
      <w:r w:rsidRPr="00552229">
        <w:rPr>
          <w:rFonts w:ascii="Book Antiqua" w:hAnsi="Book Antiqua"/>
          <w:color w:val="000000"/>
          <w:sz w:val="18"/>
          <w:szCs w:val="18"/>
        </w:rPr>
        <w:t xml:space="preserve"> Hukum, Yogyakarta: Liberty, 2007, p. 91.</w:t>
      </w:r>
    </w:p>
  </w:footnote>
  <w:footnote w:id="14">
    <w:p w14:paraId="5B52B205" w14:textId="77777777" w:rsidR="00C57E69" w:rsidRPr="00552229" w:rsidRDefault="00C57E69" w:rsidP="00552229">
      <w:pPr>
        <w:spacing w:after="0" w:line="240" w:lineRule="auto"/>
        <w:ind w:left="284" w:hanging="284"/>
        <w:jc w:val="both"/>
        <w:rPr>
          <w:rFonts w:ascii="Book Antiqua" w:hAnsi="Book Antiqua" w:cs="Times New Roman"/>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See Pasal 35 </w:t>
      </w:r>
      <w:proofErr w:type="spellStart"/>
      <w:r w:rsidRPr="00552229">
        <w:rPr>
          <w:rFonts w:ascii="Book Antiqua" w:hAnsi="Book Antiqua"/>
          <w:sz w:val="18"/>
          <w:szCs w:val="18"/>
        </w:rPr>
        <w:t>ayat</w:t>
      </w:r>
      <w:proofErr w:type="spellEnd"/>
      <w:r w:rsidRPr="00552229">
        <w:rPr>
          <w:rFonts w:ascii="Book Antiqua" w:hAnsi="Book Antiqua"/>
          <w:sz w:val="18"/>
          <w:szCs w:val="18"/>
        </w:rPr>
        <w:t xml:space="preserve"> (1) </w:t>
      </w:r>
      <w:proofErr w:type="spellStart"/>
      <w:r w:rsidRPr="00552229">
        <w:rPr>
          <w:rFonts w:ascii="Book Antiqua" w:hAnsi="Book Antiqua"/>
          <w:sz w:val="18"/>
          <w:szCs w:val="18"/>
        </w:rPr>
        <w:t>Undang-Undang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29 Tahun 2004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Praktik</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Kedokteran</w:t>
      </w:r>
      <w:proofErr w:type="spellEnd"/>
      <w:r w:rsidRPr="00552229">
        <w:rPr>
          <w:rFonts w:ascii="Book Antiqua" w:hAnsi="Book Antiqua"/>
          <w:sz w:val="18"/>
          <w:szCs w:val="18"/>
        </w:rPr>
        <w:t xml:space="preserve"> (revoked by Pasal 456 </w:t>
      </w:r>
      <w:proofErr w:type="spellStart"/>
      <w:r w:rsidRPr="00552229">
        <w:rPr>
          <w:rFonts w:ascii="Book Antiqua" w:hAnsi="Book Antiqua"/>
          <w:sz w:val="18"/>
          <w:szCs w:val="18"/>
        </w:rPr>
        <w:t>huruf</w:t>
      </w:r>
      <w:proofErr w:type="spellEnd"/>
      <w:r w:rsidRPr="00552229">
        <w:rPr>
          <w:rFonts w:ascii="Book Antiqua" w:hAnsi="Book Antiqua"/>
          <w:sz w:val="18"/>
          <w:szCs w:val="18"/>
        </w:rPr>
        <w:t xml:space="preserve"> a </w:t>
      </w:r>
      <w:proofErr w:type="spellStart"/>
      <w:r w:rsidRPr="00552229">
        <w:rPr>
          <w:rFonts w:ascii="Book Antiqua" w:hAnsi="Book Antiqua"/>
          <w:sz w:val="18"/>
          <w:szCs w:val="18"/>
        </w:rPr>
        <w:t>Undang-Undang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17 Tahun 2023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Kesehatan, but its substance remains normatively and historically relevant)</w:t>
      </w:r>
    </w:p>
  </w:footnote>
  <w:footnote w:id="15">
    <w:p w14:paraId="0E845C03" w14:textId="77777777" w:rsidR="00C57E69" w:rsidRPr="00552229" w:rsidRDefault="00C57E69" w:rsidP="00552229">
      <w:pPr>
        <w:spacing w:after="0" w:line="240" w:lineRule="auto"/>
        <w:ind w:left="284" w:hanging="284"/>
        <w:jc w:val="both"/>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See Pasal 293–294 </w:t>
      </w:r>
      <w:proofErr w:type="spellStart"/>
      <w:r w:rsidRPr="00552229">
        <w:rPr>
          <w:rFonts w:ascii="Book Antiqua" w:hAnsi="Book Antiqua"/>
          <w:sz w:val="18"/>
          <w:szCs w:val="18"/>
        </w:rPr>
        <w:t>Undang-Undang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17 Tahun 2023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Kesehatan.</w:t>
      </w:r>
    </w:p>
  </w:footnote>
  <w:footnote w:id="16">
    <w:p w14:paraId="06CA8BAD" w14:textId="606AF0EC" w:rsidR="00C57E69" w:rsidRPr="00552229" w:rsidRDefault="00C57E69" w:rsidP="00552229">
      <w:pPr>
        <w:spacing w:after="0" w:line="240" w:lineRule="auto"/>
        <w:ind w:left="284" w:hanging="284"/>
        <w:jc w:val="both"/>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sz w:val="18"/>
          <w:szCs w:val="18"/>
        </w:rPr>
        <w:t xml:space="preserve">See Pasal 3 </w:t>
      </w:r>
      <w:proofErr w:type="spellStart"/>
      <w:r w:rsidRPr="00552229">
        <w:rPr>
          <w:rFonts w:ascii="Book Antiqua" w:hAnsi="Book Antiqua"/>
          <w:sz w:val="18"/>
          <w:szCs w:val="18"/>
        </w:rPr>
        <w:t>Peraturan</w:t>
      </w:r>
      <w:proofErr w:type="spellEnd"/>
      <w:r w:rsidRPr="00552229">
        <w:rPr>
          <w:rFonts w:ascii="Book Antiqua" w:hAnsi="Book Antiqua"/>
          <w:sz w:val="18"/>
          <w:szCs w:val="18"/>
        </w:rPr>
        <w:t xml:space="preserve"> Menteri Kesehatan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290 Tahun 2008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Persetujuan</w:t>
      </w:r>
      <w:proofErr w:type="spellEnd"/>
      <w:r w:rsidRPr="00552229">
        <w:rPr>
          <w:rFonts w:ascii="Book Antiqua" w:hAnsi="Book Antiqua"/>
          <w:sz w:val="18"/>
          <w:szCs w:val="18"/>
        </w:rPr>
        <w:t xml:space="preserve"> Tindakan </w:t>
      </w:r>
      <w:proofErr w:type="spellStart"/>
      <w:r w:rsidRPr="00552229">
        <w:rPr>
          <w:rFonts w:ascii="Book Antiqua" w:hAnsi="Book Antiqua"/>
          <w:sz w:val="18"/>
          <w:szCs w:val="18"/>
        </w:rPr>
        <w:t>Kedokteran</w:t>
      </w:r>
      <w:proofErr w:type="spellEnd"/>
      <w:r w:rsidRPr="00552229">
        <w:rPr>
          <w:rFonts w:ascii="Book Antiqua" w:hAnsi="Book Antiqua"/>
          <w:sz w:val="18"/>
          <w:szCs w:val="18"/>
        </w:rPr>
        <w:t>.</w:t>
      </w:r>
    </w:p>
  </w:footnote>
  <w:footnote w:id="17">
    <w:p w14:paraId="235D223F" w14:textId="6AAEFB3B" w:rsidR="00C57E69" w:rsidRPr="00552229" w:rsidRDefault="00C57E69" w:rsidP="00552229">
      <w:pPr>
        <w:spacing w:after="0" w:line="240" w:lineRule="auto"/>
        <w:ind w:left="284" w:hanging="284"/>
        <w:jc w:val="both"/>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sz w:val="18"/>
          <w:szCs w:val="18"/>
        </w:rPr>
        <w:t xml:space="preserve">Hippocrates, Precepts, quoted in B. Lyons (ed.), Medical Ethics: A Comparative Study, London: Routledge, </w:t>
      </w:r>
      <w:proofErr w:type="gramStart"/>
      <w:r w:rsidRPr="00552229">
        <w:rPr>
          <w:rFonts w:ascii="Book Antiqua" w:hAnsi="Book Antiqua"/>
          <w:sz w:val="18"/>
          <w:szCs w:val="18"/>
        </w:rPr>
        <w:t>2012,  27</w:t>
      </w:r>
      <w:proofErr w:type="gramEnd"/>
      <w:r w:rsidRPr="00552229">
        <w:rPr>
          <w:rFonts w:ascii="Book Antiqua" w:hAnsi="Book Antiqua"/>
          <w:sz w:val="18"/>
          <w:szCs w:val="18"/>
        </w:rPr>
        <w:t>.</w:t>
      </w:r>
    </w:p>
  </w:footnote>
  <w:footnote w:id="18">
    <w:p w14:paraId="46F79FC8" w14:textId="5BC588F3" w:rsidR="00C57E69" w:rsidRPr="00552229" w:rsidRDefault="00C57E69" w:rsidP="00552229">
      <w:pPr>
        <w:spacing w:after="0" w:line="240" w:lineRule="auto"/>
        <w:ind w:left="284" w:hanging="284"/>
        <w:jc w:val="both"/>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sz w:val="18"/>
          <w:szCs w:val="18"/>
        </w:rPr>
        <w:t>Kurtz, Silverman &amp; Draper, Teaching and Learning Communication Skills in Medicine, Oxford: Radcliffe, 2005, 45.</w:t>
      </w:r>
    </w:p>
  </w:footnote>
  <w:footnote w:id="19">
    <w:p w14:paraId="24B98DC8" w14:textId="56DD5494" w:rsidR="00C57E69" w:rsidRPr="00552229" w:rsidRDefault="00C57E69" w:rsidP="00552229">
      <w:pPr>
        <w:spacing w:after="0" w:line="240" w:lineRule="auto"/>
        <w:ind w:left="284" w:hanging="284"/>
        <w:jc w:val="both"/>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sidRPr="00552229">
        <w:rPr>
          <w:rFonts w:ascii="Book Antiqua" w:hAnsi="Book Antiqua"/>
          <w:sz w:val="18"/>
          <w:szCs w:val="18"/>
        </w:rPr>
        <w:tab/>
      </w:r>
      <w:r w:rsidRPr="00552229">
        <w:rPr>
          <w:rFonts w:ascii="Book Antiqua" w:hAnsi="Book Antiqua"/>
          <w:sz w:val="18"/>
          <w:szCs w:val="18"/>
        </w:rPr>
        <w:t>See: Sylvia Sumarlin, “</w:t>
      </w:r>
      <w:proofErr w:type="spellStart"/>
      <w:r w:rsidRPr="00552229">
        <w:rPr>
          <w:rFonts w:ascii="Book Antiqua" w:hAnsi="Book Antiqua"/>
          <w:sz w:val="18"/>
          <w:szCs w:val="18"/>
        </w:rPr>
        <w:t>Tanggung</w:t>
      </w:r>
      <w:proofErr w:type="spellEnd"/>
      <w:r w:rsidRPr="00552229">
        <w:rPr>
          <w:rFonts w:ascii="Book Antiqua" w:hAnsi="Book Antiqua"/>
          <w:sz w:val="18"/>
          <w:szCs w:val="18"/>
        </w:rPr>
        <w:t xml:space="preserve"> Jawab Hukum Dokter </w:t>
      </w:r>
      <w:proofErr w:type="spellStart"/>
      <w:r w:rsidRPr="00552229">
        <w:rPr>
          <w:rFonts w:ascii="Book Antiqua" w:hAnsi="Book Antiqua"/>
          <w:sz w:val="18"/>
          <w:szCs w:val="18"/>
        </w:rPr>
        <w:t>Akibat</w:t>
      </w:r>
      <w:proofErr w:type="spellEnd"/>
      <w:r w:rsidRPr="00552229">
        <w:rPr>
          <w:rFonts w:ascii="Book Antiqua" w:hAnsi="Book Antiqua"/>
          <w:sz w:val="18"/>
          <w:szCs w:val="18"/>
        </w:rPr>
        <w:t xml:space="preserve"> Tidak </w:t>
      </w:r>
      <w:proofErr w:type="spellStart"/>
      <w:r w:rsidRPr="00552229">
        <w:rPr>
          <w:rFonts w:ascii="Book Antiqua" w:hAnsi="Book Antiqua"/>
          <w:sz w:val="18"/>
          <w:szCs w:val="18"/>
        </w:rPr>
        <w:t>Memberikan</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Informasi</w:t>
      </w:r>
      <w:proofErr w:type="spellEnd"/>
      <w:r w:rsidRPr="00552229">
        <w:rPr>
          <w:rFonts w:ascii="Book Antiqua" w:hAnsi="Book Antiqua"/>
          <w:sz w:val="18"/>
          <w:szCs w:val="18"/>
        </w:rPr>
        <w:t xml:space="preserve"> yang </w:t>
      </w:r>
      <w:proofErr w:type="spellStart"/>
      <w:r w:rsidRPr="00552229">
        <w:rPr>
          <w:rFonts w:ascii="Book Antiqua" w:hAnsi="Book Antiqua"/>
          <w:sz w:val="18"/>
          <w:szCs w:val="18"/>
        </w:rPr>
        <w:t>Lengkap</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Jurnal</w:t>
      </w:r>
      <w:proofErr w:type="spellEnd"/>
      <w:r w:rsidRPr="00552229">
        <w:rPr>
          <w:rFonts w:ascii="Book Antiqua" w:hAnsi="Book Antiqua"/>
          <w:sz w:val="18"/>
          <w:szCs w:val="18"/>
        </w:rPr>
        <w:t xml:space="preserve"> Etika </w:t>
      </w:r>
      <w:proofErr w:type="spellStart"/>
      <w:r w:rsidRPr="00552229">
        <w:rPr>
          <w:rFonts w:ascii="Book Antiqua" w:hAnsi="Book Antiqua"/>
          <w:sz w:val="18"/>
          <w:szCs w:val="18"/>
        </w:rPr>
        <w:t>Kedokteran</w:t>
      </w:r>
      <w:proofErr w:type="spellEnd"/>
      <w:r w:rsidRPr="00552229">
        <w:rPr>
          <w:rFonts w:ascii="Book Antiqua" w:hAnsi="Book Antiqua"/>
          <w:sz w:val="18"/>
          <w:szCs w:val="18"/>
        </w:rPr>
        <w:t xml:space="preserve"> Indonesia, Vol. 5 No. 2, 2016, 134.</w:t>
      </w:r>
    </w:p>
  </w:footnote>
  <w:footnote w:id="20">
    <w:p w14:paraId="7D80E820" w14:textId="39D9DE54"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Pr>
          <w:rFonts w:ascii="Book Antiqua" w:hAnsi="Book Antiqua"/>
          <w:sz w:val="18"/>
          <w:szCs w:val="18"/>
        </w:rPr>
        <w:tab/>
      </w:r>
      <w:r w:rsidRPr="00552229">
        <w:rPr>
          <w:rFonts w:ascii="Book Antiqua" w:hAnsi="Book Antiqua"/>
          <w:sz w:val="18"/>
          <w:szCs w:val="18"/>
        </w:rPr>
        <w:t xml:space="preserve">See Pasal 56 </w:t>
      </w:r>
      <w:proofErr w:type="spellStart"/>
      <w:r w:rsidRPr="00552229">
        <w:rPr>
          <w:rFonts w:ascii="Book Antiqua" w:hAnsi="Book Antiqua"/>
          <w:sz w:val="18"/>
          <w:szCs w:val="18"/>
        </w:rPr>
        <w:t>ayat</w:t>
      </w:r>
      <w:proofErr w:type="spellEnd"/>
      <w:r w:rsidRPr="00552229">
        <w:rPr>
          <w:rFonts w:ascii="Book Antiqua" w:hAnsi="Book Antiqua"/>
          <w:sz w:val="18"/>
          <w:szCs w:val="18"/>
        </w:rPr>
        <w:t xml:space="preserve"> (1) of </w:t>
      </w:r>
      <w:proofErr w:type="spellStart"/>
      <w:r w:rsidRPr="00552229">
        <w:rPr>
          <w:rFonts w:ascii="Book Antiqua" w:hAnsi="Book Antiqua"/>
          <w:sz w:val="18"/>
          <w:szCs w:val="18"/>
        </w:rPr>
        <w:t>Undang-Undang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36 Tahun 2009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Kesehatan (revoked, but its substance remains relevant and has been adopted in </w:t>
      </w:r>
      <w:proofErr w:type="spellStart"/>
      <w:r w:rsidRPr="00552229">
        <w:rPr>
          <w:rFonts w:ascii="Book Antiqua" w:hAnsi="Book Antiqua"/>
          <w:sz w:val="18"/>
          <w:szCs w:val="18"/>
        </w:rPr>
        <w:t>Undang-Undang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17 Tahun 2023).</w:t>
      </w:r>
    </w:p>
  </w:footnote>
  <w:footnote w:id="21">
    <w:p w14:paraId="555615D9" w14:textId="76331B99"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Pr>
          <w:rFonts w:ascii="Book Antiqua" w:hAnsi="Book Antiqua"/>
          <w:sz w:val="18"/>
          <w:szCs w:val="18"/>
        </w:rPr>
        <w:tab/>
      </w:r>
      <w:r w:rsidRPr="00552229">
        <w:rPr>
          <w:rFonts w:ascii="Book Antiqua" w:hAnsi="Book Antiqua"/>
          <w:sz w:val="18"/>
          <w:szCs w:val="18"/>
        </w:rPr>
        <w:t xml:space="preserve">See Pasal 293 and 294 of </w:t>
      </w:r>
      <w:proofErr w:type="spellStart"/>
      <w:r w:rsidRPr="00552229">
        <w:rPr>
          <w:rFonts w:ascii="Book Antiqua" w:hAnsi="Book Antiqua"/>
          <w:sz w:val="18"/>
          <w:szCs w:val="18"/>
        </w:rPr>
        <w:t>Undang-Undang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17 Tahun 2023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Kesehatan.</w:t>
      </w:r>
    </w:p>
  </w:footnote>
  <w:footnote w:id="22">
    <w:p w14:paraId="62911A58" w14:textId="21B6A9AE"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Pr>
          <w:rFonts w:ascii="Book Antiqua" w:hAnsi="Book Antiqua"/>
          <w:sz w:val="18"/>
          <w:szCs w:val="18"/>
        </w:rPr>
        <w:tab/>
      </w:r>
      <w:r w:rsidRPr="00552229">
        <w:rPr>
          <w:rFonts w:ascii="Book Antiqua" w:hAnsi="Book Antiqua"/>
          <w:sz w:val="18"/>
          <w:szCs w:val="18"/>
        </w:rPr>
        <w:t xml:space="preserve">See Pasal 4 </w:t>
      </w:r>
      <w:proofErr w:type="spellStart"/>
      <w:r w:rsidRPr="00552229">
        <w:rPr>
          <w:rFonts w:ascii="Book Antiqua" w:hAnsi="Book Antiqua"/>
          <w:sz w:val="18"/>
          <w:szCs w:val="18"/>
        </w:rPr>
        <w:t>ayat</w:t>
      </w:r>
      <w:proofErr w:type="spellEnd"/>
      <w:r w:rsidRPr="00552229">
        <w:rPr>
          <w:rFonts w:ascii="Book Antiqua" w:hAnsi="Book Antiqua"/>
          <w:sz w:val="18"/>
          <w:szCs w:val="18"/>
        </w:rPr>
        <w:t xml:space="preserve"> (1) and (2) of </w:t>
      </w:r>
      <w:proofErr w:type="spellStart"/>
      <w:r w:rsidRPr="00552229">
        <w:rPr>
          <w:rFonts w:ascii="Book Antiqua" w:hAnsi="Book Antiqua"/>
          <w:sz w:val="18"/>
          <w:szCs w:val="18"/>
        </w:rPr>
        <w:t>Peraturan</w:t>
      </w:r>
      <w:proofErr w:type="spellEnd"/>
      <w:r w:rsidRPr="00552229">
        <w:rPr>
          <w:rFonts w:ascii="Book Antiqua" w:hAnsi="Book Antiqua"/>
          <w:sz w:val="18"/>
          <w:szCs w:val="18"/>
        </w:rPr>
        <w:t xml:space="preserve"> Menteri Kesehatan (</w:t>
      </w:r>
      <w:proofErr w:type="spellStart"/>
      <w:r w:rsidRPr="00552229">
        <w:rPr>
          <w:rFonts w:ascii="Book Antiqua" w:hAnsi="Book Antiqua"/>
          <w:sz w:val="18"/>
          <w:szCs w:val="18"/>
        </w:rPr>
        <w:t>Permenkes</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290 Tahun 2008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Persetujuan</w:t>
      </w:r>
      <w:proofErr w:type="spellEnd"/>
      <w:r w:rsidRPr="00552229">
        <w:rPr>
          <w:rFonts w:ascii="Book Antiqua" w:hAnsi="Book Antiqua"/>
          <w:sz w:val="18"/>
          <w:szCs w:val="18"/>
        </w:rPr>
        <w:t xml:space="preserve"> Tindakan </w:t>
      </w:r>
      <w:proofErr w:type="spellStart"/>
      <w:r w:rsidRPr="00552229">
        <w:rPr>
          <w:rFonts w:ascii="Book Antiqua" w:hAnsi="Book Antiqua"/>
          <w:sz w:val="18"/>
          <w:szCs w:val="18"/>
        </w:rPr>
        <w:t>Kedokteran</w:t>
      </w:r>
      <w:proofErr w:type="spellEnd"/>
      <w:r w:rsidRPr="00552229">
        <w:rPr>
          <w:rFonts w:ascii="Book Antiqua" w:hAnsi="Book Antiqua"/>
          <w:sz w:val="18"/>
          <w:szCs w:val="18"/>
        </w:rPr>
        <w:t>.</w:t>
      </w:r>
    </w:p>
  </w:footnote>
  <w:footnote w:id="23">
    <w:p w14:paraId="73AC8D1D" w14:textId="77983DAB" w:rsidR="00C57E69" w:rsidRPr="00552229" w:rsidRDefault="00C57E69" w:rsidP="00552229">
      <w:pPr>
        <w:pStyle w:val="FootnoteText"/>
        <w:ind w:left="284" w:hanging="284"/>
        <w:rPr>
          <w:rFonts w:ascii="Book Antiqua" w:hAnsi="Book Antiqua" w:cstheme="minorBidi"/>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Pr>
          <w:rFonts w:ascii="Book Antiqua" w:hAnsi="Book Antiqua"/>
          <w:sz w:val="18"/>
          <w:szCs w:val="18"/>
        </w:rPr>
        <w:tab/>
      </w:r>
      <w:r w:rsidRPr="00552229">
        <w:rPr>
          <w:rFonts w:ascii="Book Antiqua" w:hAnsi="Book Antiqua"/>
          <w:sz w:val="18"/>
          <w:szCs w:val="18"/>
        </w:rPr>
        <w:t xml:space="preserve">See Pasal 295 </w:t>
      </w:r>
      <w:proofErr w:type="spellStart"/>
      <w:r w:rsidRPr="00552229">
        <w:rPr>
          <w:rFonts w:ascii="Book Antiqua" w:hAnsi="Book Antiqua"/>
          <w:sz w:val="18"/>
          <w:szCs w:val="18"/>
        </w:rPr>
        <w:t>ayat</w:t>
      </w:r>
      <w:proofErr w:type="spellEnd"/>
      <w:r w:rsidRPr="00552229">
        <w:rPr>
          <w:rFonts w:ascii="Book Antiqua" w:hAnsi="Book Antiqua"/>
          <w:sz w:val="18"/>
          <w:szCs w:val="18"/>
        </w:rPr>
        <w:t xml:space="preserve"> (4) of </w:t>
      </w:r>
      <w:proofErr w:type="spellStart"/>
      <w:r w:rsidRPr="00552229">
        <w:rPr>
          <w:rFonts w:ascii="Book Antiqua" w:hAnsi="Book Antiqua"/>
          <w:sz w:val="18"/>
          <w:szCs w:val="18"/>
        </w:rPr>
        <w:t>Undang-Undang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17 Tahun 2023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Kesehatan.</w:t>
      </w:r>
    </w:p>
  </w:footnote>
  <w:footnote w:id="24">
    <w:p w14:paraId="3DAE87FF" w14:textId="030C0368"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Pr>
          <w:rFonts w:ascii="Book Antiqua" w:hAnsi="Book Antiqua"/>
          <w:sz w:val="18"/>
          <w:szCs w:val="18"/>
        </w:rPr>
        <w:tab/>
      </w:r>
      <w:r w:rsidRPr="00552229">
        <w:rPr>
          <w:rFonts w:ascii="Book Antiqua" w:hAnsi="Book Antiqua"/>
          <w:sz w:val="18"/>
          <w:szCs w:val="18"/>
        </w:rPr>
        <w:t xml:space="preserve">See Pasal 295 of </w:t>
      </w:r>
      <w:proofErr w:type="spellStart"/>
      <w:r w:rsidRPr="00552229">
        <w:rPr>
          <w:rFonts w:ascii="Book Antiqua" w:hAnsi="Book Antiqua"/>
          <w:sz w:val="18"/>
          <w:szCs w:val="18"/>
        </w:rPr>
        <w:t>Undang-Undang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17 Tahun 2023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Kesehatan.</w:t>
      </w:r>
    </w:p>
  </w:footnote>
  <w:footnote w:id="25">
    <w:p w14:paraId="6BA42238" w14:textId="7EEB62BA"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Pr>
          <w:rFonts w:ascii="Book Antiqua" w:hAnsi="Book Antiqua"/>
          <w:sz w:val="18"/>
          <w:szCs w:val="18"/>
        </w:rPr>
        <w:tab/>
      </w:r>
      <w:proofErr w:type="spellStart"/>
      <w:r w:rsidRPr="00552229">
        <w:rPr>
          <w:rFonts w:ascii="Book Antiqua" w:hAnsi="Book Antiqua"/>
          <w:sz w:val="18"/>
          <w:szCs w:val="18"/>
        </w:rPr>
        <w:t>Putusan</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Mahkamah</w:t>
      </w:r>
      <w:proofErr w:type="spellEnd"/>
      <w:r w:rsidRPr="00552229">
        <w:rPr>
          <w:rFonts w:ascii="Book Antiqua" w:hAnsi="Book Antiqua"/>
          <w:sz w:val="18"/>
          <w:szCs w:val="18"/>
        </w:rPr>
        <w:t xml:space="preserve"> Agung Republik Indonesia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365 K/</w:t>
      </w:r>
      <w:proofErr w:type="spellStart"/>
      <w:r w:rsidRPr="00552229">
        <w:rPr>
          <w:rFonts w:ascii="Book Antiqua" w:hAnsi="Book Antiqua"/>
          <w:sz w:val="18"/>
          <w:szCs w:val="18"/>
        </w:rPr>
        <w:t>Pdt</w:t>
      </w:r>
      <w:proofErr w:type="spellEnd"/>
      <w:r w:rsidRPr="00552229">
        <w:rPr>
          <w:rFonts w:ascii="Book Antiqua" w:hAnsi="Book Antiqua"/>
          <w:sz w:val="18"/>
          <w:szCs w:val="18"/>
        </w:rPr>
        <w:t>/2010, in a civil claim concerning medical treatment conducted without adequate explanation of associated risks.</w:t>
      </w:r>
    </w:p>
  </w:footnote>
  <w:footnote w:id="26">
    <w:p w14:paraId="12C19D5B" w14:textId="189AF790"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Pr>
          <w:rFonts w:ascii="Book Antiqua" w:hAnsi="Book Antiqua"/>
          <w:sz w:val="18"/>
          <w:szCs w:val="18"/>
        </w:rPr>
        <w:tab/>
      </w:r>
      <w:r w:rsidRPr="00552229">
        <w:rPr>
          <w:rFonts w:ascii="Book Antiqua" w:hAnsi="Book Antiqua"/>
          <w:sz w:val="18"/>
          <w:szCs w:val="18"/>
        </w:rPr>
        <w:t xml:space="preserve">See Pasal 738 </w:t>
      </w:r>
      <w:proofErr w:type="spellStart"/>
      <w:r w:rsidRPr="00552229">
        <w:rPr>
          <w:rFonts w:ascii="Book Antiqua" w:hAnsi="Book Antiqua"/>
          <w:sz w:val="18"/>
          <w:szCs w:val="18"/>
        </w:rPr>
        <w:t>Undang-Undang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17 Tahun 2023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Kesehatan.</w:t>
      </w:r>
    </w:p>
  </w:footnote>
  <w:footnote w:id="27">
    <w:p w14:paraId="28BE6BD3" w14:textId="0C180CAF"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Pr>
          <w:rFonts w:ascii="Book Antiqua" w:hAnsi="Book Antiqua"/>
          <w:sz w:val="18"/>
          <w:szCs w:val="18"/>
        </w:rPr>
        <w:tab/>
      </w:r>
      <w:r w:rsidRPr="00552229">
        <w:rPr>
          <w:rFonts w:ascii="Book Antiqua" w:hAnsi="Book Antiqua"/>
          <w:sz w:val="18"/>
          <w:szCs w:val="18"/>
        </w:rPr>
        <w:t xml:space="preserve">See Pasal 5 </w:t>
      </w:r>
      <w:proofErr w:type="spellStart"/>
      <w:r w:rsidRPr="00552229">
        <w:rPr>
          <w:rFonts w:ascii="Book Antiqua" w:hAnsi="Book Antiqua"/>
          <w:sz w:val="18"/>
          <w:szCs w:val="18"/>
        </w:rPr>
        <w:t>ayat</w:t>
      </w:r>
      <w:proofErr w:type="spellEnd"/>
      <w:r w:rsidRPr="00552229">
        <w:rPr>
          <w:rFonts w:ascii="Book Antiqua" w:hAnsi="Book Antiqua"/>
          <w:sz w:val="18"/>
          <w:szCs w:val="18"/>
        </w:rPr>
        <w:t xml:space="preserve"> (2) </w:t>
      </w:r>
      <w:proofErr w:type="spellStart"/>
      <w:r w:rsidRPr="00552229">
        <w:rPr>
          <w:rFonts w:ascii="Book Antiqua" w:hAnsi="Book Antiqua"/>
          <w:sz w:val="18"/>
          <w:szCs w:val="18"/>
        </w:rPr>
        <w:t>Peraturan</w:t>
      </w:r>
      <w:proofErr w:type="spellEnd"/>
      <w:r w:rsidRPr="00552229">
        <w:rPr>
          <w:rFonts w:ascii="Book Antiqua" w:hAnsi="Book Antiqua"/>
          <w:sz w:val="18"/>
          <w:szCs w:val="18"/>
        </w:rPr>
        <w:t xml:space="preserve"> Menteri Kesehatan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24 Tahun 2022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Rekam</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Medis</w:t>
      </w:r>
      <w:proofErr w:type="spellEnd"/>
      <w:r w:rsidRPr="00552229">
        <w:rPr>
          <w:rFonts w:ascii="Book Antiqua" w:hAnsi="Book Antiqua"/>
          <w:sz w:val="18"/>
          <w:szCs w:val="18"/>
        </w:rPr>
        <w:t>.</w:t>
      </w:r>
    </w:p>
  </w:footnote>
  <w:footnote w:id="28">
    <w:p w14:paraId="2C3B473C" w14:textId="11AB3FFD"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Pr>
          <w:rFonts w:ascii="Book Antiqua" w:hAnsi="Book Antiqua"/>
          <w:sz w:val="18"/>
          <w:szCs w:val="18"/>
        </w:rPr>
        <w:tab/>
      </w:r>
      <w:r w:rsidRPr="00552229">
        <w:rPr>
          <w:rFonts w:ascii="Book Antiqua" w:hAnsi="Book Antiqua"/>
          <w:sz w:val="18"/>
          <w:szCs w:val="18"/>
        </w:rPr>
        <w:t xml:space="preserve">See: Sylvia Sumarlin, </w:t>
      </w:r>
      <w:proofErr w:type="spellStart"/>
      <w:r w:rsidRPr="00552229">
        <w:rPr>
          <w:rFonts w:ascii="Book Antiqua" w:hAnsi="Book Antiqua"/>
          <w:sz w:val="18"/>
          <w:szCs w:val="18"/>
        </w:rPr>
        <w:t>Tanggung</w:t>
      </w:r>
      <w:proofErr w:type="spellEnd"/>
      <w:r w:rsidRPr="00552229">
        <w:rPr>
          <w:rFonts w:ascii="Book Antiqua" w:hAnsi="Book Antiqua"/>
          <w:sz w:val="18"/>
          <w:szCs w:val="18"/>
        </w:rPr>
        <w:t xml:space="preserve"> Jawab Hukum Dokter </w:t>
      </w:r>
      <w:proofErr w:type="spellStart"/>
      <w:r w:rsidRPr="00552229">
        <w:rPr>
          <w:rFonts w:ascii="Book Antiqua" w:hAnsi="Book Antiqua"/>
          <w:sz w:val="18"/>
          <w:szCs w:val="18"/>
        </w:rPr>
        <w:t>Akibat</w:t>
      </w:r>
      <w:proofErr w:type="spellEnd"/>
      <w:r w:rsidRPr="00552229">
        <w:rPr>
          <w:rFonts w:ascii="Book Antiqua" w:hAnsi="Book Antiqua"/>
          <w:sz w:val="18"/>
          <w:szCs w:val="18"/>
        </w:rPr>
        <w:t xml:space="preserve"> Tidak </w:t>
      </w:r>
      <w:proofErr w:type="spellStart"/>
      <w:r w:rsidRPr="00552229">
        <w:rPr>
          <w:rFonts w:ascii="Book Antiqua" w:hAnsi="Book Antiqua"/>
          <w:sz w:val="18"/>
          <w:szCs w:val="18"/>
        </w:rPr>
        <w:t>Memberikan</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Informasi</w:t>
      </w:r>
      <w:proofErr w:type="spellEnd"/>
      <w:r w:rsidRPr="00552229">
        <w:rPr>
          <w:rFonts w:ascii="Book Antiqua" w:hAnsi="Book Antiqua"/>
          <w:sz w:val="18"/>
          <w:szCs w:val="18"/>
        </w:rPr>
        <w:t xml:space="preserve"> yang </w:t>
      </w:r>
      <w:proofErr w:type="spellStart"/>
      <w:r w:rsidRPr="00552229">
        <w:rPr>
          <w:rFonts w:ascii="Book Antiqua" w:hAnsi="Book Antiqua"/>
          <w:sz w:val="18"/>
          <w:szCs w:val="18"/>
        </w:rPr>
        <w:t>Lengkap</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Jurnal</w:t>
      </w:r>
      <w:proofErr w:type="spellEnd"/>
      <w:r w:rsidRPr="00552229">
        <w:rPr>
          <w:rFonts w:ascii="Book Antiqua" w:hAnsi="Book Antiqua"/>
          <w:sz w:val="18"/>
          <w:szCs w:val="18"/>
        </w:rPr>
        <w:t xml:space="preserve"> Etika </w:t>
      </w:r>
      <w:proofErr w:type="spellStart"/>
      <w:r w:rsidRPr="00552229">
        <w:rPr>
          <w:rFonts w:ascii="Book Antiqua" w:hAnsi="Book Antiqua"/>
          <w:sz w:val="18"/>
          <w:szCs w:val="18"/>
        </w:rPr>
        <w:t>Kedokteran</w:t>
      </w:r>
      <w:proofErr w:type="spellEnd"/>
      <w:r w:rsidRPr="00552229">
        <w:rPr>
          <w:rFonts w:ascii="Book Antiqua" w:hAnsi="Book Antiqua"/>
          <w:sz w:val="18"/>
          <w:szCs w:val="18"/>
        </w:rPr>
        <w:t xml:space="preserve"> Indonesia, Vol. 5 No. 2, 2016, p. 134.</w:t>
      </w:r>
    </w:p>
  </w:footnote>
  <w:footnote w:id="29">
    <w:p w14:paraId="79288A81" w14:textId="71C2790A"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Pr>
          <w:rFonts w:ascii="Book Antiqua" w:hAnsi="Book Antiqua"/>
          <w:sz w:val="18"/>
          <w:szCs w:val="18"/>
        </w:rPr>
        <w:tab/>
      </w:r>
      <w:r w:rsidRPr="00552229">
        <w:rPr>
          <w:rFonts w:ascii="Book Antiqua" w:hAnsi="Book Antiqua"/>
          <w:sz w:val="18"/>
          <w:szCs w:val="18"/>
        </w:rPr>
        <w:t>J.C. Braithwaite et al., Health Administration and Communication: Legal Perspectives, Sydney: McGraw-Hill, 2018, p. 112.</w:t>
      </w:r>
    </w:p>
  </w:footnote>
  <w:footnote w:id="30">
    <w:p w14:paraId="23568288" w14:textId="4CAA744F"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w:t>
      </w:r>
      <w:r w:rsidR="00552229">
        <w:rPr>
          <w:rFonts w:ascii="Book Antiqua" w:hAnsi="Book Antiqua"/>
          <w:sz w:val="18"/>
          <w:szCs w:val="18"/>
        </w:rPr>
        <w:tab/>
      </w:r>
      <w:r w:rsidRPr="00552229">
        <w:rPr>
          <w:rFonts w:ascii="Book Antiqua" w:hAnsi="Book Antiqua"/>
          <w:sz w:val="18"/>
          <w:szCs w:val="18"/>
        </w:rPr>
        <w:t xml:space="preserve">See Pasal 10 </w:t>
      </w:r>
      <w:proofErr w:type="spellStart"/>
      <w:r w:rsidRPr="00552229">
        <w:rPr>
          <w:rFonts w:ascii="Book Antiqua" w:hAnsi="Book Antiqua"/>
          <w:sz w:val="18"/>
          <w:szCs w:val="18"/>
        </w:rPr>
        <w:t>ayat</w:t>
      </w:r>
      <w:proofErr w:type="spellEnd"/>
      <w:r w:rsidRPr="00552229">
        <w:rPr>
          <w:rFonts w:ascii="Book Antiqua" w:hAnsi="Book Antiqua"/>
          <w:sz w:val="18"/>
          <w:szCs w:val="18"/>
        </w:rPr>
        <w:t xml:space="preserve"> (1)</w:t>
      </w:r>
      <w:proofErr w:type="gramStart"/>
      <w:r w:rsidRPr="00552229">
        <w:rPr>
          <w:rFonts w:ascii="Book Antiqua" w:hAnsi="Book Antiqua"/>
          <w:sz w:val="18"/>
          <w:szCs w:val="18"/>
        </w:rPr>
        <w:t>–(</w:t>
      </w:r>
      <w:proofErr w:type="gramEnd"/>
      <w:r w:rsidRPr="00552229">
        <w:rPr>
          <w:rFonts w:ascii="Book Antiqua" w:hAnsi="Book Antiqua"/>
          <w:sz w:val="18"/>
          <w:szCs w:val="18"/>
        </w:rPr>
        <w:t xml:space="preserve">3) </w:t>
      </w:r>
      <w:proofErr w:type="spellStart"/>
      <w:r w:rsidRPr="00552229">
        <w:rPr>
          <w:rFonts w:ascii="Book Antiqua" w:hAnsi="Book Antiqua"/>
          <w:sz w:val="18"/>
          <w:szCs w:val="18"/>
        </w:rPr>
        <w:t>Peraturan</w:t>
      </w:r>
      <w:proofErr w:type="spellEnd"/>
      <w:r w:rsidRPr="00552229">
        <w:rPr>
          <w:rFonts w:ascii="Book Antiqua" w:hAnsi="Book Antiqua"/>
          <w:sz w:val="18"/>
          <w:szCs w:val="18"/>
        </w:rPr>
        <w:t xml:space="preserve"> Menteri Kesehatan </w:t>
      </w:r>
      <w:proofErr w:type="spellStart"/>
      <w:r w:rsidRPr="00552229">
        <w:rPr>
          <w:rFonts w:ascii="Book Antiqua" w:hAnsi="Book Antiqua"/>
          <w:sz w:val="18"/>
          <w:szCs w:val="18"/>
        </w:rPr>
        <w:t>Nomor</w:t>
      </w:r>
      <w:proofErr w:type="spellEnd"/>
      <w:r w:rsidRPr="00552229">
        <w:rPr>
          <w:rFonts w:ascii="Book Antiqua" w:hAnsi="Book Antiqua"/>
          <w:sz w:val="18"/>
          <w:szCs w:val="18"/>
        </w:rPr>
        <w:t xml:space="preserve"> 290 Tahun 2008 </w:t>
      </w:r>
      <w:proofErr w:type="spellStart"/>
      <w:r w:rsidRPr="00552229">
        <w:rPr>
          <w:rFonts w:ascii="Book Antiqua" w:hAnsi="Book Antiqua"/>
          <w:sz w:val="18"/>
          <w:szCs w:val="18"/>
        </w:rPr>
        <w:t>tentang</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Persetujuan</w:t>
      </w:r>
      <w:proofErr w:type="spellEnd"/>
      <w:r w:rsidRPr="00552229">
        <w:rPr>
          <w:rFonts w:ascii="Book Antiqua" w:hAnsi="Book Antiqua"/>
          <w:sz w:val="18"/>
          <w:szCs w:val="18"/>
        </w:rPr>
        <w:t xml:space="preserve"> Tindakan </w:t>
      </w:r>
      <w:proofErr w:type="spellStart"/>
      <w:r w:rsidRPr="00552229">
        <w:rPr>
          <w:rFonts w:ascii="Book Antiqua" w:hAnsi="Book Antiqua"/>
          <w:sz w:val="18"/>
          <w:szCs w:val="18"/>
        </w:rPr>
        <w:t>Kedokteran</w:t>
      </w:r>
      <w:proofErr w:type="spellEnd"/>
      <w:r w:rsidRPr="00552229">
        <w:rPr>
          <w:rFonts w:ascii="Book Antiqua" w:hAnsi="Book Antiqua"/>
          <w:sz w:val="18"/>
          <w:szCs w:val="18"/>
        </w:rPr>
        <w:t>.</w:t>
      </w:r>
    </w:p>
  </w:footnote>
  <w:footnote w:id="31">
    <w:p w14:paraId="48DA6510" w14:textId="77777777" w:rsidR="00C57E69" w:rsidRPr="00552229" w:rsidRDefault="00C57E69" w:rsidP="00552229">
      <w:pPr>
        <w:pStyle w:val="FootnoteText"/>
        <w:ind w:left="284" w:hanging="284"/>
        <w:rPr>
          <w:rFonts w:ascii="Book Antiqua" w:hAnsi="Book Antiqua"/>
          <w:sz w:val="18"/>
          <w:szCs w:val="18"/>
        </w:rPr>
      </w:pPr>
      <w:r w:rsidRPr="00552229">
        <w:rPr>
          <w:rStyle w:val="FootnoteReference"/>
          <w:rFonts w:ascii="Book Antiqua" w:hAnsi="Book Antiqua"/>
          <w:sz w:val="18"/>
          <w:szCs w:val="18"/>
        </w:rPr>
        <w:footnoteRef/>
      </w:r>
      <w:r w:rsidRPr="00552229">
        <w:rPr>
          <w:rFonts w:ascii="Book Antiqua" w:hAnsi="Book Antiqua"/>
          <w:sz w:val="18"/>
          <w:szCs w:val="18"/>
        </w:rPr>
        <w:t xml:space="preserve"> Central Jakarta District Court Decision Number 615/</w:t>
      </w:r>
      <w:proofErr w:type="spellStart"/>
      <w:r w:rsidRPr="00552229">
        <w:rPr>
          <w:rFonts w:ascii="Book Antiqua" w:hAnsi="Book Antiqua"/>
          <w:sz w:val="18"/>
          <w:szCs w:val="18"/>
        </w:rPr>
        <w:t>Pdt.G</w:t>
      </w:r>
      <w:proofErr w:type="spellEnd"/>
      <w:r w:rsidRPr="00552229">
        <w:rPr>
          <w:rFonts w:ascii="Book Antiqua" w:hAnsi="Book Antiqua"/>
          <w:sz w:val="18"/>
          <w:szCs w:val="18"/>
        </w:rPr>
        <w:t>/2019/</w:t>
      </w:r>
      <w:proofErr w:type="spellStart"/>
      <w:proofErr w:type="gramStart"/>
      <w:r w:rsidRPr="00552229">
        <w:rPr>
          <w:rFonts w:ascii="Book Antiqua" w:hAnsi="Book Antiqua"/>
          <w:sz w:val="18"/>
          <w:szCs w:val="18"/>
        </w:rPr>
        <w:t>PN.Jkt.Pst</w:t>
      </w:r>
      <w:proofErr w:type="spellEnd"/>
      <w:proofErr w:type="gramEnd"/>
      <w:r w:rsidRPr="00552229">
        <w:rPr>
          <w:rFonts w:ascii="Book Antiqua" w:hAnsi="Book Antiqua"/>
          <w:sz w:val="18"/>
          <w:szCs w:val="18"/>
        </w:rPr>
        <w:t xml:space="preserve"> (cited in: </w:t>
      </w:r>
      <w:proofErr w:type="spellStart"/>
      <w:r w:rsidRPr="00552229">
        <w:rPr>
          <w:rFonts w:ascii="Book Antiqua" w:hAnsi="Book Antiqua"/>
          <w:sz w:val="18"/>
          <w:szCs w:val="18"/>
        </w:rPr>
        <w:t>Laporan</w:t>
      </w:r>
      <w:proofErr w:type="spellEnd"/>
      <w:r w:rsidRPr="00552229">
        <w:rPr>
          <w:rFonts w:ascii="Book Antiqua" w:hAnsi="Book Antiqua"/>
          <w:sz w:val="18"/>
          <w:szCs w:val="18"/>
        </w:rPr>
        <w:t xml:space="preserve"> </w:t>
      </w:r>
      <w:proofErr w:type="spellStart"/>
      <w:r w:rsidRPr="00552229">
        <w:rPr>
          <w:rFonts w:ascii="Book Antiqua" w:hAnsi="Book Antiqua"/>
          <w:sz w:val="18"/>
          <w:szCs w:val="18"/>
        </w:rPr>
        <w:t>Tahunan</w:t>
      </w:r>
      <w:proofErr w:type="spellEnd"/>
      <w:r w:rsidRPr="00552229">
        <w:rPr>
          <w:rFonts w:ascii="Book Antiqua" w:hAnsi="Book Antiqua"/>
          <w:sz w:val="18"/>
          <w:szCs w:val="18"/>
        </w:rPr>
        <w:t xml:space="preserve"> MKDKI 2020, p.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dugi" w:hAnsi="Gadugi"/>
        <w:sz w:val="18"/>
        <w:szCs w:val="18"/>
      </w:rPr>
      <w:id w:val="41645642"/>
      <w:docPartObj>
        <w:docPartGallery w:val="Page Numbers (Top of Page)"/>
        <w:docPartUnique/>
      </w:docPartObj>
    </w:sdtPr>
    <w:sdtEndPr>
      <w:rPr>
        <w:noProof/>
      </w:rPr>
    </w:sdtEndPr>
    <w:sdtContent>
      <w:p w14:paraId="767F8A3A" w14:textId="5038780B" w:rsidR="00934175" w:rsidRPr="0057677B" w:rsidRDefault="007419CE" w:rsidP="00EE7A98">
        <w:pPr>
          <w:pStyle w:val="Header"/>
          <w:tabs>
            <w:tab w:val="clear" w:pos="4680"/>
            <w:tab w:val="center" w:pos="3828"/>
          </w:tabs>
          <w:rPr>
            <w:rFonts w:ascii="Gadugi" w:hAnsi="Gadugi"/>
            <w:sz w:val="18"/>
            <w:szCs w:val="18"/>
          </w:rPr>
        </w:pPr>
        <w:r w:rsidRPr="0057677B">
          <w:rPr>
            <w:rFonts w:ascii="Gadugi" w:hAnsi="Gadugi"/>
            <w:b/>
            <w:bCs/>
            <w:noProof/>
            <w:sz w:val="18"/>
            <w:szCs w:val="18"/>
          </w:rPr>
          <mc:AlternateContent>
            <mc:Choice Requires="wps">
              <w:drawing>
                <wp:anchor distT="0" distB="0" distL="114300" distR="114300" simplePos="0" relativeHeight="251661312" behindDoc="0" locked="0" layoutInCell="1" allowOverlap="1" wp14:anchorId="6CF2429A" wp14:editId="5F068AEF">
                  <wp:simplePos x="0" y="0"/>
                  <wp:positionH relativeFrom="column">
                    <wp:posOffset>226505</wp:posOffset>
                  </wp:positionH>
                  <wp:positionV relativeFrom="paragraph">
                    <wp:posOffset>40005</wp:posOffset>
                  </wp:positionV>
                  <wp:extent cx="85725" cy="85725"/>
                  <wp:effectExtent l="0" t="0" r="9525" b="9525"/>
                  <wp:wrapNone/>
                  <wp:docPr id="2" name="Rectangle 2"/>
                  <wp:cNvGraphicFramePr/>
                  <a:graphic xmlns:a="http://schemas.openxmlformats.org/drawingml/2006/main">
                    <a:graphicData uri="http://schemas.microsoft.com/office/word/2010/wordprocessingShape">
                      <wps:wsp>
                        <wps:cNvSpPr/>
                        <wps:spPr>
                          <a:xfrm>
                            <a:off x="0" y="0"/>
                            <a:ext cx="85725" cy="857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75041" id="Rectangle 2" o:spid="_x0000_s1026" style="position:absolute;margin-left:17.85pt;margin-top:3.15pt;width:6.7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nFfwIAAH8FAAAOAAAAZHJzL2Uyb0RvYy54bWysVEtPGzEQvlfqf7B8L7uJgNKIDYpAVJUo&#10;IKDi7HjtrCXb49pONumv79jebICiHqpeduf5zcMzc36xNZpshA8KbEMnRzUlwnJolV019MfT9acz&#10;SkJktmUarGjoTgR6Mf/44bx3MzGFDnQrPEEQG2a9a2gXo5tVVeCdMCwcgRMWlRK8YRFZv6paz3pE&#10;N7qa1vVp1YNvnQcuQkDpVVHSecaXUvB4J2UQkeiGYm4xf33+LtO3mp+z2coz1yk+pMH+IQvDlMWg&#10;I9QVi4ysvfoDyijuIYCMRxxMBVIqLnINWM2kflPNY8ecyLVgc4Ib2xT+Hyy/3Ty6e49t6F2YBSRT&#10;FVvpTfpjfmSbm7UbmyW2kXAUnp18np5QwlFTSMSoDq7Oh/hVgCGJaKjHl8gNYpubEIvp3iRFCqBV&#10;e620zkx6fXGpPdkwfLflapJd9dp8h7bITk/qOr8ehszDksxzAq+QtE14FhJyCZok1aHWTMWdFslO&#10;2wchiWqxummOOCKXoIxzYWNJJnSsFUWcUnk/lwyYkCXGH7EHgNdF7rFLloN9chV5ikfn+m+JFefR&#10;I0cGG0dnoyz49wA0VjVELvb7JpXWpC4tod3de+Kh7FBw/Frh096wEO+Zx6XB9cJDEO/wIzX0DYWB&#10;oqQD/+s9ebLHWUYtJT0uYUPDzzXzghL9zeKUf5kcH6etzcwxDhwy/qVm+VJj1+YScF4meHIcz2Sy&#10;j3pPSg/mGe/FIkVFFbMcYzeUR79nLmM5DnhxuFgsshluqmPxxj46nsBTV9PoPm2fmXfDfEdci1vY&#10;LyybvRnzYps8LSzWEaTKO3Do69Bv3PI8xMNFSmfkJZ+tDndz/hsAAP//AwBQSwMEFAAGAAgAAAAh&#10;AGhj/4HbAAAABgEAAA8AAABkcnMvZG93bnJldi54bWxMjsFOwzAQRO9I/IO1SNyoQwptGuJUpRJX&#10;JAoS7c2NlyTCXkexk4Z+PcupHEfzNPOK9eSsGLEPrScF97MEBFLlTUu1go/3l7sMRIiajLaeUMEP&#10;BliX11eFzo0/0RuOu1gLHqGQawVNjF0uZagadDrMfIfE3ZfvnY4c+1qaXp943FmZJslCOt0SPzS6&#10;w22D1fducArokI5xebb74fyabVJj/fPn1it1ezNtnkBEnOIFhj99VoeSnY5+IBOEVTB/XDKpYDEH&#10;wfXDKgVxZGyVgSwL+V+//AUAAP//AwBQSwECLQAUAAYACAAAACEAtoM4kv4AAADhAQAAEwAAAAAA&#10;AAAAAAAAAAAAAAAAW0NvbnRlbnRfVHlwZXNdLnhtbFBLAQItABQABgAIAAAAIQA4/SH/1gAAAJQB&#10;AAALAAAAAAAAAAAAAAAAAC8BAABfcmVscy8ucmVsc1BLAQItABQABgAIAAAAIQCTOPnFfwIAAH8F&#10;AAAOAAAAAAAAAAAAAAAAAC4CAABkcnMvZTJvRG9jLnhtbFBLAQItABQABgAIAAAAIQBoY/+B2wAA&#10;AAYBAAAPAAAAAAAAAAAAAAAAANkEAABkcnMvZG93bnJldi54bWxQSwUGAAAAAAQABADzAAAA4QUA&#10;AAAA&#10;" fillcolor="#a5a5a5 [2092]" stroked="f" strokeweight="2pt"/>
              </w:pict>
            </mc:Fallback>
          </mc:AlternateContent>
        </w:r>
        <w:r w:rsidR="00934175" w:rsidRPr="0057677B">
          <w:rPr>
            <w:rFonts w:ascii="Gadugi" w:hAnsi="Gadugi"/>
            <w:b/>
            <w:bCs/>
            <w:sz w:val="18"/>
            <w:szCs w:val="18"/>
          </w:rPr>
          <w:fldChar w:fldCharType="begin"/>
        </w:r>
        <w:r w:rsidR="00934175" w:rsidRPr="0057677B">
          <w:rPr>
            <w:rFonts w:ascii="Gadugi" w:hAnsi="Gadugi"/>
            <w:b/>
            <w:bCs/>
            <w:sz w:val="18"/>
            <w:szCs w:val="18"/>
          </w:rPr>
          <w:instrText xml:space="preserve"> PAGE   \* MERGEFORMAT </w:instrText>
        </w:r>
        <w:r w:rsidR="00934175" w:rsidRPr="0057677B">
          <w:rPr>
            <w:rFonts w:ascii="Gadugi" w:hAnsi="Gadugi"/>
            <w:b/>
            <w:bCs/>
            <w:sz w:val="18"/>
            <w:szCs w:val="18"/>
          </w:rPr>
          <w:fldChar w:fldCharType="separate"/>
        </w:r>
        <w:r w:rsidR="007B69D5" w:rsidRPr="0057677B">
          <w:rPr>
            <w:rFonts w:ascii="Gadugi" w:hAnsi="Gadugi"/>
            <w:b/>
            <w:bCs/>
            <w:noProof/>
            <w:sz w:val="18"/>
            <w:szCs w:val="18"/>
          </w:rPr>
          <w:t>2</w:t>
        </w:r>
        <w:r w:rsidR="00934175" w:rsidRPr="0057677B">
          <w:rPr>
            <w:rFonts w:ascii="Gadugi" w:hAnsi="Gadugi"/>
            <w:b/>
            <w:bCs/>
            <w:noProof/>
            <w:sz w:val="18"/>
            <w:szCs w:val="18"/>
          </w:rPr>
          <w:fldChar w:fldCharType="end"/>
        </w:r>
        <w:r w:rsidR="00934175" w:rsidRPr="0057677B">
          <w:rPr>
            <w:rFonts w:ascii="Gadugi" w:hAnsi="Gadugi"/>
            <w:b/>
            <w:bCs/>
            <w:noProof/>
            <w:sz w:val="18"/>
            <w:szCs w:val="18"/>
          </w:rPr>
          <w:t xml:space="preserve"> </w:t>
        </w:r>
        <w:r w:rsidR="00934175" w:rsidRPr="0057677B">
          <w:rPr>
            <w:rFonts w:ascii="Gadugi" w:hAnsi="Gadugi"/>
            <w:noProof/>
            <w:sz w:val="18"/>
            <w:szCs w:val="18"/>
          </w:rPr>
          <w:t xml:space="preserve">          </w:t>
        </w:r>
        <w:r w:rsidR="00B801D9">
          <w:rPr>
            <w:rFonts w:ascii="Gadugi" w:hAnsi="Gadugi"/>
            <w:noProof/>
            <w:sz w:val="18"/>
            <w:szCs w:val="18"/>
          </w:rPr>
          <w:t>Title</w:t>
        </w:r>
      </w:p>
      <w:p w14:paraId="15E6CDF5" w14:textId="452DDEA5" w:rsidR="00934175" w:rsidRPr="0057677B" w:rsidRDefault="00000000">
        <w:pPr>
          <w:pStyle w:val="Header"/>
          <w:rPr>
            <w:rFonts w:ascii="Gadugi" w:hAnsi="Gadugi"/>
            <w:sz w:val="18"/>
            <w:szCs w:val="18"/>
          </w:rPr>
        </w:pPr>
      </w:p>
    </w:sdtContent>
  </w:sdt>
  <w:p w14:paraId="5277DF48" w14:textId="5CFAC70B" w:rsidR="00934175" w:rsidRPr="0057677B" w:rsidRDefault="00934175">
    <w:pPr>
      <w:pStyle w:val="Header"/>
      <w:rPr>
        <w:rFonts w:ascii="Gadugi" w:hAnsi="Gadug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CD93" w14:textId="1C26631A" w:rsidR="00934175" w:rsidRPr="0057677B" w:rsidRDefault="007419CE" w:rsidP="00474FB7">
    <w:pPr>
      <w:pStyle w:val="Header"/>
      <w:tabs>
        <w:tab w:val="clear" w:pos="4680"/>
      </w:tabs>
      <w:jc w:val="right"/>
      <w:rPr>
        <w:rFonts w:ascii="Gadugi" w:hAnsi="Gadugi"/>
        <w:sz w:val="18"/>
        <w:szCs w:val="18"/>
      </w:rPr>
    </w:pPr>
    <w:r w:rsidRPr="0057677B">
      <w:rPr>
        <w:rFonts w:ascii="Gadugi" w:hAnsi="Gadugi"/>
        <w:noProof/>
        <w:sz w:val="18"/>
        <w:szCs w:val="18"/>
      </w:rPr>
      <mc:AlternateContent>
        <mc:Choice Requires="wps">
          <w:drawing>
            <wp:anchor distT="0" distB="0" distL="114300" distR="114300" simplePos="0" relativeHeight="251660288" behindDoc="0" locked="0" layoutInCell="1" allowOverlap="1" wp14:anchorId="73974AD3" wp14:editId="346F1D2A">
              <wp:simplePos x="0" y="0"/>
              <wp:positionH relativeFrom="column">
                <wp:posOffset>3876040</wp:posOffset>
              </wp:positionH>
              <wp:positionV relativeFrom="paragraph">
                <wp:posOffset>53340</wp:posOffset>
              </wp:positionV>
              <wp:extent cx="74589" cy="66301"/>
              <wp:effectExtent l="0" t="0" r="1905" b="0"/>
              <wp:wrapNone/>
              <wp:docPr id="1" name="Rectangle 1"/>
              <wp:cNvGraphicFramePr/>
              <a:graphic xmlns:a="http://schemas.openxmlformats.org/drawingml/2006/main">
                <a:graphicData uri="http://schemas.microsoft.com/office/word/2010/wordprocessingShape">
                  <wps:wsp>
                    <wps:cNvSpPr/>
                    <wps:spPr>
                      <a:xfrm flipH="1">
                        <a:off x="0" y="0"/>
                        <a:ext cx="74589" cy="66301"/>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471FC" id="Rectangle 1" o:spid="_x0000_s1026" style="position:absolute;margin-left:305.2pt;margin-top:4.2pt;width:5.85pt;height: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TLiQIAAIkFAAAOAAAAZHJzL2Uyb0RvYy54bWysVEtvGyEQvlfqf0Dcm127jptYWUdWorSV&#10;0iRqUuWMWfAisQwF7LX76zvA7ubRqIeqFzQvvnnP2fm+1WQnnFdgKjo5KikRhkOtzKaiPx6uPpxQ&#10;4gMzNdNgREUPwtPz5ft3Z51diCk0oGvhCIIYv+hsRZsQ7KIoPG9Ey/wRWGFQKcG1LCDrNkXtWIfo&#10;rS6mZTkvOnC1dcCF9yi9zEq6TPhSCh5upfQiEF1RjC2k16V3Hd9iecYWG8dso3gfBvuHKFqmDDod&#10;oS5ZYGTr1B9QreIOPMhwxKEtQErFRcoBs5mUr7K5b5gVKRcsjrdjmfz/g+U3u3t757AMnfULj2TM&#10;Yi9dS6RW9gv2NOWFkZJ9KtthLJvYB8JR+Gl2fHJKCUfNfP6xnMSiFhkkglnnw2cBLYlERR32JEGy&#10;3bUP2XQwieYetKqvlNaJiXMgLrQjO4YdXG9yNHrbfoM6y+bHZZn6iC7T2ETzFMALJG0inoGInJ1G&#10;SfGUdaLCQYtop813IYmqMbtpCnZEzk4Z58KEHIxvWC2yOIbydiwJMCJL9D9i9wAvkxywc5S9ffwq&#10;0jyPn8u/BZY/jz+SZzBh/NwqA+4tAI1Z9Z6z/VCkXJpYpTXUhztHHORt8pZfKWztNfPhjjlcH1w0&#10;PAnhFh+poaso9BQlDbhfb8mjPU41ainpcB0r6n9umROU6K8G5/10MpvF/U3M7PjTFBn3XLN+rjHb&#10;9gJwXiZ4fCxPZLQPeiClg/YRL8cqekUVMxx9V5QHNzAXIZ8JvD1crFbJDHfWsnBt7i0fFiOO7sP+&#10;kTnbz3fAtbiBYXXZ4tWYZ9vYDwOrbQCp0g481bWvN+57GuL+NsWD8pxPVk8XdPkbAAD//wMAUEsD&#10;BBQABgAIAAAAIQBmDRU53wAAAAgBAAAPAAAAZHJzL2Rvd25yZXYueG1sTI/daoNAEEbvC32HZQq9&#10;a1ZtELGuIf0JFNKLxPYBNu5EJe6suGti+/SdXqVXw/AdvjlTrGbbizOOvnOkIF5EIJBqZzpqFHx9&#10;bh4yED5oMrp3hAq+0cOqvL0pdG7chfZ4rkIjuIR8rhW0IQy5lL5u0Wq/cAMSZ0c3Wh14HRtpRn3h&#10;ctvLJIpSaXVHfKHVA760WJ+qySr4mN76rfnZbHc7W+H++Lx81K/vSt3fzesnEAHncIXhT5/VoWSn&#10;g5vIeNErSONoyaiCjAfnaZLEIA4MZhnIspD/Hyh/AQAA//8DAFBLAQItABQABgAIAAAAIQC2gziS&#10;/gAAAOEBAAATAAAAAAAAAAAAAAAAAAAAAABbQ29udGVudF9UeXBlc10ueG1sUEsBAi0AFAAGAAgA&#10;AAAhADj9If/WAAAAlAEAAAsAAAAAAAAAAAAAAAAALwEAAF9yZWxzLy5yZWxzUEsBAi0AFAAGAAgA&#10;AAAhABFxFMuJAgAAiQUAAA4AAAAAAAAAAAAAAAAALgIAAGRycy9lMm9Eb2MueG1sUEsBAi0AFAAG&#10;AAgAAAAhAGYNFTnfAAAACAEAAA8AAAAAAAAAAAAAAAAA4wQAAGRycy9kb3ducmV2LnhtbFBLBQYA&#10;AAAABAAEAPMAAADvBQAAAAA=&#10;" fillcolor="#a5a5a5 [2092]" stroked="f" strokeweight="2pt"/>
          </w:pict>
        </mc:Fallback>
      </mc:AlternateContent>
    </w:r>
    <w:sdt>
      <w:sdtPr>
        <w:rPr>
          <w:rFonts w:ascii="Gadugi" w:hAnsi="Gadugi"/>
          <w:sz w:val="18"/>
          <w:szCs w:val="18"/>
        </w:rPr>
        <w:id w:val="-1266914645"/>
        <w:docPartObj>
          <w:docPartGallery w:val="Page Numbers (Top of Page)"/>
          <w:docPartUnique/>
        </w:docPartObj>
      </w:sdtPr>
      <w:sdtEndPr>
        <w:rPr>
          <w:noProof/>
        </w:rPr>
      </w:sdtEndPr>
      <w:sdtContent>
        <w:r w:rsidR="00424102">
          <w:rPr>
            <w:rFonts w:ascii="Gadugi" w:hAnsi="Gadugi"/>
            <w:b/>
            <w:bCs/>
            <w:noProof/>
            <w:sz w:val="18"/>
            <w:szCs w:val="18"/>
          </w:rPr>
          <w:t>Wardan</w:t>
        </w:r>
        <w:r w:rsidR="001F5367">
          <w:rPr>
            <w:rFonts w:ascii="Gadugi" w:hAnsi="Gadugi"/>
            <w:b/>
            <w:bCs/>
            <w:noProof/>
            <w:sz w:val="18"/>
            <w:szCs w:val="18"/>
          </w:rPr>
          <w:t>i, et.al.</w:t>
        </w:r>
        <w:r w:rsidR="00934175" w:rsidRPr="0057677B">
          <w:rPr>
            <w:rFonts w:ascii="Gadugi" w:hAnsi="Gadugi"/>
            <w:sz w:val="18"/>
            <w:szCs w:val="18"/>
          </w:rPr>
          <w:t xml:space="preserve">          </w:t>
        </w:r>
        <w:r w:rsidR="00934175" w:rsidRPr="0057677B">
          <w:rPr>
            <w:rFonts w:ascii="Gadugi" w:hAnsi="Gadugi"/>
            <w:b/>
            <w:sz w:val="18"/>
            <w:szCs w:val="18"/>
          </w:rPr>
          <w:fldChar w:fldCharType="begin"/>
        </w:r>
        <w:r w:rsidR="00934175" w:rsidRPr="0057677B">
          <w:rPr>
            <w:rFonts w:ascii="Gadugi" w:hAnsi="Gadugi"/>
            <w:b/>
            <w:sz w:val="18"/>
            <w:szCs w:val="18"/>
          </w:rPr>
          <w:instrText xml:space="preserve"> PAGE   \* MERGEFORMAT </w:instrText>
        </w:r>
        <w:r w:rsidR="00934175" w:rsidRPr="0057677B">
          <w:rPr>
            <w:rFonts w:ascii="Gadugi" w:hAnsi="Gadugi"/>
            <w:b/>
            <w:sz w:val="18"/>
            <w:szCs w:val="18"/>
          </w:rPr>
          <w:fldChar w:fldCharType="separate"/>
        </w:r>
        <w:r w:rsidR="00DC371C" w:rsidRPr="0057677B">
          <w:rPr>
            <w:rFonts w:ascii="Gadugi" w:hAnsi="Gadugi"/>
            <w:b/>
            <w:noProof/>
            <w:sz w:val="18"/>
            <w:szCs w:val="18"/>
          </w:rPr>
          <w:t>1</w:t>
        </w:r>
        <w:r w:rsidR="00934175" w:rsidRPr="0057677B">
          <w:rPr>
            <w:rFonts w:ascii="Gadugi" w:hAnsi="Gadugi"/>
            <w:b/>
            <w:noProof/>
            <w:sz w:val="18"/>
            <w:szCs w:val="18"/>
          </w:rPr>
          <w:fldChar w:fldCharType="end"/>
        </w:r>
      </w:sdtContent>
    </w:sdt>
  </w:p>
  <w:p w14:paraId="25EC39A6" w14:textId="4A62D56F" w:rsidR="00934175" w:rsidRPr="0057677B" w:rsidRDefault="00934175" w:rsidP="00474FB7">
    <w:pPr>
      <w:pStyle w:val="Header"/>
      <w:rPr>
        <w:rFonts w:ascii="Gadugi" w:hAnsi="Gadug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A7C"/>
    <w:multiLevelType w:val="hybridMultilevel"/>
    <w:tmpl w:val="C3BA4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D0EAE"/>
    <w:multiLevelType w:val="hybridMultilevel"/>
    <w:tmpl w:val="9EEE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951FA"/>
    <w:multiLevelType w:val="multilevel"/>
    <w:tmpl w:val="01C2B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BD2A1E"/>
    <w:multiLevelType w:val="hybridMultilevel"/>
    <w:tmpl w:val="1338A5EA"/>
    <w:lvl w:ilvl="0" w:tplc="778E245E">
      <w:start w:val="1"/>
      <w:numFmt w:val="bullet"/>
      <w:lvlText w:val="-"/>
      <w:lvlJc w:val="left"/>
      <w:pPr>
        <w:ind w:left="720" w:hanging="360"/>
      </w:pPr>
      <w:rPr>
        <w:rFonts w:ascii="Adobe Garamond Pro" w:eastAsiaTheme="minorHAnsi" w:hAnsi="Adobe Garamond Pro" w:cstheme="maj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91448C7"/>
    <w:multiLevelType w:val="hybridMultilevel"/>
    <w:tmpl w:val="892CC8C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266A6D60"/>
    <w:multiLevelType w:val="hybridMultilevel"/>
    <w:tmpl w:val="D5F47E54"/>
    <w:lvl w:ilvl="0" w:tplc="0FC412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6EC59A8"/>
    <w:multiLevelType w:val="hybridMultilevel"/>
    <w:tmpl w:val="B3069ED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B1484"/>
    <w:multiLevelType w:val="hybridMultilevel"/>
    <w:tmpl w:val="C3BA4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23EBB"/>
    <w:multiLevelType w:val="multilevel"/>
    <w:tmpl w:val="1A1AD60A"/>
    <w:lvl w:ilvl="0">
      <w:start w:val="1"/>
      <w:numFmt w:val="upperRoman"/>
      <w:pStyle w:val="Heading1"/>
      <w:lvlText w:val="%1."/>
      <w:lvlJc w:val="left"/>
      <w:pPr>
        <w:ind w:left="0" w:firstLine="0"/>
      </w:pPr>
      <w:rPr>
        <w:sz w:val="32"/>
        <w:szCs w:val="32"/>
      </w:rPr>
    </w:lvl>
    <w:lvl w:ilvl="1">
      <w:start w:val="1"/>
      <w:numFmt w:val="upperLetter"/>
      <w:pStyle w:val="Heading2"/>
      <w:lvlText w:val="%2."/>
      <w:lvlJc w:val="left"/>
      <w:pPr>
        <w:ind w:left="720" w:firstLine="0"/>
      </w:pPr>
      <w:rPr>
        <w:rFonts w:ascii="Calibri Light" w:hAnsi="Calibri Light" w:hint="default"/>
        <w:color w:val="auto"/>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2ABF209F"/>
    <w:multiLevelType w:val="hybridMultilevel"/>
    <w:tmpl w:val="6ADC0E7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B9232AD"/>
    <w:multiLevelType w:val="hybridMultilevel"/>
    <w:tmpl w:val="74E01668"/>
    <w:lvl w:ilvl="0" w:tplc="FBA2042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0143946"/>
    <w:multiLevelType w:val="multilevel"/>
    <w:tmpl w:val="874E2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44650A"/>
    <w:multiLevelType w:val="multilevel"/>
    <w:tmpl w:val="01C2B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290784C"/>
    <w:multiLevelType w:val="hybridMultilevel"/>
    <w:tmpl w:val="61009C10"/>
    <w:lvl w:ilvl="0" w:tplc="778E245E">
      <w:start w:val="1"/>
      <w:numFmt w:val="bullet"/>
      <w:lvlText w:val="-"/>
      <w:lvlJc w:val="left"/>
      <w:pPr>
        <w:ind w:left="720" w:hanging="360"/>
      </w:pPr>
      <w:rPr>
        <w:rFonts w:ascii="Adobe Garamond Pro" w:eastAsiaTheme="minorHAnsi" w:hAnsi="Adobe Garamond Pro" w:cstheme="maj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2DE3C75"/>
    <w:multiLevelType w:val="hybridMultilevel"/>
    <w:tmpl w:val="16C00F2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67C6294"/>
    <w:multiLevelType w:val="multilevel"/>
    <w:tmpl w:val="B9E41158"/>
    <w:lvl w:ilvl="0">
      <w:start w:val="1"/>
      <w:numFmt w:val="decimal"/>
      <w:lvlText w:val="%1."/>
      <w:lvlJc w:val="left"/>
      <w:pPr>
        <w:ind w:left="720" w:hanging="360"/>
      </w:pPr>
      <w:rPr>
        <w:rFonts w:ascii="Adobe Garamond Pro" w:eastAsia="EB Garamond" w:hAnsi="Adobe Garamond Pro" w:cs="EB Garamond"/>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7EA49EF"/>
    <w:multiLevelType w:val="hybridMultilevel"/>
    <w:tmpl w:val="2DCA15DC"/>
    <w:lvl w:ilvl="0" w:tplc="DFF2DB3E">
      <w:start w:val="1"/>
      <w:numFmt w:val="upperLetter"/>
      <w:lvlText w:val="%1."/>
      <w:lvlJc w:val="left"/>
      <w:pPr>
        <w:ind w:left="360" w:hanging="360"/>
      </w:pPr>
      <w:rPr>
        <w:rFonts w:eastAsiaTheme="majorEastAsia"/>
        <w:b/>
        <w:bCs/>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3A546386"/>
    <w:multiLevelType w:val="multilevel"/>
    <w:tmpl w:val="C686872A"/>
    <w:lvl w:ilvl="0">
      <w:start w:val="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111692"/>
    <w:multiLevelType w:val="hybridMultilevel"/>
    <w:tmpl w:val="515A75AC"/>
    <w:lvl w:ilvl="0" w:tplc="FFFFFFFF">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C4DE215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D86AEE"/>
    <w:multiLevelType w:val="hybridMultilevel"/>
    <w:tmpl w:val="C8F4E3CE"/>
    <w:lvl w:ilvl="0" w:tplc="38090011">
      <w:start w:val="1"/>
      <w:numFmt w:val="decimal"/>
      <w:lvlText w:val="%1)"/>
      <w:lvlJc w:val="left"/>
      <w:pPr>
        <w:ind w:left="720" w:hanging="360"/>
      </w:pPr>
    </w:lvl>
    <w:lvl w:ilvl="1" w:tplc="FCC6E1EA">
      <w:start w:val="1"/>
      <w:numFmt w:val="lowerLetter"/>
      <w:lvlText w:val="%2."/>
      <w:lvlJc w:val="left"/>
      <w:pPr>
        <w:ind w:left="1440" w:hanging="360"/>
      </w:pPr>
      <w:rPr>
        <w:rFonts w:hint="default"/>
        <w:b/>
        <w:bCs/>
        <w:color w:val="0070C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E8B25D6"/>
    <w:multiLevelType w:val="hybridMultilevel"/>
    <w:tmpl w:val="66C4FA8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ECF4EAE"/>
    <w:multiLevelType w:val="hybridMultilevel"/>
    <w:tmpl w:val="66263B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1692115"/>
    <w:multiLevelType w:val="multilevel"/>
    <w:tmpl w:val="1334136E"/>
    <w:lvl w:ilvl="0">
      <w:start w:val="1"/>
      <w:numFmt w:val="lowerLetter"/>
      <w:lvlText w:val="%1."/>
      <w:lvlJc w:val="left"/>
      <w:pPr>
        <w:ind w:left="720" w:hanging="360"/>
      </w:pPr>
      <w:rPr>
        <w:spacing w:val="-1"/>
        <w:w w:val="112"/>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211217"/>
    <w:multiLevelType w:val="multilevel"/>
    <w:tmpl w:val="28F0D57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964236"/>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DA73B7D"/>
    <w:multiLevelType w:val="hybridMultilevel"/>
    <w:tmpl w:val="E884D67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E782196"/>
    <w:multiLevelType w:val="hybridMultilevel"/>
    <w:tmpl w:val="2E1C327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7A06A67C">
      <w:start w:val="1"/>
      <w:numFmt w:val="decimal"/>
      <w:lvlText w:val="%3)"/>
      <w:lvlJc w:val="right"/>
      <w:pPr>
        <w:ind w:left="2160" w:hanging="180"/>
      </w:pPr>
      <w:rPr>
        <w:rFonts w:ascii="Adobe Garamond Pro" w:eastAsiaTheme="minorHAnsi" w:hAnsi="Adobe Garamond Pro" w:cstheme="majorBidi"/>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E891946"/>
    <w:multiLevelType w:val="hybridMultilevel"/>
    <w:tmpl w:val="935234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ED20E51"/>
    <w:multiLevelType w:val="hybridMultilevel"/>
    <w:tmpl w:val="D402034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3A51EC7"/>
    <w:multiLevelType w:val="hybridMultilevel"/>
    <w:tmpl w:val="8A986688"/>
    <w:lvl w:ilvl="0" w:tplc="DDF0E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456DC"/>
    <w:multiLevelType w:val="hybridMultilevel"/>
    <w:tmpl w:val="86ECA2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809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954E36"/>
    <w:multiLevelType w:val="multilevel"/>
    <w:tmpl w:val="6CDA7EEA"/>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C6188D"/>
    <w:multiLevelType w:val="hybridMultilevel"/>
    <w:tmpl w:val="41A83F9C"/>
    <w:lvl w:ilvl="0" w:tplc="04210017">
      <w:start w:val="1"/>
      <w:numFmt w:val="lowerLetter"/>
      <w:lvlText w:val="%1)"/>
      <w:lvlJc w:val="left"/>
      <w:pPr>
        <w:ind w:left="1637"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3" w15:restartNumberingAfterBreak="0">
    <w:nsid w:val="655C3520"/>
    <w:multiLevelType w:val="multilevel"/>
    <w:tmpl w:val="874E2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8A6323"/>
    <w:multiLevelType w:val="hybridMultilevel"/>
    <w:tmpl w:val="3C584CEC"/>
    <w:lvl w:ilvl="0" w:tplc="8F9CF9F6">
      <w:start w:val="1"/>
      <w:numFmt w:val="upperLetter"/>
      <w:lvlText w:val="%1."/>
      <w:lvlJc w:val="left"/>
      <w:pPr>
        <w:ind w:left="1210" w:hanging="360"/>
      </w:pPr>
      <w:rPr>
        <w:rFonts w:cs="Arial" w:hint="default"/>
        <w:b/>
        <w:bCs/>
        <w:color w:val="C00000"/>
        <w:sz w:val="28"/>
        <w:szCs w:val="28"/>
      </w:rPr>
    </w:lvl>
    <w:lvl w:ilvl="1" w:tplc="7856F24A">
      <w:start w:val="1"/>
      <w:numFmt w:val="lowerLetter"/>
      <w:lvlText w:val="%2."/>
      <w:lvlJc w:val="left"/>
      <w:pPr>
        <w:ind w:left="1440" w:hanging="360"/>
      </w:pPr>
      <w:rPr>
        <w:rFonts w:hint="default"/>
        <w:color w:val="0070C0"/>
      </w:rPr>
    </w:lvl>
    <w:lvl w:ilvl="2" w:tplc="28128D50">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9181074"/>
    <w:multiLevelType w:val="hybridMultilevel"/>
    <w:tmpl w:val="728A9D60"/>
    <w:lvl w:ilvl="0" w:tplc="FADA3ADC">
      <w:start w:val="1"/>
      <w:numFmt w:val="upperRoman"/>
      <w:lvlText w:val="%1."/>
      <w:lvlJc w:val="left"/>
      <w:pPr>
        <w:ind w:left="1080" w:hanging="720"/>
      </w:pPr>
      <w:rPr>
        <w:rFonts w:ascii="Calisto MT" w:hAnsi="Calisto MT" w:hint="default"/>
        <w:b w:val="0"/>
        <w:sz w:val="24"/>
        <w:szCs w:val="24"/>
      </w:rPr>
    </w:lvl>
    <w:lvl w:ilvl="1" w:tplc="DE503326">
      <w:start w:val="1"/>
      <w:numFmt w:val="decimal"/>
      <w:lvlText w:val="%2)"/>
      <w:lvlJc w:val="left"/>
      <w:pPr>
        <w:ind w:left="1440" w:hanging="360"/>
      </w:pPr>
      <w:rPr>
        <w:rFonts w:ascii="Californian FB" w:hAnsi="Californian FB"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B4CD1"/>
    <w:multiLevelType w:val="hybridMultilevel"/>
    <w:tmpl w:val="85D8278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D732200"/>
    <w:multiLevelType w:val="multilevel"/>
    <w:tmpl w:val="009254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09F4D97"/>
    <w:multiLevelType w:val="multilevel"/>
    <w:tmpl w:val="009254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25909EB"/>
    <w:multiLevelType w:val="multilevel"/>
    <w:tmpl w:val="E9DA10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2D7042A"/>
    <w:multiLevelType w:val="hybridMultilevel"/>
    <w:tmpl w:val="BB16E3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3D50034"/>
    <w:multiLevelType w:val="hybridMultilevel"/>
    <w:tmpl w:val="13DC4F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4702B95"/>
    <w:multiLevelType w:val="hybridMultilevel"/>
    <w:tmpl w:val="651C657E"/>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47D42B1"/>
    <w:multiLevelType w:val="multilevel"/>
    <w:tmpl w:val="6AFEFCB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751571E6"/>
    <w:multiLevelType w:val="hybridMultilevel"/>
    <w:tmpl w:val="7DF8F142"/>
    <w:lvl w:ilvl="0" w:tplc="04210017">
      <w:start w:val="1"/>
      <w:numFmt w:val="lowerLetter"/>
      <w:lvlText w:val="%1)"/>
      <w:lvlJc w:val="left"/>
      <w:pPr>
        <w:ind w:left="1637"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5" w15:restartNumberingAfterBreak="0">
    <w:nsid w:val="759F33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5E0D04"/>
    <w:multiLevelType w:val="hybridMultilevel"/>
    <w:tmpl w:val="AA202808"/>
    <w:lvl w:ilvl="0" w:tplc="778E245E">
      <w:start w:val="1"/>
      <w:numFmt w:val="bullet"/>
      <w:lvlText w:val="-"/>
      <w:lvlJc w:val="left"/>
      <w:pPr>
        <w:ind w:left="720" w:hanging="360"/>
      </w:pPr>
      <w:rPr>
        <w:rFonts w:ascii="Adobe Garamond Pro" w:eastAsiaTheme="minorHAnsi" w:hAnsi="Adobe Garamond Pro" w:cstheme="maj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15:restartNumberingAfterBreak="0">
    <w:nsid w:val="7A0D1C80"/>
    <w:multiLevelType w:val="hybridMultilevel"/>
    <w:tmpl w:val="26EA4A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 w15:restartNumberingAfterBreak="0">
    <w:nsid w:val="7B24546A"/>
    <w:multiLevelType w:val="hybridMultilevel"/>
    <w:tmpl w:val="87622BAC"/>
    <w:lvl w:ilvl="0" w:tplc="38090019">
      <w:start w:val="1"/>
      <w:numFmt w:val="lowerLetter"/>
      <w:lvlText w:val="%1."/>
      <w:lvlJc w:val="left"/>
      <w:pPr>
        <w:ind w:left="720" w:hanging="360"/>
      </w:pPr>
      <w:rPr>
        <w:rFonts w:hint="default"/>
      </w:rPr>
    </w:lvl>
    <w:lvl w:ilvl="1" w:tplc="B9348CF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C0D6024"/>
    <w:multiLevelType w:val="hybridMultilevel"/>
    <w:tmpl w:val="DE70FFCE"/>
    <w:lvl w:ilvl="0" w:tplc="35901DC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C577BB2"/>
    <w:multiLevelType w:val="hybridMultilevel"/>
    <w:tmpl w:val="530076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97403215">
    <w:abstractNumId w:val="35"/>
  </w:num>
  <w:num w:numId="2" w16cid:durableId="664014378">
    <w:abstractNumId w:val="0"/>
  </w:num>
  <w:num w:numId="3" w16cid:durableId="1874997826">
    <w:abstractNumId w:val="7"/>
  </w:num>
  <w:num w:numId="4" w16cid:durableId="763963871">
    <w:abstractNumId w:val="8"/>
  </w:num>
  <w:num w:numId="5" w16cid:durableId="1733387043">
    <w:abstractNumId w:val="11"/>
  </w:num>
  <w:num w:numId="6" w16cid:durableId="665666334">
    <w:abstractNumId w:val="33"/>
  </w:num>
  <w:num w:numId="7" w16cid:durableId="1036005221">
    <w:abstractNumId w:val="10"/>
  </w:num>
  <w:num w:numId="8" w16cid:durableId="1038747265">
    <w:abstractNumId w:val="45"/>
  </w:num>
  <w:num w:numId="9" w16cid:durableId="1695183712">
    <w:abstractNumId w:val="23"/>
  </w:num>
  <w:num w:numId="10" w16cid:durableId="264465234">
    <w:abstractNumId w:val="41"/>
  </w:num>
  <w:num w:numId="11" w16cid:durableId="73473814">
    <w:abstractNumId w:val="32"/>
  </w:num>
  <w:num w:numId="12" w16cid:durableId="676349353">
    <w:abstractNumId w:val="28"/>
  </w:num>
  <w:num w:numId="13" w16cid:durableId="658727507">
    <w:abstractNumId w:val="4"/>
  </w:num>
  <w:num w:numId="14" w16cid:durableId="618797885">
    <w:abstractNumId w:val="29"/>
  </w:num>
  <w:num w:numId="15" w16cid:durableId="1183470309">
    <w:abstractNumId w:val="6"/>
  </w:num>
  <w:num w:numId="16" w16cid:durableId="252322013">
    <w:abstractNumId w:val="44"/>
  </w:num>
  <w:num w:numId="17" w16cid:durableId="1298147689">
    <w:abstractNumId w:val="1"/>
  </w:num>
  <w:num w:numId="18" w16cid:durableId="1198591333">
    <w:abstractNumId w:val="34"/>
  </w:num>
  <w:num w:numId="19" w16cid:durableId="1700815819">
    <w:abstractNumId w:val="21"/>
  </w:num>
  <w:num w:numId="20" w16cid:durableId="372777055">
    <w:abstractNumId w:val="42"/>
  </w:num>
  <w:num w:numId="21" w16cid:durableId="839009238">
    <w:abstractNumId w:val="36"/>
  </w:num>
  <w:num w:numId="22" w16cid:durableId="1287662670">
    <w:abstractNumId w:val="49"/>
  </w:num>
  <w:num w:numId="23" w16cid:durableId="442306878">
    <w:abstractNumId w:val="39"/>
  </w:num>
  <w:num w:numId="24" w16cid:durableId="1430159045">
    <w:abstractNumId w:val="47"/>
  </w:num>
  <w:num w:numId="25" w16cid:durableId="559637811">
    <w:abstractNumId w:val="46"/>
  </w:num>
  <w:num w:numId="26" w16cid:durableId="188689141">
    <w:abstractNumId w:val="13"/>
  </w:num>
  <w:num w:numId="27" w16cid:durableId="1267688602">
    <w:abstractNumId w:val="3"/>
  </w:num>
  <w:num w:numId="28" w16cid:durableId="1686665029">
    <w:abstractNumId w:val="19"/>
  </w:num>
  <w:num w:numId="29" w16cid:durableId="72242511">
    <w:abstractNumId w:val="5"/>
  </w:num>
  <w:num w:numId="30" w16cid:durableId="1872648194">
    <w:abstractNumId w:val="50"/>
  </w:num>
  <w:num w:numId="31" w16cid:durableId="1122458373">
    <w:abstractNumId w:val="48"/>
  </w:num>
  <w:num w:numId="32" w16cid:durableId="754975651">
    <w:abstractNumId w:val="18"/>
  </w:num>
  <w:num w:numId="33" w16cid:durableId="2141147947">
    <w:abstractNumId w:val="31"/>
  </w:num>
  <w:num w:numId="34" w16cid:durableId="1821966449">
    <w:abstractNumId w:val="17"/>
  </w:num>
  <w:num w:numId="35" w16cid:durableId="1516263801">
    <w:abstractNumId w:val="9"/>
  </w:num>
  <w:num w:numId="36" w16cid:durableId="1375688583">
    <w:abstractNumId w:val="20"/>
  </w:num>
  <w:num w:numId="37" w16cid:durableId="1659384833">
    <w:abstractNumId w:val="26"/>
  </w:num>
  <w:num w:numId="38" w16cid:durableId="1548684599">
    <w:abstractNumId w:val="14"/>
  </w:num>
  <w:num w:numId="39" w16cid:durableId="1892956434">
    <w:abstractNumId w:val="30"/>
  </w:num>
  <w:num w:numId="40" w16cid:durableId="593175823">
    <w:abstractNumId w:val="12"/>
  </w:num>
  <w:num w:numId="41" w16cid:durableId="350304953">
    <w:abstractNumId w:val="15"/>
  </w:num>
  <w:num w:numId="42" w16cid:durableId="140930644">
    <w:abstractNumId w:val="37"/>
  </w:num>
  <w:num w:numId="43" w16cid:durableId="1563908252">
    <w:abstractNumId w:val="43"/>
  </w:num>
  <w:num w:numId="44" w16cid:durableId="540096178">
    <w:abstractNumId w:val="38"/>
  </w:num>
  <w:num w:numId="45" w16cid:durableId="2064786375">
    <w:abstractNumId w:val="27"/>
  </w:num>
  <w:num w:numId="46" w16cid:durableId="1876116532">
    <w:abstractNumId w:val="2"/>
  </w:num>
  <w:num w:numId="47" w16cid:durableId="142743189">
    <w:abstractNumId w:val="40"/>
  </w:num>
  <w:num w:numId="48" w16cid:durableId="535771553">
    <w:abstractNumId w:val="25"/>
  </w:num>
  <w:num w:numId="49" w16cid:durableId="841967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558039">
    <w:abstractNumId w:val="22"/>
    <w:lvlOverride w:ilvl="0">
      <w:startOverride w:val="1"/>
    </w:lvlOverride>
    <w:lvlOverride w:ilvl="1"/>
    <w:lvlOverride w:ilvl="2"/>
    <w:lvlOverride w:ilvl="3"/>
    <w:lvlOverride w:ilvl="4"/>
    <w:lvlOverride w:ilvl="5"/>
    <w:lvlOverride w:ilvl="6"/>
    <w:lvlOverride w:ilvl="7"/>
    <w:lvlOverride w:ilvl="8"/>
  </w:num>
  <w:num w:numId="51" w16cid:durableId="5389742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wMzM3NDK3MLEwNjJR0lEKTi0uzszPAykwMqgFAAKZfkQtAAAA"/>
  </w:docVars>
  <w:rsids>
    <w:rsidRoot w:val="00474FB7"/>
    <w:rsid w:val="00001DE7"/>
    <w:rsid w:val="0000731E"/>
    <w:rsid w:val="00014495"/>
    <w:rsid w:val="000236D6"/>
    <w:rsid w:val="00024E6C"/>
    <w:rsid w:val="0003600F"/>
    <w:rsid w:val="000419AA"/>
    <w:rsid w:val="000720B1"/>
    <w:rsid w:val="00087D9B"/>
    <w:rsid w:val="0009102F"/>
    <w:rsid w:val="0009204B"/>
    <w:rsid w:val="00097DA5"/>
    <w:rsid w:val="000A10C3"/>
    <w:rsid w:val="000C4744"/>
    <w:rsid w:val="00102A09"/>
    <w:rsid w:val="001036D9"/>
    <w:rsid w:val="001104F4"/>
    <w:rsid w:val="00145C9C"/>
    <w:rsid w:val="001506A3"/>
    <w:rsid w:val="00152E07"/>
    <w:rsid w:val="00154821"/>
    <w:rsid w:val="00155698"/>
    <w:rsid w:val="001620AB"/>
    <w:rsid w:val="0016722A"/>
    <w:rsid w:val="001910FB"/>
    <w:rsid w:val="001913A0"/>
    <w:rsid w:val="001A2F01"/>
    <w:rsid w:val="001A6DE2"/>
    <w:rsid w:val="001C3895"/>
    <w:rsid w:val="001C4733"/>
    <w:rsid w:val="001F1214"/>
    <w:rsid w:val="001F5367"/>
    <w:rsid w:val="002124BA"/>
    <w:rsid w:val="00220D6D"/>
    <w:rsid w:val="00245CFF"/>
    <w:rsid w:val="002479C1"/>
    <w:rsid w:val="00254AA7"/>
    <w:rsid w:val="00262C3E"/>
    <w:rsid w:val="00264F2E"/>
    <w:rsid w:val="00271AE6"/>
    <w:rsid w:val="0027229F"/>
    <w:rsid w:val="00294F10"/>
    <w:rsid w:val="002B38A5"/>
    <w:rsid w:val="002C1BE9"/>
    <w:rsid w:val="002C31A9"/>
    <w:rsid w:val="002D71C0"/>
    <w:rsid w:val="002E735B"/>
    <w:rsid w:val="0030089C"/>
    <w:rsid w:val="00311A5C"/>
    <w:rsid w:val="00315A13"/>
    <w:rsid w:val="00326272"/>
    <w:rsid w:val="003266D2"/>
    <w:rsid w:val="00326A0E"/>
    <w:rsid w:val="00340935"/>
    <w:rsid w:val="003435FC"/>
    <w:rsid w:val="00353BC0"/>
    <w:rsid w:val="0036533D"/>
    <w:rsid w:val="0038605C"/>
    <w:rsid w:val="003C1202"/>
    <w:rsid w:val="003D5A07"/>
    <w:rsid w:val="003D79BE"/>
    <w:rsid w:val="003F1FB9"/>
    <w:rsid w:val="003F3151"/>
    <w:rsid w:val="003F4643"/>
    <w:rsid w:val="0040057E"/>
    <w:rsid w:val="004054E2"/>
    <w:rsid w:val="004065C2"/>
    <w:rsid w:val="0041451E"/>
    <w:rsid w:val="00421A3B"/>
    <w:rsid w:val="004238B0"/>
    <w:rsid w:val="00424102"/>
    <w:rsid w:val="0042464C"/>
    <w:rsid w:val="00425E09"/>
    <w:rsid w:val="00435AEE"/>
    <w:rsid w:val="00447722"/>
    <w:rsid w:val="0045164B"/>
    <w:rsid w:val="00474FB7"/>
    <w:rsid w:val="004B30DE"/>
    <w:rsid w:val="004B4A62"/>
    <w:rsid w:val="004B71D9"/>
    <w:rsid w:val="004C12B2"/>
    <w:rsid w:val="004C4644"/>
    <w:rsid w:val="004E32F6"/>
    <w:rsid w:val="00524144"/>
    <w:rsid w:val="00535243"/>
    <w:rsid w:val="00537743"/>
    <w:rsid w:val="00542FBB"/>
    <w:rsid w:val="00545ECF"/>
    <w:rsid w:val="00552229"/>
    <w:rsid w:val="005538BF"/>
    <w:rsid w:val="00553A37"/>
    <w:rsid w:val="0055755C"/>
    <w:rsid w:val="005602B0"/>
    <w:rsid w:val="005623DC"/>
    <w:rsid w:val="00574509"/>
    <w:rsid w:val="0057677B"/>
    <w:rsid w:val="00576F41"/>
    <w:rsid w:val="00577DA5"/>
    <w:rsid w:val="0058567D"/>
    <w:rsid w:val="00595F87"/>
    <w:rsid w:val="00596B91"/>
    <w:rsid w:val="005A33BE"/>
    <w:rsid w:val="005A7B56"/>
    <w:rsid w:val="005C0CDC"/>
    <w:rsid w:val="005C0E8A"/>
    <w:rsid w:val="005C1974"/>
    <w:rsid w:val="005E48C6"/>
    <w:rsid w:val="005F3649"/>
    <w:rsid w:val="005F4536"/>
    <w:rsid w:val="00600C4C"/>
    <w:rsid w:val="0062220A"/>
    <w:rsid w:val="00625E3A"/>
    <w:rsid w:val="006308F5"/>
    <w:rsid w:val="00631450"/>
    <w:rsid w:val="00660E00"/>
    <w:rsid w:val="00665318"/>
    <w:rsid w:val="00673E58"/>
    <w:rsid w:val="006871BC"/>
    <w:rsid w:val="00695ECB"/>
    <w:rsid w:val="006A3169"/>
    <w:rsid w:val="006B5CE5"/>
    <w:rsid w:val="006D1558"/>
    <w:rsid w:val="006D4930"/>
    <w:rsid w:val="006E30C6"/>
    <w:rsid w:val="006E4FF1"/>
    <w:rsid w:val="007008C1"/>
    <w:rsid w:val="00703E7A"/>
    <w:rsid w:val="007067C2"/>
    <w:rsid w:val="00706ADD"/>
    <w:rsid w:val="00723F67"/>
    <w:rsid w:val="00725AF6"/>
    <w:rsid w:val="007313CF"/>
    <w:rsid w:val="00736FE3"/>
    <w:rsid w:val="007419CE"/>
    <w:rsid w:val="00751A95"/>
    <w:rsid w:val="00764C55"/>
    <w:rsid w:val="00774965"/>
    <w:rsid w:val="00777CBD"/>
    <w:rsid w:val="00777E69"/>
    <w:rsid w:val="00793495"/>
    <w:rsid w:val="00797F8D"/>
    <w:rsid w:val="007B13DC"/>
    <w:rsid w:val="007B3A26"/>
    <w:rsid w:val="007B69D5"/>
    <w:rsid w:val="007D299A"/>
    <w:rsid w:val="007D5F43"/>
    <w:rsid w:val="007E4B62"/>
    <w:rsid w:val="007F10E9"/>
    <w:rsid w:val="007F1C5B"/>
    <w:rsid w:val="008039A3"/>
    <w:rsid w:val="00813628"/>
    <w:rsid w:val="0082327A"/>
    <w:rsid w:val="008500C2"/>
    <w:rsid w:val="00874CEE"/>
    <w:rsid w:val="008873F5"/>
    <w:rsid w:val="00887573"/>
    <w:rsid w:val="008919C8"/>
    <w:rsid w:val="008A6709"/>
    <w:rsid w:val="008B5114"/>
    <w:rsid w:val="008C4760"/>
    <w:rsid w:val="008D7308"/>
    <w:rsid w:val="008E1BF2"/>
    <w:rsid w:val="008F0A57"/>
    <w:rsid w:val="008F2864"/>
    <w:rsid w:val="008F6A31"/>
    <w:rsid w:val="009059F3"/>
    <w:rsid w:val="009062CB"/>
    <w:rsid w:val="00906D15"/>
    <w:rsid w:val="00926739"/>
    <w:rsid w:val="009330DC"/>
    <w:rsid w:val="00934175"/>
    <w:rsid w:val="009728CC"/>
    <w:rsid w:val="0098456D"/>
    <w:rsid w:val="0099617A"/>
    <w:rsid w:val="00996875"/>
    <w:rsid w:val="009B649C"/>
    <w:rsid w:val="009D37B4"/>
    <w:rsid w:val="009F4060"/>
    <w:rsid w:val="009F6FDE"/>
    <w:rsid w:val="00A05DBB"/>
    <w:rsid w:val="00A2360B"/>
    <w:rsid w:val="00A32CD4"/>
    <w:rsid w:val="00A352BE"/>
    <w:rsid w:val="00A4143B"/>
    <w:rsid w:val="00A51F05"/>
    <w:rsid w:val="00A56CE2"/>
    <w:rsid w:val="00A56EB8"/>
    <w:rsid w:val="00A603A8"/>
    <w:rsid w:val="00A61E00"/>
    <w:rsid w:val="00A65BFC"/>
    <w:rsid w:val="00A83B3D"/>
    <w:rsid w:val="00AA2911"/>
    <w:rsid w:val="00AC36FC"/>
    <w:rsid w:val="00AC53E8"/>
    <w:rsid w:val="00AC79E5"/>
    <w:rsid w:val="00AD0CB5"/>
    <w:rsid w:val="00AD6413"/>
    <w:rsid w:val="00AE2BAD"/>
    <w:rsid w:val="00AF7836"/>
    <w:rsid w:val="00B43399"/>
    <w:rsid w:val="00B46E37"/>
    <w:rsid w:val="00B47F87"/>
    <w:rsid w:val="00B547A7"/>
    <w:rsid w:val="00B63FE3"/>
    <w:rsid w:val="00B64CAE"/>
    <w:rsid w:val="00B66A6F"/>
    <w:rsid w:val="00B801D9"/>
    <w:rsid w:val="00B820EC"/>
    <w:rsid w:val="00B82836"/>
    <w:rsid w:val="00B8735B"/>
    <w:rsid w:val="00BA76B9"/>
    <w:rsid w:val="00BB27CB"/>
    <w:rsid w:val="00BB6055"/>
    <w:rsid w:val="00BC5ABB"/>
    <w:rsid w:val="00C1612E"/>
    <w:rsid w:val="00C17146"/>
    <w:rsid w:val="00C324D9"/>
    <w:rsid w:val="00C462EF"/>
    <w:rsid w:val="00C57E69"/>
    <w:rsid w:val="00C60747"/>
    <w:rsid w:val="00C65943"/>
    <w:rsid w:val="00C67E28"/>
    <w:rsid w:val="00C725FF"/>
    <w:rsid w:val="00C75902"/>
    <w:rsid w:val="00C844FF"/>
    <w:rsid w:val="00CB0931"/>
    <w:rsid w:val="00CC6160"/>
    <w:rsid w:val="00CE0CEC"/>
    <w:rsid w:val="00CE60FC"/>
    <w:rsid w:val="00D161F9"/>
    <w:rsid w:val="00D25C59"/>
    <w:rsid w:val="00D27A74"/>
    <w:rsid w:val="00D4233C"/>
    <w:rsid w:val="00D63424"/>
    <w:rsid w:val="00D8464A"/>
    <w:rsid w:val="00D869ED"/>
    <w:rsid w:val="00D949A3"/>
    <w:rsid w:val="00DB6AE0"/>
    <w:rsid w:val="00DC1A1E"/>
    <w:rsid w:val="00DC371C"/>
    <w:rsid w:val="00DD1F97"/>
    <w:rsid w:val="00DE2EA3"/>
    <w:rsid w:val="00DF2ED0"/>
    <w:rsid w:val="00DF3DEB"/>
    <w:rsid w:val="00DF64B6"/>
    <w:rsid w:val="00E00B05"/>
    <w:rsid w:val="00E018B8"/>
    <w:rsid w:val="00E05696"/>
    <w:rsid w:val="00E21003"/>
    <w:rsid w:val="00E2240E"/>
    <w:rsid w:val="00E255B4"/>
    <w:rsid w:val="00E408F7"/>
    <w:rsid w:val="00E4400C"/>
    <w:rsid w:val="00E44038"/>
    <w:rsid w:val="00E60FFF"/>
    <w:rsid w:val="00E63C88"/>
    <w:rsid w:val="00E70B45"/>
    <w:rsid w:val="00E70BC9"/>
    <w:rsid w:val="00E771CF"/>
    <w:rsid w:val="00E83946"/>
    <w:rsid w:val="00E875C9"/>
    <w:rsid w:val="00E96BDE"/>
    <w:rsid w:val="00EA1C75"/>
    <w:rsid w:val="00EA542A"/>
    <w:rsid w:val="00EA74A0"/>
    <w:rsid w:val="00EC2E14"/>
    <w:rsid w:val="00EC4881"/>
    <w:rsid w:val="00EC61D6"/>
    <w:rsid w:val="00EC6F03"/>
    <w:rsid w:val="00ED4C5F"/>
    <w:rsid w:val="00EE434A"/>
    <w:rsid w:val="00EE7A98"/>
    <w:rsid w:val="00EF145F"/>
    <w:rsid w:val="00F01D2F"/>
    <w:rsid w:val="00F035E4"/>
    <w:rsid w:val="00F100B8"/>
    <w:rsid w:val="00F26EE8"/>
    <w:rsid w:val="00F47BE3"/>
    <w:rsid w:val="00F50AF1"/>
    <w:rsid w:val="00F51622"/>
    <w:rsid w:val="00F56045"/>
    <w:rsid w:val="00F56A2A"/>
    <w:rsid w:val="00F60CBB"/>
    <w:rsid w:val="00F61016"/>
    <w:rsid w:val="00F656CC"/>
    <w:rsid w:val="00F67B89"/>
    <w:rsid w:val="00F979A5"/>
    <w:rsid w:val="00FA6E70"/>
    <w:rsid w:val="00FB00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A1CB"/>
  <w15:docId w15:val="{34D06DB9-EAB1-46BA-BA91-9772E291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3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02B0"/>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1A1E"/>
    <w:pPr>
      <w:numPr>
        <w:ilvl w:val="2"/>
        <w:numId w:val="4"/>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602B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602B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602B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602B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02B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02B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A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1A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602B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602B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602B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602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02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02B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74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FB7"/>
  </w:style>
  <w:style w:type="paragraph" w:styleId="Footer">
    <w:name w:val="footer"/>
    <w:basedOn w:val="Normal"/>
    <w:link w:val="FooterChar"/>
    <w:uiPriority w:val="99"/>
    <w:unhideWhenUsed/>
    <w:rsid w:val="00474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FB7"/>
  </w:style>
  <w:style w:type="character" w:styleId="Hyperlink">
    <w:name w:val="Hyperlink"/>
    <w:basedOn w:val="DefaultParagraphFont"/>
    <w:uiPriority w:val="99"/>
    <w:unhideWhenUsed/>
    <w:rsid w:val="00B63FE3"/>
    <w:rPr>
      <w:color w:val="0000FF" w:themeColor="hyperlink"/>
      <w:u w:val="single"/>
    </w:rPr>
  </w:style>
  <w:style w:type="character" w:customStyle="1" w:styleId="tlid-translation">
    <w:name w:val="tlid-translation"/>
    <w:rsid w:val="00B63FE3"/>
  </w:style>
  <w:style w:type="character" w:customStyle="1" w:styleId="st">
    <w:name w:val="st"/>
    <w:basedOn w:val="DefaultParagraphFont"/>
    <w:qFormat/>
    <w:rsid w:val="00B63FE3"/>
  </w:style>
  <w:style w:type="paragraph" w:styleId="BalloonText">
    <w:name w:val="Balloon Text"/>
    <w:basedOn w:val="Normal"/>
    <w:link w:val="BalloonTextChar"/>
    <w:uiPriority w:val="99"/>
    <w:semiHidden/>
    <w:unhideWhenUsed/>
    <w:rsid w:val="00751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A95"/>
    <w:rPr>
      <w:rFonts w:ascii="Tahoma" w:hAnsi="Tahoma" w:cs="Tahoma"/>
      <w:sz w:val="16"/>
      <w:szCs w:val="16"/>
    </w:rPr>
  </w:style>
  <w:style w:type="table" w:styleId="TableGrid">
    <w:name w:val="Table Grid"/>
    <w:basedOn w:val="TableNormal"/>
    <w:uiPriority w:val="39"/>
    <w:rsid w:val="00751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sub de titre 4,ANNEX,Colorful List - Accent 12,KhusBay,First Level Outline,List Paragraph1,tabel,Body Text Char1,Char Char2,Char Char21,List Paragraph2,Daftar Acuan"/>
    <w:basedOn w:val="Normal"/>
    <w:link w:val="ListParagraphChar"/>
    <w:uiPriority w:val="34"/>
    <w:qFormat/>
    <w:rsid w:val="002124BA"/>
    <w:pPr>
      <w:ind w:left="720"/>
      <w:contextualSpacing/>
    </w:pPr>
  </w:style>
  <w:style w:type="character" w:customStyle="1" w:styleId="ListParagraphChar">
    <w:name w:val="List Paragraph Char"/>
    <w:aliases w:val="Body of text Char,sub de titre 4 Char,ANNEX Char,Colorful List - Accent 12 Char,KhusBay Char,First Level Outline Char,List Paragraph1 Char,tabel Char,Body Text Char1 Char,Char Char2 Char,Char Char21 Char,List Paragraph2 Char"/>
    <w:link w:val="ListParagraph"/>
    <w:uiPriority w:val="34"/>
    <w:qFormat/>
    <w:locked/>
    <w:rsid w:val="002124BA"/>
  </w:style>
  <w:style w:type="paragraph" w:styleId="NormalWeb">
    <w:name w:val="Normal (Web)"/>
    <w:basedOn w:val="Normal"/>
    <w:uiPriority w:val="99"/>
    <w:unhideWhenUsed/>
    <w:qFormat/>
    <w:rsid w:val="00542F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otnoteTextChar">
    <w:name w:val="Footnote Text Char"/>
    <w:aliases w:val="Footnote Text Char Char Char Char,Char Char,Footnote Text Char1 Char Char,Footnote Text Char Char1 Char Char,Footnote Text Char1 Char Char Char Char,Footnote Text Char Char1 Char Char Char Char,Footnote Text Char Char2 Char Char"/>
    <w:basedOn w:val="DefaultParagraphFont"/>
    <w:link w:val="FootnoteText"/>
    <w:uiPriority w:val="99"/>
    <w:qFormat/>
    <w:locked/>
    <w:rsid w:val="00542FBB"/>
    <w:rPr>
      <w:rFonts w:ascii="Times New Roman" w:hAnsi="Times New Roman" w:cs="Times New Roman"/>
      <w:lang w:eastAsia="ja-JP"/>
    </w:rPr>
  </w:style>
  <w:style w:type="paragraph" w:styleId="FootnoteText">
    <w:name w:val="footnote text"/>
    <w:aliases w:val="Footnote Text Char Char Char,Char,Footnote Text Char1 Char,Footnote Text Char Char1 Char,Footnote Text Char1 Char Char Char,Footnote Text Char Char1 Char Char Char,Footnote Text Char Char2 Char,Footnote Text Char1 Char1"/>
    <w:basedOn w:val="Normal"/>
    <w:link w:val="FootnoteTextChar"/>
    <w:uiPriority w:val="99"/>
    <w:unhideWhenUsed/>
    <w:qFormat/>
    <w:rsid w:val="00542FBB"/>
    <w:pPr>
      <w:spacing w:after="0" w:line="240" w:lineRule="auto"/>
      <w:jc w:val="both"/>
    </w:pPr>
    <w:rPr>
      <w:rFonts w:ascii="Times New Roman" w:hAnsi="Times New Roman" w:cs="Times New Roman"/>
      <w:lang w:eastAsia="ja-JP"/>
    </w:rPr>
  </w:style>
  <w:style w:type="character" w:customStyle="1" w:styleId="FootnoteTextChar1">
    <w:name w:val="Footnote Text Char1"/>
    <w:basedOn w:val="DefaultParagraphFont"/>
    <w:uiPriority w:val="99"/>
    <w:semiHidden/>
    <w:rsid w:val="00542FBB"/>
    <w:rPr>
      <w:sz w:val="20"/>
      <w:szCs w:val="20"/>
    </w:rPr>
  </w:style>
  <w:style w:type="character" w:customStyle="1" w:styleId="a">
    <w:name w:val="a"/>
    <w:basedOn w:val="DefaultParagraphFont"/>
    <w:rsid w:val="00542FBB"/>
  </w:style>
  <w:style w:type="character" w:customStyle="1" w:styleId="l6">
    <w:name w:val="l6"/>
    <w:basedOn w:val="DefaultParagraphFont"/>
    <w:rsid w:val="00542FBB"/>
  </w:style>
  <w:style w:type="character" w:styleId="Emphasis">
    <w:name w:val="Emphasis"/>
    <w:basedOn w:val="DefaultParagraphFont"/>
    <w:uiPriority w:val="20"/>
    <w:qFormat/>
    <w:rsid w:val="00542FBB"/>
    <w:rPr>
      <w:i/>
      <w:iCs/>
    </w:rPr>
  </w:style>
  <w:style w:type="paragraph" w:styleId="NoSpacing">
    <w:name w:val="No Spacing"/>
    <w:link w:val="NoSpacingChar"/>
    <w:uiPriority w:val="1"/>
    <w:qFormat/>
    <w:rsid w:val="001C4733"/>
    <w:pPr>
      <w:spacing w:after="0" w:line="240" w:lineRule="auto"/>
      <w:jc w:val="both"/>
    </w:pPr>
    <w:rPr>
      <w:rFonts w:ascii="Calibri" w:eastAsia="Calibri" w:hAnsi="Calibri" w:cs="Times New Roman"/>
    </w:rPr>
  </w:style>
  <w:style w:type="character" w:customStyle="1" w:styleId="NoSpacingChar">
    <w:name w:val="No Spacing Char"/>
    <w:link w:val="NoSpacing"/>
    <w:uiPriority w:val="99"/>
    <w:locked/>
    <w:rsid w:val="001C4733"/>
    <w:rPr>
      <w:rFonts w:ascii="Calibri" w:eastAsia="Calibri" w:hAnsi="Calibri" w:cs="Times New Roman"/>
    </w:rPr>
  </w:style>
  <w:style w:type="character" w:styleId="Strong">
    <w:name w:val="Strong"/>
    <w:basedOn w:val="DefaultParagraphFont"/>
    <w:uiPriority w:val="22"/>
    <w:qFormat/>
    <w:rsid w:val="00DC1A1E"/>
    <w:rPr>
      <w:b/>
      <w:bCs/>
    </w:rPr>
  </w:style>
  <w:style w:type="character" w:styleId="FootnoteReference">
    <w:name w:val="footnote reference"/>
    <w:uiPriority w:val="99"/>
    <w:unhideWhenUsed/>
    <w:rsid w:val="00E4400C"/>
    <w:rPr>
      <w:vertAlign w:val="superscript"/>
    </w:rPr>
  </w:style>
  <w:style w:type="character" w:customStyle="1" w:styleId="authorortitle">
    <w:name w:val="authorortitle"/>
    <w:basedOn w:val="DefaultParagraphFont"/>
    <w:rsid w:val="00EA1C75"/>
  </w:style>
  <w:style w:type="table" w:customStyle="1" w:styleId="GridTable1Light1">
    <w:name w:val="Grid Table 1 Light1"/>
    <w:basedOn w:val="TableNormal"/>
    <w:uiPriority w:val="46"/>
    <w:rsid w:val="005F3649"/>
    <w:pPr>
      <w:spacing w:after="0" w:line="240" w:lineRule="auto"/>
    </w:pPr>
    <w:rPr>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vcard">
    <w:name w:val="vcard"/>
    <w:basedOn w:val="DefaultParagraphFont"/>
    <w:rsid w:val="005F3649"/>
  </w:style>
  <w:style w:type="character" w:customStyle="1" w:styleId="fn">
    <w:name w:val="fn"/>
    <w:basedOn w:val="DefaultParagraphFont"/>
    <w:rsid w:val="005F3649"/>
  </w:style>
  <w:style w:type="character" w:customStyle="1" w:styleId="reference-text">
    <w:name w:val="reference-text"/>
    <w:basedOn w:val="DefaultParagraphFont"/>
    <w:rsid w:val="005F3649"/>
  </w:style>
  <w:style w:type="character" w:customStyle="1" w:styleId="word-text-color1">
    <w:name w:val="word-text-color1"/>
    <w:basedOn w:val="DefaultParagraphFont"/>
    <w:rsid w:val="00934175"/>
    <w:rPr>
      <w:rFonts w:ascii="Arial" w:hAnsi="Arial" w:cs="Arial" w:hint="default"/>
      <w:b w:val="0"/>
      <w:bCs w:val="0"/>
      <w:color w:val="666666"/>
    </w:rPr>
  </w:style>
  <w:style w:type="character" w:customStyle="1" w:styleId="unknown-text-color1">
    <w:name w:val="unknown-text-color1"/>
    <w:basedOn w:val="DefaultParagraphFont"/>
    <w:rsid w:val="00934175"/>
    <w:rPr>
      <w:rFonts w:ascii="Times New Roman" w:hAnsi="Times New Roman" w:cs="Times New Roman" w:hint="default"/>
      <w:color w:val="C58917"/>
    </w:rPr>
  </w:style>
  <w:style w:type="character" w:customStyle="1" w:styleId="subconjunction-text-color1">
    <w:name w:val="subconjunction-text-color1"/>
    <w:basedOn w:val="DefaultParagraphFont"/>
    <w:rsid w:val="00934175"/>
    <w:rPr>
      <w:rFonts w:ascii="Times New Roman" w:hAnsi="Times New Roman" w:cs="Times New Roman" w:hint="default"/>
      <w:color w:val="22BB22"/>
    </w:rPr>
  </w:style>
  <w:style w:type="paragraph" w:styleId="HTMLPreformatted">
    <w:name w:val="HTML Preformatted"/>
    <w:basedOn w:val="Normal"/>
    <w:link w:val="HTMLPreformattedChar"/>
    <w:uiPriority w:val="99"/>
    <w:semiHidden/>
    <w:unhideWhenUsed/>
    <w:rsid w:val="0072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3F67"/>
    <w:rPr>
      <w:rFonts w:ascii="Courier New" w:eastAsia="Times New Roman" w:hAnsi="Courier New" w:cs="Courier New"/>
      <w:sz w:val="20"/>
      <w:szCs w:val="20"/>
    </w:rPr>
  </w:style>
  <w:style w:type="character" w:customStyle="1" w:styleId="y2iqfc">
    <w:name w:val="y2iqfc"/>
    <w:basedOn w:val="DefaultParagraphFont"/>
    <w:rsid w:val="00723F67"/>
  </w:style>
  <w:style w:type="character" w:styleId="UnresolvedMention">
    <w:name w:val="Unresolved Mention"/>
    <w:basedOn w:val="DefaultParagraphFont"/>
    <w:uiPriority w:val="99"/>
    <w:semiHidden/>
    <w:unhideWhenUsed/>
    <w:rsid w:val="0038605C"/>
    <w:rPr>
      <w:color w:val="605E5C"/>
      <w:shd w:val="clear" w:color="auto" w:fill="E1DFDD"/>
    </w:rPr>
  </w:style>
  <w:style w:type="character" w:styleId="FollowedHyperlink">
    <w:name w:val="FollowedHyperlink"/>
    <w:basedOn w:val="DefaultParagraphFont"/>
    <w:uiPriority w:val="99"/>
    <w:semiHidden/>
    <w:unhideWhenUsed/>
    <w:rsid w:val="00A56EB8"/>
    <w:rPr>
      <w:color w:val="800080" w:themeColor="followedHyperlink"/>
      <w:u w:val="single"/>
    </w:rPr>
  </w:style>
  <w:style w:type="paragraph" w:customStyle="1" w:styleId="JEM21HEADINGPENDAHULUANdll">
    <w:name w:val="JEM_2.1 HEADING (PENDAHULUAN dll)"/>
    <w:basedOn w:val="Normal"/>
    <w:qFormat/>
    <w:rsid w:val="00AC53E8"/>
    <w:pPr>
      <w:spacing w:before="120" w:after="120" w:line="240" w:lineRule="auto"/>
      <w:jc w:val="both"/>
    </w:pPr>
    <w:rPr>
      <w:rFonts w:ascii="Times New Roman" w:eastAsia="Calibri" w:hAnsi="Times New Roman" w:cs="SimSun"/>
      <w:b/>
      <w:sz w:val="28"/>
      <w:szCs w:val="24"/>
    </w:rPr>
  </w:style>
  <w:style w:type="paragraph" w:customStyle="1" w:styleId="JEM23SUBHEADING">
    <w:name w:val="JEM_2.3 SUBHEADING"/>
    <w:basedOn w:val="Normal"/>
    <w:next w:val="JEM21HEADINGPENDAHULUANdll"/>
    <w:qFormat/>
    <w:rsid w:val="00AC53E8"/>
    <w:pPr>
      <w:spacing w:after="0" w:line="240" w:lineRule="auto"/>
      <w:jc w:val="both"/>
    </w:pPr>
    <w:rPr>
      <w:rFonts w:ascii="Times New Roman" w:eastAsia="Times New Roman" w:hAnsi="Times New Roman" w:cs="SimSun"/>
      <w:b/>
      <w:sz w:val="24"/>
      <w:szCs w:val="24"/>
      <w:lang w:val="en-GB"/>
    </w:rPr>
  </w:style>
  <w:style w:type="paragraph" w:customStyle="1" w:styleId="JEM22aBODYARTIKEL">
    <w:name w:val="JEM_2.2a BODY ARTIKEL"/>
    <w:basedOn w:val="Normal"/>
    <w:qFormat/>
    <w:rsid w:val="00AC53E8"/>
    <w:pPr>
      <w:spacing w:after="0" w:line="240" w:lineRule="auto"/>
      <w:jc w:val="both"/>
    </w:pPr>
    <w:rPr>
      <w:rFonts w:ascii="Times New Roman" w:eastAsia="Times New Roman" w:hAnsi="Times New Roman" w:cs="SimSun"/>
      <w:sz w:val="24"/>
      <w:szCs w:val="24"/>
      <w:lang w:val="en-GB"/>
    </w:rPr>
  </w:style>
  <w:style w:type="character" w:customStyle="1" w:styleId="rynqvb">
    <w:name w:val="rynqvb"/>
    <w:basedOn w:val="DefaultParagraphFont"/>
    <w:rsid w:val="00C65943"/>
  </w:style>
  <w:style w:type="table" w:styleId="PlainTable2">
    <w:name w:val="Plain Table 2"/>
    <w:basedOn w:val="TableNormal"/>
    <w:uiPriority w:val="42"/>
    <w:rsid w:val="001104F4"/>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7034">
      <w:bodyDiv w:val="1"/>
      <w:marLeft w:val="0"/>
      <w:marRight w:val="0"/>
      <w:marTop w:val="0"/>
      <w:marBottom w:val="0"/>
      <w:divBdr>
        <w:top w:val="none" w:sz="0" w:space="0" w:color="auto"/>
        <w:left w:val="none" w:sz="0" w:space="0" w:color="auto"/>
        <w:bottom w:val="none" w:sz="0" w:space="0" w:color="auto"/>
        <w:right w:val="none" w:sz="0" w:space="0" w:color="auto"/>
      </w:divBdr>
    </w:div>
    <w:div w:id="361252421">
      <w:bodyDiv w:val="1"/>
      <w:marLeft w:val="0"/>
      <w:marRight w:val="0"/>
      <w:marTop w:val="0"/>
      <w:marBottom w:val="0"/>
      <w:divBdr>
        <w:top w:val="none" w:sz="0" w:space="0" w:color="auto"/>
        <w:left w:val="none" w:sz="0" w:space="0" w:color="auto"/>
        <w:bottom w:val="none" w:sz="0" w:space="0" w:color="auto"/>
        <w:right w:val="none" w:sz="0" w:space="0" w:color="auto"/>
      </w:divBdr>
    </w:div>
    <w:div w:id="400446537">
      <w:bodyDiv w:val="1"/>
      <w:marLeft w:val="0"/>
      <w:marRight w:val="0"/>
      <w:marTop w:val="0"/>
      <w:marBottom w:val="0"/>
      <w:divBdr>
        <w:top w:val="none" w:sz="0" w:space="0" w:color="auto"/>
        <w:left w:val="none" w:sz="0" w:space="0" w:color="auto"/>
        <w:bottom w:val="none" w:sz="0" w:space="0" w:color="auto"/>
        <w:right w:val="none" w:sz="0" w:space="0" w:color="auto"/>
      </w:divBdr>
    </w:div>
    <w:div w:id="470562820">
      <w:bodyDiv w:val="1"/>
      <w:marLeft w:val="0"/>
      <w:marRight w:val="0"/>
      <w:marTop w:val="0"/>
      <w:marBottom w:val="0"/>
      <w:divBdr>
        <w:top w:val="none" w:sz="0" w:space="0" w:color="auto"/>
        <w:left w:val="none" w:sz="0" w:space="0" w:color="auto"/>
        <w:bottom w:val="none" w:sz="0" w:space="0" w:color="auto"/>
        <w:right w:val="none" w:sz="0" w:space="0" w:color="auto"/>
      </w:divBdr>
    </w:div>
    <w:div w:id="615986107">
      <w:bodyDiv w:val="1"/>
      <w:marLeft w:val="0"/>
      <w:marRight w:val="0"/>
      <w:marTop w:val="0"/>
      <w:marBottom w:val="0"/>
      <w:divBdr>
        <w:top w:val="none" w:sz="0" w:space="0" w:color="auto"/>
        <w:left w:val="none" w:sz="0" w:space="0" w:color="auto"/>
        <w:bottom w:val="none" w:sz="0" w:space="0" w:color="auto"/>
        <w:right w:val="none" w:sz="0" w:space="0" w:color="auto"/>
      </w:divBdr>
    </w:div>
    <w:div w:id="902712113">
      <w:bodyDiv w:val="1"/>
      <w:marLeft w:val="0"/>
      <w:marRight w:val="0"/>
      <w:marTop w:val="0"/>
      <w:marBottom w:val="0"/>
      <w:divBdr>
        <w:top w:val="none" w:sz="0" w:space="0" w:color="auto"/>
        <w:left w:val="none" w:sz="0" w:space="0" w:color="auto"/>
        <w:bottom w:val="none" w:sz="0" w:space="0" w:color="auto"/>
        <w:right w:val="none" w:sz="0" w:space="0" w:color="auto"/>
      </w:divBdr>
    </w:div>
    <w:div w:id="913970082">
      <w:bodyDiv w:val="1"/>
      <w:marLeft w:val="0"/>
      <w:marRight w:val="0"/>
      <w:marTop w:val="0"/>
      <w:marBottom w:val="0"/>
      <w:divBdr>
        <w:top w:val="none" w:sz="0" w:space="0" w:color="auto"/>
        <w:left w:val="none" w:sz="0" w:space="0" w:color="auto"/>
        <w:bottom w:val="none" w:sz="0" w:space="0" w:color="auto"/>
        <w:right w:val="none" w:sz="0" w:space="0" w:color="auto"/>
      </w:divBdr>
    </w:div>
    <w:div w:id="989600248">
      <w:bodyDiv w:val="1"/>
      <w:marLeft w:val="0"/>
      <w:marRight w:val="0"/>
      <w:marTop w:val="0"/>
      <w:marBottom w:val="0"/>
      <w:divBdr>
        <w:top w:val="none" w:sz="0" w:space="0" w:color="auto"/>
        <w:left w:val="none" w:sz="0" w:space="0" w:color="auto"/>
        <w:bottom w:val="none" w:sz="0" w:space="0" w:color="auto"/>
        <w:right w:val="none" w:sz="0" w:space="0" w:color="auto"/>
      </w:divBdr>
    </w:div>
    <w:div w:id="1008605746">
      <w:bodyDiv w:val="1"/>
      <w:marLeft w:val="0"/>
      <w:marRight w:val="0"/>
      <w:marTop w:val="0"/>
      <w:marBottom w:val="0"/>
      <w:divBdr>
        <w:top w:val="none" w:sz="0" w:space="0" w:color="auto"/>
        <w:left w:val="none" w:sz="0" w:space="0" w:color="auto"/>
        <w:bottom w:val="none" w:sz="0" w:space="0" w:color="auto"/>
        <w:right w:val="none" w:sz="0" w:space="0" w:color="auto"/>
      </w:divBdr>
    </w:div>
    <w:div w:id="1016929565">
      <w:bodyDiv w:val="1"/>
      <w:marLeft w:val="0"/>
      <w:marRight w:val="0"/>
      <w:marTop w:val="0"/>
      <w:marBottom w:val="0"/>
      <w:divBdr>
        <w:top w:val="none" w:sz="0" w:space="0" w:color="auto"/>
        <w:left w:val="none" w:sz="0" w:space="0" w:color="auto"/>
        <w:bottom w:val="none" w:sz="0" w:space="0" w:color="auto"/>
        <w:right w:val="none" w:sz="0" w:space="0" w:color="auto"/>
      </w:divBdr>
    </w:div>
    <w:div w:id="1356535869">
      <w:bodyDiv w:val="1"/>
      <w:marLeft w:val="0"/>
      <w:marRight w:val="0"/>
      <w:marTop w:val="0"/>
      <w:marBottom w:val="0"/>
      <w:divBdr>
        <w:top w:val="none" w:sz="0" w:space="0" w:color="auto"/>
        <w:left w:val="none" w:sz="0" w:space="0" w:color="auto"/>
        <w:bottom w:val="none" w:sz="0" w:space="0" w:color="auto"/>
        <w:right w:val="none" w:sz="0" w:space="0" w:color="auto"/>
      </w:divBdr>
    </w:div>
    <w:div w:id="1363704727">
      <w:bodyDiv w:val="1"/>
      <w:marLeft w:val="0"/>
      <w:marRight w:val="0"/>
      <w:marTop w:val="0"/>
      <w:marBottom w:val="0"/>
      <w:divBdr>
        <w:top w:val="none" w:sz="0" w:space="0" w:color="auto"/>
        <w:left w:val="none" w:sz="0" w:space="0" w:color="auto"/>
        <w:bottom w:val="none" w:sz="0" w:space="0" w:color="auto"/>
        <w:right w:val="none" w:sz="0" w:space="0" w:color="auto"/>
      </w:divBdr>
    </w:div>
    <w:div w:id="1523712839">
      <w:bodyDiv w:val="1"/>
      <w:marLeft w:val="0"/>
      <w:marRight w:val="0"/>
      <w:marTop w:val="0"/>
      <w:marBottom w:val="0"/>
      <w:divBdr>
        <w:top w:val="none" w:sz="0" w:space="0" w:color="auto"/>
        <w:left w:val="none" w:sz="0" w:space="0" w:color="auto"/>
        <w:bottom w:val="none" w:sz="0" w:space="0" w:color="auto"/>
        <w:right w:val="none" w:sz="0" w:space="0" w:color="auto"/>
      </w:divBdr>
    </w:div>
    <w:div w:id="1553299292">
      <w:bodyDiv w:val="1"/>
      <w:marLeft w:val="0"/>
      <w:marRight w:val="0"/>
      <w:marTop w:val="0"/>
      <w:marBottom w:val="0"/>
      <w:divBdr>
        <w:top w:val="none" w:sz="0" w:space="0" w:color="auto"/>
        <w:left w:val="none" w:sz="0" w:space="0" w:color="auto"/>
        <w:bottom w:val="none" w:sz="0" w:space="0" w:color="auto"/>
        <w:right w:val="none" w:sz="0" w:space="0" w:color="auto"/>
      </w:divBdr>
    </w:div>
    <w:div w:id="1702389503">
      <w:bodyDiv w:val="1"/>
      <w:marLeft w:val="0"/>
      <w:marRight w:val="0"/>
      <w:marTop w:val="0"/>
      <w:marBottom w:val="0"/>
      <w:divBdr>
        <w:top w:val="none" w:sz="0" w:space="0" w:color="auto"/>
        <w:left w:val="none" w:sz="0" w:space="0" w:color="auto"/>
        <w:bottom w:val="none" w:sz="0" w:space="0" w:color="auto"/>
        <w:right w:val="none" w:sz="0" w:space="0" w:color="auto"/>
      </w:divBdr>
    </w:div>
    <w:div w:id="179367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1-5959-833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9-0002-4006-972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creativecommons.org/licenses/by-sa/4.0/" TargetMode="External"/><Relationship Id="rId10" Type="http://schemas.openxmlformats.org/officeDocument/2006/relationships/hyperlink" Target="https://orcid.org/0009-0003-1859-543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5294/ijals.v5i1.67726" TargetMode="External"/><Relationship Id="rId14"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Rus07</b:Tag>
    <b:SourceType>Book</b:SourceType>
    <b:Guid>{7CA56A0C-D303-4019-9575-7DF8ADF553B7}</b:Guid>
    <b:Title>Hukum Acara Pidana Kontemporer</b:Title>
    <b:Year>2007</b:Year>
    <b:City>Bandung</b:City>
    <b:Publisher>PT. Citra Aditya Bakti</b:Publisher>
    <b:Author>
      <b:Author>
        <b:NameList>
          <b:Person>
            <b:Last>Rusli</b:Last>
            <b:First>M</b:First>
          </b:Person>
        </b:NameList>
      </b:Author>
    </b:Author>
    <b:RefOrder>2</b:RefOrder>
  </b:Source>
</b:Sources>
</file>

<file path=customXml/itemProps1.xml><?xml version="1.0" encoding="utf-8"?>
<ds:datastoreItem xmlns:ds="http://schemas.openxmlformats.org/officeDocument/2006/customXml" ds:itemID="{284C0A40-907D-47B0-BEB4-6725AE44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4356</Words>
  <Characters>24832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ABY  MAULANA</dc:creator>
  <cp:lastModifiedBy>USER</cp:lastModifiedBy>
  <cp:revision>2</cp:revision>
  <cp:lastPrinted>2024-01-04T02:13:00Z</cp:lastPrinted>
  <dcterms:created xsi:type="dcterms:W3CDTF">2026-03-23T18:45:00Z</dcterms:created>
  <dcterms:modified xsi:type="dcterms:W3CDTF">2026-03-23T18:45:00Z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8aa0a2fb-9a89-3d1d-a389-891a725963a5</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ZOTERO_PREF_1">
    <vt:lpwstr>&lt;data data-version="3" zotero-version="6.0.36"&gt;&lt;session id="Y8o79HwL"/&gt;&lt;style id="" hasBibliography="0" bibliographyStyleHasBeenSet="0"/&gt;&lt;prefs/&gt;&lt;/data&gt;</vt:lpwstr>
  </property>
</Properties>
</file>